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822F6" w14:textId="21EFCA9B" w:rsidR="004B3585" w:rsidRDefault="006C1956" w:rsidP="00CA13A4">
      <w:pPr>
        <w:contextualSpacing/>
        <w:jc w:val="center"/>
      </w:pPr>
      <w:bookmarkStart w:id="0" w:name="_Hlk72385575"/>
      <w:r>
        <w:rPr>
          <w:b/>
          <w:bCs/>
        </w:rPr>
        <w:t>“</w:t>
      </w:r>
      <w:r w:rsidR="00E701D5">
        <w:rPr>
          <w:b/>
          <w:bCs/>
        </w:rPr>
        <w:t xml:space="preserve">It Shouldn’t be </w:t>
      </w:r>
      <w:r w:rsidR="00F03F44">
        <w:rPr>
          <w:b/>
          <w:bCs/>
        </w:rPr>
        <w:t xml:space="preserve">Small Potatoes: </w:t>
      </w:r>
      <w:r w:rsidR="002925AD">
        <w:rPr>
          <w:b/>
          <w:bCs/>
        </w:rPr>
        <w:t>T</w:t>
      </w:r>
      <w:r w:rsidR="00D74A33">
        <w:rPr>
          <w:b/>
          <w:bCs/>
        </w:rPr>
        <w:t xml:space="preserve">he Future of </w:t>
      </w:r>
      <w:r w:rsidR="003C1242">
        <w:rPr>
          <w:b/>
          <w:bCs/>
        </w:rPr>
        <w:t>Civil Damage</w:t>
      </w:r>
      <w:r w:rsidR="003F2896">
        <w:rPr>
          <w:b/>
          <w:bCs/>
        </w:rPr>
        <w:t xml:space="preserve"> </w:t>
      </w:r>
      <w:r w:rsidR="003061DB" w:rsidRPr="003061DB">
        <w:rPr>
          <w:b/>
          <w:bCs/>
        </w:rPr>
        <w:t>Awards</w:t>
      </w:r>
      <w:r w:rsidR="003C1242">
        <w:rPr>
          <w:b/>
          <w:bCs/>
        </w:rPr>
        <w:t xml:space="preserve"> under</w:t>
      </w:r>
      <w:r w:rsidR="003C1242" w:rsidRPr="007667A1">
        <w:rPr>
          <w:b/>
          <w:bCs/>
        </w:rPr>
        <w:t xml:space="preserve"> </w:t>
      </w:r>
      <w:bookmarkStart w:id="1" w:name="_Hlk77234623"/>
      <w:r w:rsidR="007667A1" w:rsidRPr="007667A1">
        <w:rPr>
          <w:b/>
          <w:bCs/>
          <w:lang w:val="en-US"/>
        </w:rPr>
        <w:t>Canada’s</w:t>
      </w:r>
      <w:r w:rsidR="00D74A33">
        <w:rPr>
          <w:b/>
          <w:bCs/>
          <w:lang w:val="en-US"/>
        </w:rPr>
        <w:t xml:space="preserve"> </w:t>
      </w:r>
      <w:r w:rsidR="00FF3A8A">
        <w:rPr>
          <w:b/>
          <w:bCs/>
          <w:lang w:val="en-US"/>
        </w:rPr>
        <w:t>P</w:t>
      </w:r>
      <w:r w:rsidR="006E05EB">
        <w:rPr>
          <w:b/>
          <w:bCs/>
          <w:lang w:val="en-US"/>
        </w:rPr>
        <w:t>ersonal Information Protection Legislation</w:t>
      </w:r>
      <w:bookmarkEnd w:id="0"/>
      <w:bookmarkEnd w:id="1"/>
      <w:r w:rsidR="007A38C4">
        <w:t>”</w:t>
      </w:r>
    </w:p>
    <w:p w14:paraId="073C57BB" w14:textId="2A95F031" w:rsidR="007A38C4" w:rsidRDefault="00EC393A" w:rsidP="00CA13A4">
      <w:pPr>
        <w:contextualSpacing/>
        <w:jc w:val="center"/>
      </w:pPr>
      <w:r>
        <w:t>By Professor Shannon O’Byrne</w:t>
      </w:r>
      <w:r w:rsidRPr="00EC393A">
        <w:rPr>
          <w:rStyle w:val="FootnoteReference"/>
        </w:rPr>
        <w:footnoteReference w:customMarkFollows="1" w:id="2"/>
        <w:sym w:font="Symbol" w:char="F02A"/>
      </w:r>
      <w:r>
        <w:t xml:space="preserve"> </w:t>
      </w:r>
      <w:r w:rsidR="007A38C4">
        <w:t>and Professor Avner Levin</w:t>
      </w:r>
      <w:r w:rsidRPr="00EC393A">
        <w:rPr>
          <w:rStyle w:val="FootnoteReference"/>
        </w:rPr>
        <w:footnoteReference w:customMarkFollows="1" w:id="3"/>
        <w:sym w:font="Symbol" w:char="F02A"/>
      </w:r>
      <w:r w:rsidRPr="00EC393A">
        <w:rPr>
          <w:rStyle w:val="FootnoteReference"/>
        </w:rPr>
        <w:sym w:font="Symbol" w:char="F02A"/>
      </w:r>
    </w:p>
    <w:p w14:paraId="552C538D" w14:textId="7B6315A9" w:rsidR="00D40EBE" w:rsidRDefault="00D40EBE" w:rsidP="00CA13A4">
      <w:pPr>
        <w:contextualSpacing/>
        <w:jc w:val="center"/>
      </w:pPr>
    </w:p>
    <w:p w14:paraId="3F2A440E" w14:textId="64CBA155" w:rsidR="003A62E9" w:rsidRDefault="000D6AB7" w:rsidP="002118A3">
      <w:pPr>
        <w:ind w:firstLine="720"/>
        <w:rPr>
          <w:b/>
          <w:bCs/>
        </w:rPr>
      </w:pPr>
      <w:r>
        <w:rPr>
          <w:b/>
          <w:bCs/>
        </w:rPr>
        <w:t>______________________________________________</w:t>
      </w:r>
    </w:p>
    <w:p w14:paraId="762BC14E" w14:textId="47FC077B" w:rsidR="00B94CED" w:rsidRPr="009346AD" w:rsidRDefault="00992DB2" w:rsidP="00515A1D">
      <w:pPr>
        <w:rPr>
          <w:i/>
          <w:iCs/>
        </w:rPr>
      </w:pPr>
      <w:r w:rsidRPr="009346AD">
        <w:rPr>
          <w:i/>
          <w:iCs/>
        </w:rPr>
        <w:t>The Personal Information Protection and Electronic Document Act (</w:t>
      </w:r>
      <w:r w:rsidRPr="00B10490">
        <w:rPr>
          <w:i/>
          <w:iCs/>
        </w:rPr>
        <w:t>PIPEDA</w:t>
      </w:r>
      <w:r w:rsidRPr="009346AD">
        <w:rPr>
          <w:i/>
          <w:iCs/>
        </w:rPr>
        <w:t xml:space="preserve">) is </w:t>
      </w:r>
      <w:r w:rsidR="00B94CED" w:rsidRPr="009346AD">
        <w:rPr>
          <w:i/>
          <w:iCs/>
        </w:rPr>
        <w:t xml:space="preserve">well known as </w:t>
      </w:r>
      <w:r w:rsidRPr="009346AD">
        <w:rPr>
          <w:i/>
          <w:iCs/>
        </w:rPr>
        <w:t>federal legislation</w:t>
      </w:r>
      <w:r w:rsidR="00561A27" w:rsidRPr="009346AD">
        <w:rPr>
          <w:i/>
          <w:iCs/>
        </w:rPr>
        <w:t xml:space="preserve"> </w:t>
      </w:r>
      <w:r w:rsidRPr="009346AD">
        <w:rPr>
          <w:i/>
          <w:iCs/>
        </w:rPr>
        <w:t>govern</w:t>
      </w:r>
      <w:r w:rsidR="00561A27" w:rsidRPr="009346AD">
        <w:rPr>
          <w:i/>
          <w:iCs/>
        </w:rPr>
        <w:t>ing</w:t>
      </w:r>
      <w:r w:rsidRPr="009346AD">
        <w:rPr>
          <w:i/>
          <w:iCs/>
        </w:rPr>
        <w:t xml:space="preserve"> the protection of personal information in the private sector</w:t>
      </w:r>
      <w:r w:rsidR="00B94CED" w:rsidRPr="009346AD">
        <w:rPr>
          <w:i/>
          <w:iCs/>
        </w:rPr>
        <w:t>. This article</w:t>
      </w:r>
      <w:r w:rsidR="00FA4752">
        <w:rPr>
          <w:i/>
          <w:iCs/>
        </w:rPr>
        <w:t xml:space="preserve">, </w:t>
      </w:r>
      <w:r w:rsidR="00FA4752" w:rsidRPr="005F592D">
        <w:rPr>
          <w:i/>
          <w:iCs/>
        </w:rPr>
        <w:t xml:space="preserve">published over two </w:t>
      </w:r>
      <w:r w:rsidR="00856CE3" w:rsidRPr="005F592D">
        <w:rPr>
          <w:i/>
          <w:iCs/>
        </w:rPr>
        <w:t>parts</w:t>
      </w:r>
      <w:r w:rsidR="00FA4752" w:rsidRPr="005F592D">
        <w:rPr>
          <w:i/>
          <w:iCs/>
        </w:rPr>
        <w:t>,</w:t>
      </w:r>
      <w:r w:rsidR="00B94CED" w:rsidRPr="005F592D">
        <w:rPr>
          <w:i/>
          <w:iCs/>
        </w:rPr>
        <w:t xml:space="preserve"> focusses on </w:t>
      </w:r>
      <w:r w:rsidR="00561A27" w:rsidRPr="005F592D">
        <w:rPr>
          <w:i/>
          <w:iCs/>
        </w:rPr>
        <w:t xml:space="preserve">a </w:t>
      </w:r>
      <w:r w:rsidR="00B94CED" w:rsidRPr="005F592D">
        <w:rPr>
          <w:i/>
          <w:iCs/>
        </w:rPr>
        <w:t>less</w:t>
      </w:r>
      <w:r w:rsidR="00561A27" w:rsidRPr="005F592D">
        <w:rPr>
          <w:i/>
          <w:iCs/>
        </w:rPr>
        <w:t>er</w:t>
      </w:r>
      <w:r w:rsidR="00B94CED" w:rsidRPr="005F592D">
        <w:rPr>
          <w:i/>
          <w:iCs/>
        </w:rPr>
        <w:t xml:space="preserve"> explored but</w:t>
      </w:r>
      <w:r w:rsidR="00B94CED" w:rsidRPr="009346AD">
        <w:rPr>
          <w:i/>
          <w:iCs/>
        </w:rPr>
        <w:t xml:space="preserve"> particularly concerning aspect of </w:t>
      </w:r>
      <w:r w:rsidR="00C17EAD" w:rsidRPr="00C17EAD">
        <w:rPr>
          <w:i/>
          <w:iCs/>
        </w:rPr>
        <w:t>PIPEDA</w:t>
      </w:r>
      <w:r w:rsidR="00B94CED" w:rsidRPr="009346AD">
        <w:rPr>
          <w:i/>
          <w:iCs/>
        </w:rPr>
        <w:t>, namely the low damage awards (</w:t>
      </w:r>
      <w:r w:rsidR="006B151E">
        <w:rPr>
          <w:i/>
          <w:iCs/>
        </w:rPr>
        <w:t xml:space="preserve">averaging between </w:t>
      </w:r>
      <w:r w:rsidR="00B94CED" w:rsidRPr="009346AD">
        <w:rPr>
          <w:i/>
          <w:iCs/>
        </w:rPr>
        <w:t xml:space="preserve">$3,000 to $5,000) </w:t>
      </w:r>
      <w:r w:rsidR="00D82CDE" w:rsidRPr="009346AD">
        <w:rPr>
          <w:i/>
          <w:iCs/>
        </w:rPr>
        <w:t xml:space="preserve">granted by courts </w:t>
      </w:r>
      <w:r w:rsidR="00B94CED" w:rsidRPr="009346AD">
        <w:rPr>
          <w:i/>
          <w:iCs/>
        </w:rPr>
        <w:t>to applicants who establish</w:t>
      </w:r>
      <w:r w:rsidR="00AB24FD" w:rsidRPr="009346AD">
        <w:rPr>
          <w:i/>
          <w:iCs/>
        </w:rPr>
        <w:t xml:space="preserve"> </w:t>
      </w:r>
      <w:r w:rsidR="00B94CED" w:rsidRPr="009346AD">
        <w:rPr>
          <w:i/>
          <w:iCs/>
        </w:rPr>
        <w:t>a breach of the Act</w:t>
      </w:r>
      <w:r w:rsidR="006B151E">
        <w:rPr>
          <w:i/>
          <w:iCs/>
        </w:rPr>
        <w:t xml:space="preserve"> and the low number of actual applications</w:t>
      </w:r>
      <w:r w:rsidR="0017703C">
        <w:rPr>
          <w:i/>
          <w:iCs/>
        </w:rPr>
        <w:t xml:space="preserve"> (24 applications in 20 years)</w:t>
      </w:r>
      <w:r w:rsidR="006B151E">
        <w:rPr>
          <w:i/>
          <w:iCs/>
        </w:rPr>
        <w:t>.</w:t>
      </w:r>
      <w:r w:rsidR="00B94CED" w:rsidRPr="009346AD">
        <w:rPr>
          <w:i/>
          <w:iCs/>
        </w:rPr>
        <w:t xml:space="preserve"> </w:t>
      </w:r>
      <w:r w:rsidR="00561A27" w:rsidRPr="009346AD">
        <w:rPr>
          <w:i/>
          <w:iCs/>
        </w:rPr>
        <w:t xml:space="preserve">Chronically low monetary </w:t>
      </w:r>
      <w:r w:rsidR="00B94CED" w:rsidRPr="009346AD">
        <w:rPr>
          <w:i/>
          <w:iCs/>
        </w:rPr>
        <w:t xml:space="preserve">awards </w:t>
      </w:r>
      <w:r w:rsidR="00561A27" w:rsidRPr="009346AD">
        <w:rPr>
          <w:i/>
          <w:iCs/>
        </w:rPr>
        <w:t>threaten PIPEDA</w:t>
      </w:r>
      <w:r w:rsidR="00B10490">
        <w:rPr>
          <w:i/>
          <w:iCs/>
        </w:rPr>
        <w:t>’s</w:t>
      </w:r>
      <w:r w:rsidR="00561A27" w:rsidRPr="009346AD">
        <w:rPr>
          <w:i/>
          <w:iCs/>
        </w:rPr>
        <w:t xml:space="preserve"> l</w:t>
      </w:r>
      <w:r w:rsidR="00B94CED" w:rsidRPr="009346AD">
        <w:rPr>
          <w:i/>
          <w:iCs/>
        </w:rPr>
        <w:t xml:space="preserve">egislative </w:t>
      </w:r>
      <w:r w:rsidR="009346AD" w:rsidRPr="009346AD">
        <w:rPr>
          <w:i/>
          <w:iCs/>
        </w:rPr>
        <w:t>objective</w:t>
      </w:r>
      <w:r w:rsidR="00AB24FD" w:rsidRPr="009346AD">
        <w:rPr>
          <w:i/>
          <w:iCs/>
        </w:rPr>
        <w:t xml:space="preserve"> o</w:t>
      </w:r>
      <w:r w:rsidR="00B10490">
        <w:rPr>
          <w:i/>
          <w:iCs/>
        </w:rPr>
        <w:t>f</w:t>
      </w:r>
      <w:r w:rsidR="00AB24FD" w:rsidRPr="009346AD">
        <w:rPr>
          <w:i/>
          <w:iCs/>
        </w:rPr>
        <w:t xml:space="preserve"> recogniz</w:t>
      </w:r>
      <w:r w:rsidR="00B10490">
        <w:rPr>
          <w:i/>
          <w:iCs/>
        </w:rPr>
        <w:t>ing</w:t>
      </w:r>
      <w:r w:rsidR="00AB24FD" w:rsidRPr="009346AD">
        <w:rPr>
          <w:i/>
          <w:iCs/>
        </w:rPr>
        <w:t xml:space="preserve"> the </w:t>
      </w:r>
      <w:r w:rsidR="00B9317E" w:rsidRPr="009346AD">
        <w:rPr>
          <w:i/>
          <w:iCs/>
        </w:rPr>
        <w:t xml:space="preserve">individual’s </w:t>
      </w:r>
      <w:r w:rsidR="00AB24FD" w:rsidRPr="009346AD">
        <w:rPr>
          <w:i/>
          <w:iCs/>
        </w:rPr>
        <w:t xml:space="preserve">right of privacy </w:t>
      </w:r>
      <w:r w:rsidR="00B9317E" w:rsidRPr="009346AD">
        <w:rPr>
          <w:i/>
          <w:iCs/>
        </w:rPr>
        <w:t xml:space="preserve">in </w:t>
      </w:r>
      <w:r w:rsidR="00AB24FD" w:rsidRPr="009346AD">
        <w:rPr>
          <w:i/>
          <w:iCs/>
        </w:rPr>
        <w:t>their personal information</w:t>
      </w:r>
      <w:r w:rsidR="00B94CED" w:rsidRPr="009346AD">
        <w:rPr>
          <w:i/>
          <w:iCs/>
        </w:rPr>
        <w:t>.</w:t>
      </w:r>
      <w:r w:rsidR="00561A27" w:rsidRPr="009346AD">
        <w:rPr>
          <w:i/>
          <w:iCs/>
        </w:rPr>
        <w:t xml:space="preserve"> </w:t>
      </w:r>
      <w:r w:rsidR="006B151E">
        <w:rPr>
          <w:i/>
          <w:iCs/>
        </w:rPr>
        <w:t xml:space="preserve">As the low number of applications reflect, </w:t>
      </w:r>
      <w:r w:rsidR="00561A27" w:rsidRPr="009346AD">
        <w:rPr>
          <w:i/>
          <w:iCs/>
        </w:rPr>
        <w:t>when it makes no economic sense to do so, otherwise deserving complainants will be discouraged from seeking damages or simply driven to pursue solutions such as class actions.</w:t>
      </w:r>
      <w:r w:rsidR="009346AD" w:rsidRPr="009346AD">
        <w:rPr>
          <w:i/>
          <w:iCs/>
        </w:rPr>
        <w:t xml:space="preserve"> </w:t>
      </w:r>
      <w:r w:rsidR="00C17EAD" w:rsidRPr="00C17EAD">
        <w:rPr>
          <w:i/>
          <w:iCs/>
        </w:rPr>
        <w:t>PIPEDA</w:t>
      </w:r>
      <w:r w:rsidR="006B151E">
        <w:rPr>
          <w:i/>
          <w:iCs/>
        </w:rPr>
        <w:t xml:space="preserve">’s </w:t>
      </w:r>
      <w:r w:rsidR="008435A9">
        <w:rPr>
          <w:i/>
          <w:iCs/>
        </w:rPr>
        <w:t xml:space="preserve">damage provision </w:t>
      </w:r>
      <w:r w:rsidR="006B151E">
        <w:rPr>
          <w:i/>
          <w:iCs/>
        </w:rPr>
        <w:t xml:space="preserve">thereby </w:t>
      </w:r>
      <w:r w:rsidR="008435A9">
        <w:rPr>
          <w:i/>
          <w:iCs/>
        </w:rPr>
        <w:t>stands to wither away</w:t>
      </w:r>
      <w:r w:rsidR="006B151E">
        <w:rPr>
          <w:i/>
          <w:iCs/>
        </w:rPr>
        <w:t xml:space="preserve"> from disuse.</w:t>
      </w:r>
      <w:r w:rsidR="009346AD" w:rsidRPr="009346AD">
        <w:rPr>
          <w:i/>
          <w:iCs/>
        </w:rPr>
        <w:t xml:space="preserve"> </w:t>
      </w:r>
      <w:r w:rsidR="00B94CED" w:rsidRPr="009346AD">
        <w:rPr>
          <w:i/>
          <w:iCs/>
        </w:rPr>
        <w:t xml:space="preserve"> </w:t>
      </w:r>
      <w:r w:rsidR="00B9317E" w:rsidRPr="009346AD">
        <w:rPr>
          <w:i/>
          <w:iCs/>
        </w:rPr>
        <w:t xml:space="preserve"> </w:t>
      </w:r>
    </w:p>
    <w:p w14:paraId="05CDADA4" w14:textId="1018F463" w:rsidR="009346AD" w:rsidRPr="009346AD" w:rsidRDefault="00B94CED" w:rsidP="00515A1D">
      <w:pPr>
        <w:spacing w:after="0"/>
        <w:rPr>
          <w:i/>
          <w:iCs/>
        </w:rPr>
      </w:pPr>
      <w:r w:rsidRPr="009346AD">
        <w:rPr>
          <w:i/>
          <w:iCs/>
        </w:rPr>
        <w:t xml:space="preserve">This </w:t>
      </w:r>
      <w:r w:rsidR="00852151">
        <w:rPr>
          <w:i/>
          <w:iCs/>
        </w:rPr>
        <w:t>article</w:t>
      </w:r>
      <w:r w:rsidRPr="009346AD">
        <w:rPr>
          <w:i/>
          <w:iCs/>
        </w:rPr>
        <w:t xml:space="preserve"> offers a three-fold solution to insufficient quantum</w:t>
      </w:r>
      <w:r w:rsidR="00561A27" w:rsidRPr="009346AD">
        <w:rPr>
          <w:i/>
          <w:iCs/>
        </w:rPr>
        <w:t xml:space="preserve"> </w:t>
      </w:r>
      <w:r w:rsidR="006B151E">
        <w:rPr>
          <w:i/>
          <w:iCs/>
        </w:rPr>
        <w:t>an</w:t>
      </w:r>
      <w:r w:rsidR="009346AD" w:rsidRPr="009346AD">
        <w:rPr>
          <w:i/>
          <w:iCs/>
        </w:rPr>
        <w:t xml:space="preserve">d is inspired </w:t>
      </w:r>
      <w:r w:rsidR="00B10490">
        <w:rPr>
          <w:i/>
          <w:iCs/>
        </w:rPr>
        <w:t xml:space="preserve">more generally </w:t>
      </w:r>
      <w:r w:rsidR="009346AD" w:rsidRPr="009346AD">
        <w:rPr>
          <w:i/>
          <w:iCs/>
        </w:rPr>
        <w:t xml:space="preserve">by </w:t>
      </w:r>
      <w:r w:rsidR="00B10490">
        <w:rPr>
          <w:i/>
          <w:iCs/>
        </w:rPr>
        <w:t>the</w:t>
      </w:r>
      <w:r w:rsidR="009346AD" w:rsidRPr="009346AD">
        <w:rPr>
          <w:i/>
          <w:iCs/>
        </w:rPr>
        <w:t xml:space="preserve"> </w:t>
      </w:r>
      <w:r w:rsidR="00561A27" w:rsidRPr="009346AD">
        <w:rPr>
          <w:i/>
          <w:iCs/>
        </w:rPr>
        <w:t xml:space="preserve">functional approach to </w:t>
      </w:r>
      <w:r w:rsidR="009346AD" w:rsidRPr="009346AD">
        <w:rPr>
          <w:i/>
          <w:iCs/>
        </w:rPr>
        <w:t xml:space="preserve">monetary </w:t>
      </w:r>
      <w:r w:rsidR="00561A27" w:rsidRPr="009346AD">
        <w:rPr>
          <w:i/>
          <w:iCs/>
        </w:rPr>
        <w:t xml:space="preserve">damages </w:t>
      </w:r>
      <w:r w:rsidR="009346AD" w:rsidRPr="009346AD">
        <w:rPr>
          <w:i/>
          <w:iCs/>
        </w:rPr>
        <w:t xml:space="preserve">presented </w:t>
      </w:r>
      <w:r w:rsidR="00561A27" w:rsidRPr="009346AD">
        <w:rPr>
          <w:i/>
          <w:iCs/>
        </w:rPr>
        <w:t xml:space="preserve">by </w:t>
      </w:r>
      <w:r w:rsidR="001C4F4E" w:rsidRPr="009346AD">
        <w:rPr>
          <w:i/>
          <w:iCs/>
        </w:rPr>
        <w:t>Justice Cromwell</w:t>
      </w:r>
      <w:r w:rsidR="00561A27" w:rsidRPr="009346AD">
        <w:rPr>
          <w:i/>
          <w:iCs/>
        </w:rPr>
        <w:t xml:space="preserve"> in an Isaac </w:t>
      </w:r>
      <w:proofErr w:type="spellStart"/>
      <w:r w:rsidR="00561A27" w:rsidRPr="009346AD">
        <w:rPr>
          <w:i/>
          <w:iCs/>
        </w:rPr>
        <w:t>Pitblado</w:t>
      </w:r>
      <w:proofErr w:type="spellEnd"/>
      <w:r w:rsidR="00561A27" w:rsidRPr="009346AD">
        <w:rPr>
          <w:i/>
          <w:iCs/>
        </w:rPr>
        <w:t xml:space="preserve"> lecture.</w:t>
      </w:r>
      <w:r w:rsidR="009346AD" w:rsidRPr="009346AD">
        <w:rPr>
          <w:i/>
          <w:iCs/>
        </w:rPr>
        <w:t xml:space="preserve"> First, damage quanta </w:t>
      </w:r>
      <w:r w:rsidR="00B10490">
        <w:rPr>
          <w:i/>
          <w:iCs/>
        </w:rPr>
        <w:t xml:space="preserve">under PIPEDA </w:t>
      </w:r>
      <w:r w:rsidR="009346AD" w:rsidRPr="009346AD">
        <w:rPr>
          <w:i/>
          <w:iCs/>
        </w:rPr>
        <w:t>must more rigorously reflect the status of personal information protection legislation</w:t>
      </w:r>
      <w:r w:rsidR="00B10490">
        <w:rPr>
          <w:i/>
          <w:iCs/>
        </w:rPr>
        <w:t>,</w:t>
      </w:r>
      <w:r w:rsidR="009346AD" w:rsidRPr="009346AD">
        <w:rPr>
          <w:i/>
          <w:iCs/>
        </w:rPr>
        <w:t xml:space="preserve"> including its constitutional overlay and link to what have been termed “dignitary” torts such as the common law privacy torts and defamation. Second, courts should measure quantum based on insights from torts closely related to breach of privacy under </w:t>
      </w:r>
      <w:r w:rsidR="00C17EAD" w:rsidRPr="00C17EAD">
        <w:rPr>
          <w:i/>
          <w:iCs/>
        </w:rPr>
        <w:t>PIPEDA</w:t>
      </w:r>
      <w:r w:rsidR="008435A9">
        <w:rPr>
          <w:i/>
          <w:iCs/>
        </w:rPr>
        <w:t xml:space="preserve"> which reflect a higher quantum</w:t>
      </w:r>
      <w:r w:rsidR="009346AD" w:rsidRPr="009346AD">
        <w:rPr>
          <w:i/>
          <w:iCs/>
        </w:rPr>
        <w:t xml:space="preserve">. Third, courts must firmly reject the Federal Court’s 2010 decision in Randall v </w:t>
      </w:r>
      <w:proofErr w:type="spellStart"/>
      <w:r w:rsidR="009346AD" w:rsidRPr="009346AD">
        <w:rPr>
          <w:i/>
          <w:iCs/>
        </w:rPr>
        <w:t>Nubody’s</w:t>
      </w:r>
      <w:proofErr w:type="spellEnd"/>
      <w:r w:rsidR="009346AD" w:rsidRPr="009346AD">
        <w:rPr>
          <w:i/>
          <w:iCs/>
        </w:rPr>
        <w:t xml:space="preserve"> Fitness Centres wh</w:t>
      </w:r>
      <w:r w:rsidR="009346AD" w:rsidRPr="009346AD">
        <w:rPr>
          <w:rStyle w:val="reflex3-block"/>
          <w:i/>
          <w:iCs/>
        </w:rPr>
        <w:t xml:space="preserve">ich held that damages </w:t>
      </w:r>
      <w:r w:rsidR="00B10490">
        <w:rPr>
          <w:rStyle w:val="reflex3-block"/>
          <w:i/>
          <w:iCs/>
        </w:rPr>
        <w:t>under</w:t>
      </w:r>
      <w:r w:rsidR="009346AD" w:rsidRPr="009346AD">
        <w:rPr>
          <w:rStyle w:val="reflex3-block"/>
          <w:i/>
          <w:iCs/>
        </w:rPr>
        <w:t xml:space="preserve"> PIPEDA are only recoverable in </w:t>
      </w:r>
      <w:r w:rsidR="009346AD" w:rsidRPr="009346AD">
        <w:rPr>
          <w:i/>
          <w:iCs/>
        </w:rPr>
        <w:t xml:space="preserve">“the most egregious situations.” </w:t>
      </w:r>
      <w:r w:rsidR="00B10490">
        <w:rPr>
          <w:i/>
          <w:iCs/>
        </w:rPr>
        <w:t>Egregious</w:t>
      </w:r>
      <w:r w:rsidR="008435A9">
        <w:rPr>
          <w:i/>
          <w:iCs/>
        </w:rPr>
        <w:t>ness</w:t>
      </w:r>
      <w:r w:rsidR="00B10490">
        <w:rPr>
          <w:i/>
          <w:iCs/>
        </w:rPr>
        <w:t xml:space="preserve"> is not an ingredient required by the Act</w:t>
      </w:r>
      <w:r w:rsidR="008435A9">
        <w:rPr>
          <w:i/>
          <w:iCs/>
        </w:rPr>
        <w:t xml:space="preserve"> and wrong</w:t>
      </w:r>
      <w:r w:rsidR="00825473">
        <w:rPr>
          <w:i/>
          <w:iCs/>
        </w:rPr>
        <w:t>ly</w:t>
      </w:r>
      <w:r w:rsidR="008435A9">
        <w:rPr>
          <w:i/>
          <w:iCs/>
        </w:rPr>
        <w:t xml:space="preserve"> reduces its scope</w:t>
      </w:r>
      <w:r w:rsidR="00B10490">
        <w:rPr>
          <w:i/>
          <w:iCs/>
        </w:rPr>
        <w:t xml:space="preserve">. </w:t>
      </w:r>
    </w:p>
    <w:p w14:paraId="709F8901" w14:textId="195D1AE9" w:rsidR="00EC393A" w:rsidRDefault="00EC393A" w:rsidP="00454A66">
      <w:pPr>
        <w:contextualSpacing/>
        <w:rPr>
          <w:u w:val="single"/>
        </w:rPr>
      </w:pPr>
    </w:p>
    <w:p w14:paraId="23DE17EA" w14:textId="66FF0EF6" w:rsidR="00576100" w:rsidRDefault="00576100">
      <w:pPr>
        <w:rPr>
          <w:u w:val="single"/>
        </w:rPr>
      </w:pPr>
      <w:r>
        <w:rPr>
          <w:u w:val="single"/>
        </w:rPr>
        <w:br w:type="page"/>
      </w:r>
    </w:p>
    <w:p w14:paraId="20B69439" w14:textId="7054023C" w:rsidR="00D40EBE" w:rsidRPr="00D40EBE" w:rsidRDefault="00856CE3" w:rsidP="00130DE3">
      <w:pPr>
        <w:contextualSpacing/>
      </w:pPr>
      <w:r>
        <w:lastRenderedPageBreak/>
        <w:t xml:space="preserve">Part </w:t>
      </w:r>
      <w:r w:rsidR="007E36DC">
        <w:t>One</w:t>
      </w:r>
      <w:r w:rsidR="00D40EBE" w:rsidRPr="00D40EBE">
        <w:t xml:space="preserve">: </w:t>
      </w:r>
      <w:r w:rsidR="007E36DC">
        <w:t>The</w:t>
      </w:r>
      <w:r w:rsidR="00DB0BC5">
        <w:t xml:space="preserve"> Nature and Enforcement of the</w:t>
      </w:r>
      <w:r w:rsidR="007E36DC">
        <w:t xml:space="preserve"> Privacy Interest under </w:t>
      </w:r>
      <w:r w:rsidR="00C17EAD" w:rsidRPr="00C17EAD">
        <w:rPr>
          <w:i/>
          <w:iCs/>
        </w:rPr>
        <w:t>PIPEDA</w:t>
      </w:r>
      <w:r w:rsidR="007E36DC">
        <w:t xml:space="preserve"> </w:t>
      </w:r>
      <w:r w:rsidR="00D40EBE" w:rsidRPr="00D40EBE">
        <w:t xml:space="preserve"> </w:t>
      </w:r>
    </w:p>
    <w:p w14:paraId="7A7E917C" w14:textId="77777777" w:rsidR="00D40EBE" w:rsidRDefault="00D40EBE" w:rsidP="00D40EBE">
      <w:pPr>
        <w:contextualSpacing/>
      </w:pPr>
    </w:p>
    <w:p w14:paraId="779C5820" w14:textId="627FA772" w:rsidR="00454A66" w:rsidRPr="003250BF" w:rsidRDefault="00B10490" w:rsidP="00D40EBE">
      <w:pPr>
        <w:contextualSpacing/>
      </w:pPr>
      <w:r>
        <w:t>I</w:t>
      </w:r>
      <w:r w:rsidR="00454A66" w:rsidRPr="003250BF">
        <w:t>ntroduction</w:t>
      </w:r>
      <w:r w:rsidR="007D0805" w:rsidRPr="003250BF">
        <w:t xml:space="preserve"> </w:t>
      </w:r>
    </w:p>
    <w:p w14:paraId="5A359B77" w14:textId="77777777" w:rsidR="008E5CAA" w:rsidRPr="003250BF" w:rsidRDefault="008E5CAA" w:rsidP="00454A66">
      <w:pPr>
        <w:contextualSpacing/>
      </w:pPr>
    </w:p>
    <w:p w14:paraId="201B3C6D" w14:textId="2FEDD827" w:rsidR="00A55602" w:rsidRPr="003250BF" w:rsidRDefault="00856CE3" w:rsidP="00020233">
      <w:r>
        <w:t xml:space="preserve">Section </w:t>
      </w:r>
      <w:r w:rsidR="00DB0BC5">
        <w:t>I</w:t>
      </w:r>
      <w:r w:rsidR="00454A66" w:rsidRPr="003250BF">
        <w:t>:</w:t>
      </w:r>
      <w:r w:rsidR="00E85649" w:rsidRPr="003250BF">
        <w:t xml:space="preserve"> </w:t>
      </w:r>
      <w:r w:rsidR="008432D1" w:rsidRPr="003250BF">
        <w:t xml:space="preserve">A Primer on Dispute Resolution and Damage Claims under </w:t>
      </w:r>
      <w:r w:rsidR="003061DB" w:rsidRPr="003250BF">
        <w:rPr>
          <w:i/>
          <w:iCs/>
        </w:rPr>
        <w:t>PIPEDA</w:t>
      </w:r>
      <w:r w:rsidR="008432D1" w:rsidRPr="003250BF">
        <w:t xml:space="preserve"> </w:t>
      </w:r>
      <w:r w:rsidR="00454A66" w:rsidRPr="003250BF">
        <w:t xml:space="preserve"> </w:t>
      </w:r>
    </w:p>
    <w:p w14:paraId="598F3EBA" w14:textId="3FACF660" w:rsidR="002C4EF2" w:rsidRPr="003250BF" w:rsidRDefault="00C17EAD" w:rsidP="00D71614">
      <w:pPr>
        <w:pStyle w:val="ListParagraph"/>
        <w:numPr>
          <w:ilvl w:val="0"/>
          <w:numId w:val="11"/>
        </w:numPr>
      </w:pPr>
      <w:r w:rsidRPr="00C17EAD">
        <w:rPr>
          <w:i/>
          <w:iCs/>
        </w:rPr>
        <w:t>PIPEDA</w:t>
      </w:r>
      <w:r w:rsidR="00D947D1" w:rsidRPr="003250BF">
        <w:t>’s</w:t>
      </w:r>
      <w:r w:rsidR="002C4EF2" w:rsidRPr="003250BF">
        <w:t xml:space="preserve"> Legislative Process</w:t>
      </w:r>
    </w:p>
    <w:p w14:paraId="1C4DD5A0" w14:textId="7A35A19B" w:rsidR="002C4EF2" w:rsidRPr="003250BF" w:rsidRDefault="002C4EF2" w:rsidP="00BD76EC">
      <w:pPr>
        <w:pStyle w:val="ListParagraph"/>
        <w:numPr>
          <w:ilvl w:val="0"/>
          <w:numId w:val="11"/>
        </w:numPr>
      </w:pPr>
      <w:r w:rsidRPr="003250BF">
        <w:t xml:space="preserve">Critique of </w:t>
      </w:r>
      <w:r w:rsidR="00C17EAD" w:rsidRPr="00C17EAD">
        <w:rPr>
          <w:i/>
          <w:iCs/>
        </w:rPr>
        <w:t>PIPEDA</w:t>
      </w:r>
    </w:p>
    <w:p w14:paraId="2E79B868" w14:textId="7DADA379" w:rsidR="005128CE" w:rsidRPr="003250BF" w:rsidRDefault="005A4FD0" w:rsidP="00BD76EC">
      <w:pPr>
        <w:pStyle w:val="ListParagraph"/>
        <w:numPr>
          <w:ilvl w:val="0"/>
          <w:numId w:val="11"/>
        </w:numPr>
      </w:pPr>
      <w:r w:rsidRPr="003250BF">
        <w:t>Comparable</w:t>
      </w:r>
      <w:r w:rsidR="005128CE" w:rsidRPr="003250BF">
        <w:t xml:space="preserve"> Provincial Acts</w:t>
      </w:r>
    </w:p>
    <w:p w14:paraId="158BBCCE" w14:textId="7E9CD488" w:rsidR="00454A66" w:rsidRPr="003250BF" w:rsidRDefault="00856CE3" w:rsidP="00454A66">
      <w:r>
        <w:t xml:space="preserve">Section </w:t>
      </w:r>
      <w:r w:rsidR="00E85649" w:rsidRPr="003250BF">
        <w:t xml:space="preserve">II: </w:t>
      </w:r>
      <w:r w:rsidR="00834BC1" w:rsidRPr="003250BF">
        <w:t xml:space="preserve">Enforcing the </w:t>
      </w:r>
      <w:r w:rsidR="001807F4" w:rsidRPr="003250BF">
        <w:t>P</w:t>
      </w:r>
      <w:r w:rsidR="00622177" w:rsidRPr="003250BF">
        <w:t xml:space="preserve">rivacy </w:t>
      </w:r>
      <w:r w:rsidR="001807F4" w:rsidRPr="003250BF">
        <w:t>I</w:t>
      </w:r>
      <w:r w:rsidR="00454A66" w:rsidRPr="003250BF">
        <w:t>nterest</w:t>
      </w:r>
    </w:p>
    <w:p w14:paraId="77902ECB" w14:textId="40F3B95E" w:rsidR="00325345" w:rsidRPr="003250BF" w:rsidRDefault="00D7357A" w:rsidP="00D71614">
      <w:pPr>
        <w:pStyle w:val="ListParagraph"/>
        <w:numPr>
          <w:ilvl w:val="0"/>
          <w:numId w:val="1"/>
        </w:numPr>
      </w:pPr>
      <w:r w:rsidRPr="003250BF">
        <w:t>The</w:t>
      </w:r>
      <w:r w:rsidR="00325345" w:rsidRPr="003250BF">
        <w:t xml:space="preserve"> </w:t>
      </w:r>
      <w:r w:rsidR="002763E7" w:rsidRPr="003250BF">
        <w:t>F</w:t>
      </w:r>
      <w:r w:rsidR="00325345" w:rsidRPr="003250BF">
        <w:t xml:space="preserve">unctional </w:t>
      </w:r>
      <w:r w:rsidR="002763E7" w:rsidRPr="003250BF">
        <w:t>A</w:t>
      </w:r>
      <w:r w:rsidR="00325345" w:rsidRPr="003250BF">
        <w:t>pproach</w:t>
      </w:r>
      <w:r w:rsidR="00AE10A9" w:rsidRPr="003250BF">
        <w:t xml:space="preserve"> </w:t>
      </w:r>
      <w:r w:rsidR="00161586" w:rsidRPr="003250BF">
        <w:t xml:space="preserve">to Damages </w:t>
      </w:r>
      <w:r w:rsidR="00AE10A9" w:rsidRPr="003250BF">
        <w:t xml:space="preserve">and the </w:t>
      </w:r>
      <w:r w:rsidR="002763E7" w:rsidRPr="003250BF">
        <w:t>I</w:t>
      </w:r>
      <w:r w:rsidR="00AE10A9" w:rsidRPr="003250BF">
        <w:t xml:space="preserve">nterests </w:t>
      </w:r>
      <w:r w:rsidR="002763E7" w:rsidRPr="003250BF">
        <w:t>P</w:t>
      </w:r>
      <w:r w:rsidR="00AE10A9" w:rsidRPr="003250BF">
        <w:t xml:space="preserve">rotected by </w:t>
      </w:r>
      <w:r w:rsidR="00C17EAD" w:rsidRPr="00C17EAD">
        <w:rPr>
          <w:i/>
          <w:iCs/>
        </w:rPr>
        <w:t>PIPEDA</w:t>
      </w:r>
    </w:p>
    <w:p w14:paraId="22CB709E" w14:textId="295BD2DB" w:rsidR="00344D7C" w:rsidRPr="003250BF" w:rsidRDefault="00C17EAD" w:rsidP="00706E87">
      <w:pPr>
        <w:pStyle w:val="ListParagraph"/>
        <w:numPr>
          <w:ilvl w:val="0"/>
          <w:numId w:val="1"/>
        </w:numPr>
      </w:pPr>
      <w:r w:rsidRPr="00C17EAD">
        <w:rPr>
          <w:i/>
          <w:iCs/>
        </w:rPr>
        <w:t>PIPEDA</w:t>
      </w:r>
      <w:r w:rsidR="00662A49" w:rsidRPr="003250BF">
        <w:t>’s</w:t>
      </w:r>
      <w:r w:rsidR="00F71861" w:rsidRPr="003250BF">
        <w:t xml:space="preserve"> </w:t>
      </w:r>
      <w:r w:rsidR="002763E7" w:rsidRPr="003250BF">
        <w:t>L</w:t>
      </w:r>
      <w:r w:rsidR="00F71861" w:rsidRPr="003250BF">
        <w:t xml:space="preserve">ink to </w:t>
      </w:r>
      <w:r w:rsidR="002763E7" w:rsidRPr="003250BF">
        <w:t>D</w:t>
      </w:r>
      <w:r w:rsidR="00264316" w:rsidRPr="003250BF">
        <w:t>ignitary</w:t>
      </w:r>
      <w:r w:rsidR="00F71861" w:rsidRPr="003250BF">
        <w:t xml:space="preserve"> </w:t>
      </w:r>
      <w:r w:rsidR="002763E7" w:rsidRPr="003250BF">
        <w:t>T</w:t>
      </w:r>
      <w:r w:rsidR="00F71861" w:rsidRPr="003250BF">
        <w:t>orts</w:t>
      </w:r>
    </w:p>
    <w:p w14:paraId="61B7CDEE" w14:textId="438D393A" w:rsidR="00A55602" w:rsidRPr="003250BF" w:rsidRDefault="00A55602" w:rsidP="00706E87">
      <w:pPr>
        <w:pStyle w:val="ListParagraph"/>
        <w:numPr>
          <w:ilvl w:val="0"/>
          <w:numId w:val="6"/>
        </w:numPr>
      </w:pPr>
      <w:r w:rsidRPr="003250BF">
        <w:t>The Nature of Dignitary Torts</w:t>
      </w:r>
    </w:p>
    <w:p w14:paraId="1DE7CA30" w14:textId="3E85957B" w:rsidR="00344D7C" w:rsidRPr="003250BF" w:rsidRDefault="00344D7C" w:rsidP="00706E87">
      <w:pPr>
        <w:pStyle w:val="ListParagraph"/>
        <w:numPr>
          <w:ilvl w:val="0"/>
          <w:numId w:val="6"/>
        </w:numPr>
      </w:pPr>
      <w:r w:rsidRPr="003250BF">
        <w:t>The Privacy Torts</w:t>
      </w:r>
      <w:r w:rsidR="002763E7" w:rsidRPr="003250BF">
        <w:t xml:space="preserve"> as Dignitary Torts</w:t>
      </w:r>
    </w:p>
    <w:p w14:paraId="139F2317" w14:textId="0F2EED88" w:rsidR="00325345" w:rsidRPr="003250BF" w:rsidRDefault="00344D7C" w:rsidP="00706E87">
      <w:pPr>
        <w:pStyle w:val="ListParagraph"/>
        <w:numPr>
          <w:ilvl w:val="0"/>
          <w:numId w:val="6"/>
        </w:numPr>
      </w:pPr>
      <w:r w:rsidRPr="003250BF">
        <w:t>Defamation</w:t>
      </w:r>
      <w:r w:rsidR="00F71861" w:rsidRPr="003250BF">
        <w:t xml:space="preserve"> </w:t>
      </w:r>
      <w:r w:rsidR="002763E7" w:rsidRPr="003250BF">
        <w:t>as a Dignitary Tort</w:t>
      </w:r>
    </w:p>
    <w:p w14:paraId="1DCEE62D" w14:textId="1C3D9F18" w:rsidR="00576100" w:rsidRDefault="00856CE3" w:rsidP="00130DE3">
      <w:r>
        <w:t xml:space="preserve">Section </w:t>
      </w:r>
      <w:r w:rsidR="00130DE3">
        <w:t>III:</w:t>
      </w:r>
      <w:r w:rsidR="00FD716D">
        <w:t xml:space="preserve"> </w:t>
      </w:r>
      <w:r w:rsidR="00396AEA">
        <w:t xml:space="preserve">Brief </w:t>
      </w:r>
      <w:r w:rsidR="00BA7A29">
        <w:t xml:space="preserve">Conclusion </w:t>
      </w:r>
      <w:r w:rsidR="00DB0BC5">
        <w:t>to</w:t>
      </w:r>
      <w:r w:rsidR="00BA7A29">
        <w:t xml:space="preserve"> </w:t>
      </w:r>
      <w:r>
        <w:t xml:space="preserve">Part </w:t>
      </w:r>
      <w:r w:rsidR="00DB0BC5">
        <w:t>One</w:t>
      </w:r>
    </w:p>
    <w:p w14:paraId="030D1592" w14:textId="0924D050" w:rsidR="00112207" w:rsidRDefault="00112207" w:rsidP="00130DE3">
      <w:r>
        <w:t>Table 1: Personal Information Protection Legislation in Canada</w:t>
      </w:r>
    </w:p>
    <w:p w14:paraId="4C6CECD1" w14:textId="07A712DD" w:rsidR="00BA7A29" w:rsidRDefault="001E5720" w:rsidP="00576100">
      <w:r>
        <w:t>Appendi</w:t>
      </w:r>
      <w:r w:rsidRPr="001E5720">
        <w:t xml:space="preserve">x A: Successful Applications for Damages under </w:t>
      </w:r>
      <w:r w:rsidRPr="001E5720">
        <w:rPr>
          <w:i/>
          <w:iCs/>
        </w:rPr>
        <w:t>PIPEDA</w:t>
      </w:r>
      <w:r w:rsidRPr="001E5720">
        <w:t xml:space="preserve"> in a Commercial Context</w:t>
      </w:r>
    </w:p>
    <w:p w14:paraId="381D5DA6" w14:textId="5EC9E9F3" w:rsidR="001E5720" w:rsidRDefault="001E5720" w:rsidP="00576100">
      <w:r>
        <w:t xml:space="preserve">Appendix B: </w:t>
      </w:r>
      <w:r w:rsidRPr="001E5720">
        <w:t>Unsuccessful Applications for Damages under PIPEDA in a Commercial Context</w:t>
      </w:r>
      <w:r>
        <w:t xml:space="preserve"> </w:t>
      </w:r>
    </w:p>
    <w:p w14:paraId="704D993A" w14:textId="5E8F3115" w:rsidR="007367E6" w:rsidRDefault="00FA6A8B" w:rsidP="005F592D">
      <w:r w:rsidRPr="005F592D">
        <w:t>**</w:t>
      </w:r>
      <w:r w:rsidR="00856CE3" w:rsidRPr="005F592D">
        <w:t>Part</w:t>
      </w:r>
      <w:r w:rsidR="007367E6" w:rsidRPr="005F592D">
        <w:t xml:space="preserve"> Two of this article is forthcoming in </w:t>
      </w:r>
      <w:r w:rsidR="005F592D" w:rsidRPr="005F592D">
        <w:t xml:space="preserve">the June </w:t>
      </w:r>
      <w:r w:rsidR="00B00624">
        <w:t xml:space="preserve">2022 </w:t>
      </w:r>
      <w:r w:rsidR="005F592D" w:rsidRPr="005F592D">
        <w:t>issue of the Advocates’ Quarterly</w:t>
      </w:r>
      <w:r w:rsidR="007367E6" w:rsidRPr="005F592D">
        <w:t>.</w:t>
      </w:r>
    </w:p>
    <w:p w14:paraId="6F99EE24" w14:textId="3856A002" w:rsidR="006C55B7" w:rsidRDefault="006C55B7" w:rsidP="00E84770">
      <w:pPr>
        <w:pStyle w:val="ListParagraph"/>
        <w:ind w:left="0"/>
        <w:rPr>
          <w:b/>
          <w:bCs/>
        </w:rPr>
      </w:pPr>
    </w:p>
    <w:p w14:paraId="5AC89A5A" w14:textId="77777777" w:rsidR="00EF5EDF" w:rsidRDefault="00344D7C" w:rsidP="00852151">
      <w:pPr>
        <w:jc w:val="center"/>
        <w:rPr>
          <w:b/>
          <w:bCs/>
        </w:rPr>
      </w:pPr>
      <w:r w:rsidRPr="002A760D">
        <w:rPr>
          <w:b/>
          <w:bCs/>
        </w:rPr>
        <w:br w:type="page"/>
      </w:r>
    </w:p>
    <w:p w14:paraId="10F0BC26" w14:textId="13598ED8" w:rsidR="00EF5EDF" w:rsidRPr="002A760D" w:rsidRDefault="00856CE3" w:rsidP="002A760D">
      <w:pPr>
        <w:rPr>
          <w:b/>
          <w:bCs/>
        </w:rPr>
      </w:pPr>
      <w:r w:rsidRPr="005F592D">
        <w:rPr>
          <w:b/>
          <w:bCs/>
        </w:rPr>
        <w:lastRenderedPageBreak/>
        <w:t xml:space="preserve">Part </w:t>
      </w:r>
      <w:r w:rsidR="00EF5EDF" w:rsidRPr="005F592D">
        <w:rPr>
          <w:b/>
          <w:bCs/>
        </w:rPr>
        <w:t>One:  The Nature and Enforcement of the Privacy Interest under PIPEDA</w:t>
      </w:r>
      <w:r w:rsidR="00EF5EDF" w:rsidRPr="002A760D">
        <w:rPr>
          <w:b/>
          <w:bCs/>
        </w:rPr>
        <w:t xml:space="preserve"> </w:t>
      </w:r>
    </w:p>
    <w:p w14:paraId="1911C9B6" w14:textId="3CFA328D" w:rsidR="004B3585" w:rsidRPr="002A760D" w:rsidRDefault="004B3585" w:rsidP="00852151">
      <w:pPr>
        <w:jc w:val="center"/>
        <w:rPr>
          <w:b/>
          <w:bCs/>
        </w:rPr>
      </w:pPr>
      <w:r w:rsidRPr="002A760D">
        <w:rPr>
          <w:b/>
          <w:bCs/>
        </w:rPr>
        <w:t>Introduction</w:t>
      </w:r>
      <w:r w:rsidR="007D0805" w:rsidRPr="002A760D">
        <w:rPr>
          <w:b/>
          <w:bCs/>
        </w:rPr>
        <w:t xml:space="preserve"> </w:t>
      </w:r>
    </w:p>
    <w:p w14:paraId="70D4A25E" w14:textId="0C3180B2" w:rsidR="00D25DD8" w:rsidRDefault="00D74A33" w:rsidP="0080693A">
      <w:r w:rsidRPr="0092446E">
        <w:t xml:space="preserve">On </w:t>
      </w:r>
      <w:r w:rsidR="0092446E" w:rsidRPr="0092446E">
        <w:t>April 19, 2021</w:t>
      </w:r>
      <w:r w:rsidRPr="0092446E">
        <w:t xml:space="preserve">, </w:t>
      </w:r>
      <w:r w:rsidR="008E5CAA">
        <w:t xml:space="preserve">the federal government’s </w:t>
      </w:r>
      <w:r w:rsidRPr="0092446E">
        <w:t xml:space="preserve">Bill C-11 (the </w:t>
      </w:r>
      <w:r w:rsidRPr="00FF3A8A">
        <w:rPr>
          <w:i/>
          <w:iCs/>
        </w:rPr>
        <w:t xml:space="preserve">Digital </w:t>
      </w:r>
      <w:r w:rsidR="003061DB" w:rsidRPr="003061DB">
        <w:rPr>
          <w:i/>
          <w:iCs/>
        </w:rPr>
        <w:t>Charter</w:t>
      </w:r>
      <w:r w:rsidRPr="00FF3A8A">
        <w:rPr>
          <w:i/>
          <w:iCs/>
        </w:rPr>
        <w:t xml:space="preserve"> Implementation Act</w:t>
      </w:r>
      <w:r w:rsidRPr="0092446E">
        <w:t>, 2020</w:t>
      </w:r>
      <w:r w:rsidR="00F31DCD">
        <w:rPr>
          <w:rStyle w:val="FootnoteReference"/>
        </w:rPr>
        <w:footnoteReference w:id="4"/>
      </w:r>
      <w:r w:rsidRPr="0092446E">
        <w:t xml:space="preserve">) received </w:t>
      </w:r>
      <w:r w:rsidR="0092446E" w:rsidRPr="0092446E">
        <w:t xml:space="preserve">second </w:t>
      </w:r>
      <w:r w:rsidRPr="0092446E">
        <w:t>reading</w:t>
      </w:r>
      <w:r w:rsidR="0092446E" w:rsidRPr="0092446E">
        <w:rPr>
          <w:rStyle w:val="FootnoteReference"/>
        </w:rPr>
        <w:footnoteReference w:id="5"/>
      </w:r>
      <w:r w:rsidR="00AA396B">
        <w:t xml:space="preserve"> </w:t>
      </w:r>
      <w:r w:rsidR="00B008A7">
        <w:t xml:space="preserve">and, </w:t>
      </w:r>
      <w:r w:rsidR="00B008A7">
        <w:rPr>
          <w:i/>
          <w:iCs/>
        </w:rPr>
        <w:t>inter alia,</w:t>
      </w:r>
      <w:r w:rsidR="00B008A7">
        <w:t xml:space="preserve"> proposed a significant new piece of private-sector data privacy legislation called the </w:t>
      </w:r>
      <w:r w:rsidR="00B008A7">
        <w:rPr>
          <w:i/>
          <w:iCs/>
        </w:rPr>
        <w:t xml:space="preserve">Consumer Privacy Protection Act </w:t>
      </w:r>
      <w:r w:rsidR="00B008A7">
        <w:t>(</w:t>
      </w:r>
      <w:r w:rsidR="00B008A7" w:rsidRPr="003061DB">
        <w:rPr>
          <w:i/>
          <w:iCs/>
        </w:rPr>
        <w:t>CPPA</w:t>
      </w:r>
      <w:r w:rsidR="00B008A7">
        <w:t>)</w:t>
      </w:r>
      <w:r w:rsidR="004E5E6D">
        <w:t>.</w:t>
      </w:r>
      <w:r w:rsidR="00B008A7">
        <w:rPr>
          <w:rStyle w:val="FootnoteReference"/>
        </w:rPr>
        <w:footnoteReference w:id="6"/>
      </w:r>
      <w:r w:rsidR="004E5E6D">
        <w:t xml:space="preserve"> </w:t>
      </w:r>
      <w:r w:rsidR="004E5E6D" w:rsidRPr="004E5E6D">
        <w:rPr>
          <w:i/>
          <w:iCs/>
        </w:rPr>
        <w:t>CPPA</w:t>
      </w:r>
      <w:r w:rsidR="004E5E6D">
        <w:t xml:space="preserve"> include</w:t>
      </w:r>
      <w:r w:rsidR="0080693A">
        <w:t>d</w:t>
      </w:r>
      <w:r w:rsidR="004E5E6D">
        <w:t xml:space="preserve"> substantive changes</w:t>
      </w:r>
      <w:r w:rsidR="009B56D2">
        <w:rPr>
          <w:rStyle w:val="FootnoteReference"/>
        </w:rPr>
        <w:footnoteReference w:id="7"/>
      </w:r>
      <w:r w:rsidR="009B56D2">
        <w:t xml:space="preserve"> </w:t>
      </w:r>
      <w:r w:rsidR="004E5E6D">
        <w:t xml:space="preserve">to the </w:t>
      </w:r>
      <w:r w:rsidR="004E5E6D" w:rsidRPr="001E7C85">
        <w:rPr>
          <w:i/>
          <w:iCs/>
        </w:rPr>
        <w:t>Personal Information Protection and Electronic Document Act (</w:t>
      </w:r>
      <w:r w:rsidR="00C17EAD" w:rsidRPr="00C17EAD">
        <w:rPr>
          <w:i/>
          <w:iCs/>
        </w:rPr>
        <w:t>PIPEDA</w:t>
      </w:r>
      <w:r w:rsidR="004E5E6D" w:rsidRPr="001E7C85">
        <w:rPr>
          <w:i/>
          <w:iCs/>
        </w:rPr>
        <w:t>)</w:t>
      </w:r>
      <w:r w:rsidR="004E5E6D">
        <w:rPr>
          <w:i/>
          <w:iCs/>
        </w:rPr>
        <w:t>,</w:t>
      </w:r>
      <w:r w:rsidR="004E5E6D">
        <w:rPr>
          <w:rStyle w:val="FootnoteReference"/>
        </w:rPr>
        <w:footnoteReference w:id="8"/>
      </w:r>
      <w:r w:rsidR="004E5E6D">
        <w:rPr>
          <w:i/>
          <w:iCs/>
        </w:rPr>
        <w:t xml:space="preserve"> </w:t>
      </w:r>
      <w:r w:rsidR="004E5E6D">
        <w:t xml:space="preserve">the legislation which currently governs the protection of personal information in the private sector, and </w:t>
      </w:r>
      <w:r w:rsidR="0080693A">
        <w:t>wa</w:t>
      </w:r>
      <w:r w:rsidR="004E5E6D">
        <w:t xml:space="preserve">s in response </w:t>
      </w:r>
      <w:r w:rsidR="00B008A7">
        <w:t>to almost two decades of re</w:t>
      </w:r>
      <w:r w:rsidR="004E5E6D">
        <w:t xml:space="preserve">peated </w:t>
      </w:r>
      <w:r w:rsidR="00B008A7">
        <w:t>calls for reform</w:t>
      </w:r>
      <w:r w:rsidR="004E5E6D">
        <w:t>.</w:t>
      </w:r>
      <w:r w:rsidR="009E1130" w:rsidRPr="009E1130">
        <w:rPr>
          <w:rStyle w:val="FootnoteReference"/>
        </w:rPr>
        <w:t xml:space="preserve"> </w:t>
      </w:r>
      <w:bookmarkStart w:id="2" w:name="_Ref77329982"/>
      <w:r w:rsidR="009E1130">
        <w:rPr>
          <w:rStyle w:val="FootnoteReference"/>
        </w:rPr>
        <w:footnoteReference w:id="9"/>
      </w:r>
      <w:bookmarkEnd w:id="2"/>
      <w:r w:rsidR="009E1130">
        <w:t xml:space="preserve"> </w:t>
      </w:r>
      <w:r w:rsidR="00E820F4">
        <w:t xml:space="preserve">Though </w:t>
      </w:r>
      <w:r w:rsidR="00066054" w:rsidRPr="009E1130">
        <w:rPr>
          <w:i/>
          <w:iCs/>
        </w:rPr>
        <w:t>CPPA</w:t>
      </w:r>
      <w:r w:rsidR="00066054">
        <w:t xml:space="preserve"> die</w:t>
      </w:r>
      <w:r w:rsidR="0080693A">
        <w:t>d</w:t>
      </w:r>
      <w:r w:rsidR="00066054">
        <w:t xml:space="preserve"> on the order paper</w:t>
      </w:r>
      <w:r w:rsidR="001E417A">
        <w:t xml:space="preserve">, </w:t>
      </w:r>
      <w:r w:rsidR="00E820F4">
        <w:t>it</w:t>
      </w:r>
      <w:r w:rsidR="0080693A">
        <w:t>s</w:t>
      </w:r>
      <w:r w:rsidR="00E820F4">
        <w:t xml:space="preserve"> </w:t>
      </w:r>
      <w:r w:rsidR="0080693A">
        <w:t>introduction</w:t>
      </w:r>
      <w:r w:rsidR="00D947D1">
        <w:t xml:space="preserve"> </w:t>
      </w:r>
      <w:r w:rsidR="00E820F4">
        <w:t>provide</w:t>
      </w:r>
      <w:r w:rsidR="00A14966">
        <w:t>s</w:t>
      </w:r>
      <w:r w:rsidR="00E820F4">
        <w:t xml:space="preserve"> a timely </w:t>
      </w:r>
      <w:r w:rsidR="00066054">
        <w:t xml:space="preserve">opportunity </w:t>
      </w:r>
      <w:r w:rsidR="00E820F4">
        <w:t xml:space="preserve">to assess whether </w:t>
      </w:r>
      <w:r w:rsidR="00066054" w:rsidRPr="00E820F4">
        <w:rPr>
          <w:i/>
          <w:iCs/>
        </w:rPr>
        <w:t>PIPEDA</w:t>
      </w:r>
      <w:r w:rsidR="00066054">
        <w:t xml:space="preserve"> </w:t>
      </w:r>
      <w:r w:rsidR="0095065B">
        <w:t xml:space="preserve">is meeting </w:t>
      </w:r>
      <w:r w:rsidR="00066054">
        <w:t xml:space="preserve">its </w:t>
      </w:r>
      <w:r w:rsidR="00020233">
        <w:t xml:space="preserve">expressed </w:t>
      </w:r>
      <w:r w:rsidR="00D25DD8">
        <w:t xml:space="preserve">legislative </w:t>
      </w:r>
      <w:r w:rsidR="00066054">
        <w:t xml:space="preserve">purpose </w:t>
      </w:r>
      <w:r w:rsidR="001E5720">
        <w:t xml:space="preserve">of </w:t>
      </w:r>
      <w:r w:rsidR="00020233">
        <w:t xml:space="preserve">recognizing </w:t>
      </w:r>
      <w:r w:rsidR="001E5720">
        <w:t>“</w:t>
      </w:r>
      <w:r w:rsidR="00020233">
        <w:t>the right of privacy of individuals with respect to their personal information”</w:t>
      </w:r>
      <w:r w:rsidR="00020233">
        <w:rPr>
          <w:rStyle w:val="FootnoteReference"/>
        </w:rPr>
        <w:footnoteReference w:id="10"/>
      </w:r>
      <w:r w:rsidR="00020233">
        <w:t xml:space="preserve"> in the </w:t>
      </w:r>
      <w:r w:rsidR="0095065B">
        <w:t xml:space="preserve">context </w:t>
      </w:r>
      <w:r w:rsidR="00020233">
        <w:t>of damages</w:t>
      </w:r>
      <w:r w:rsidR="001E417A">
        <w:t xml:space="preserve">. </w:t>
      </w:r>
      <w:r w:rsidR="00D947D1">
        <w:t xml:space="preserve">The following </w:t>
      </w:r>
      <w:r w:rsidR="00852151">
        <w:t>article</w:t>
      </w:r>
      <w:r w:rsidR="00D947D1">
        <w:t xml:space="preserve"> offers just such an assessment</w:t>
      </w:r>
      <w:r w:rsidR="00A97F99">
        <w:t>. C</w:t>
      </w:r>
      <w:r w:rsidR="00D947D1">
        <w:t xml:space="preserve">oming some 20 years after the </w:t>
      </w:r>
      <w:r w:rsidR="00D947D1">
        <w:lastRenderedPageBreak/>
        <w:t xml:space="preserve">enactment of </w:t>
      </w:r>
      <w:r w:rsidR="00D947D1" w:rsidRPr="00BD76EC">
        <w:rPr>
          <w:i/>
          <w:iCs/>
        </w:rPr>
        <w:t>PIPEDA</w:t>
      </w:r>
      <w:r w:rsidR="00A97F99">
        <w:t>,</w:t>
      </w:r>
      <w:r w:rsidR="00D947D1">
        <w:t xml:space="preserve"> </w:t>
      </w:r>
      <w:r w:rsidR="00A97F99">
        <w:t>w</w:t>
      </w:r>
      <w:r w:rsidR="00D947D1">
        <w:t xml:space="preserve">e hope that this </w:t>
      </w:r>
      <w:r w:rsidR="00852151">
        <w:t>article</w:t>
      </w:r>
      <w:r w:rsidR="00D947D1">
        <w:t xml:space="preserve"> will prove to be </w:t>
      </w:r>
      <w:r w:rsidR="001E417A">
        <w:t>useful on its own footing but also in the pressing context of future legislative reform.</w:t>
      </w:r>
    </w:p>
    <w:p w14:paraId="1913749D" w14:textId="2F524354" w:rsidR="00020233" w:rsidRDefault="001E417A" w:rsidP="00781CD7">
      <w:pPr>
        <w:spacing w:after="0"/>
        <w:ind w:firstLine="720"/>
      </w:pPr>
      <w:r>
        <w:t>T</w:t>
      </w:r>
      <w:r w:rsidR="00D25DD8">
        <w:t xml:space="preserve">his </w:t>
      </w:r>
      <w:r w:rsidR="00852151">
        <w:t>article</w:t>
      </w:r>
      <w:r w:rsidR="00D25DD8">
        <w:t xml:space="preserve"> focusses on</w:t>
      </w:r>
      <w:r w:rsidR="002F3F0A">
        <w:t xml:space="preserve"> </w:t>
      </w:r>
      <w:r w:rsidR="00AD5AB9">
        <w:t xml:space="preserve">how courts </w:t>
      </w:r>
      <w:r w:rsidR="004E5E6D">
        <w:t xml:space="preserve">under </w:t>
      </w:r>
      <w:r w:rsidR="004E5E6D" w:rsidRPr="009E1130">
        <w:rPr>
          <w:i/>
          <w:iCs/>
        </w:rPr>
        <w:t>PIPEDA</w:t>
      </w:r>
      <w:r w:rsidR="004E5E6D">
        <w:t xml:space="preserve"> </w:t>
      </w:r>
      <w:r w:rsidR="00AD5AB9">
        <w:t xml:space="preserve">quantify </w:t>
      </w:r>
      <w:r w:rsidR="001A2373">
        <w:t xml:space="preserve">monetary </w:t>
      </w:r>
      <w:r w:rsidR="003061DB" w:rsidRPr="003061DB">
        <w:t>awards</w:t>
      </w:r>
      <w:r w:rsidR="00AD5AB9">
        <w:t xml:space="preserve"> for </w:t>
      </w:r>
      <w:r w:rsidR="00562B42">
        <w:t xml:space="preserve">privacy </w:t>
      </w:r>
      <w:r w:rsidR="00AD5AB9">
        <w:t>breach</w:t>
      </w:r>
      <w:r w:rsidR="001A2373">
        <w:t>es</w:t>
      </w:r>
      <w:r w:rsidR="004C4B8A">
        <w:t xml:space="preserve"> in a commercial context</w:t>
      </w:r>
      <w:r w:rsidR="00AD5AB9">
        <w:t xml:space="preserve">. </w:t>
      </w:r>
      <w:r w:rsidR="001A2373">
        <w:t>As will be discussed,</w:t>
      </w:r>
      <w:r w:rsidR="00AD5AB9">
        <w:t xml:space="preserve"> the</w:t>
      </w:r>
      <w:r w:rsidR="001A2373">
        <w:t xml:space="preserve">se </w:t>
      </w:r>
      <w:r w:rsidR="003061DB" w:rsidRPr="003061DB">
        <w:t>awards</w:t>
      </w:r>
      <w:r w:rsidR="00AD5AB9">
        <w:t xml:space="preserve"> are </w:t>
      </w:r>
      <w:r w:rsidR="00D25DD8">
        <w:t xml:space="preserve">regrettably </w:t>
      </w:r>
      <w:r w:rsidR="001A2373">
        <w:t xml:space="preserve">deficient for being unduly </w:t>
      </w:r>
      <w:r w:rsidR="00AD5AB9">
        <w:t>low</w:t>
      </w:r>
      <w:r w:rsidR="00562B42">
        <w:t xml:space="preserve"> </w:t>
      </w:r>
      <w:r w:rsidR="005820F5">
        <w:t xml:space="preserve">– </w:t>
      </w:r>
      <w:r w:rsidR="00C74931">
        <w:t xml:space="preserve">estimated at </w:t>
      </w:r>
      <w:r w:rsidR="00EB396F">
        <w:t>an average of $3,000 to</w:t>
      </w:r>
      <w:r w:rsidR="00C74931">
        <w:t xml:space="preserve"> </w:t>
      </w:r>
      <w:r w:rsidR="004B604B">
        <w:t>$5,000</w:t>
      </w:r>
      <w:r w:rsidR="00C74931">
        <w:t xml:space="preserve"> per claim</w:t>
      </w:r>
      <w:r w:rsidR="002925AD">
        <w:rPr>
          <w:rStyle w:val="FootnoteReference"/>
        </w:rPr>
        <w:footnoteReference w:id="11"/>
      </w:r>
      <w:r w:rsidR="00562B42">
        <w:t xml:space="preserve"> </w:t>
      </w:r>
      <w:r w:rsidR="005820F5">
        <w:t>–</w:t>
      </w:r>
      <w:r w:rsidR="00562B42">
        <w:t xml:space="preserve"> </w:t>
      </w:r>
      <w:r w:rsidR="00D25DD8">
        <w:t xml:space="preserve">and </w:t>
      </w:r>
      <w:r w:rsidR="00562B42">
        <w:t>thereby undermin</w:t>
      </w:r>
      <w:r w:rsidR="00D25DD8">
        <w:t>e</w:t>
      </w:r>
      <w:r w:rsidR="00562B42">
        <w:t xml:space="preserve"> </w:t>
      </w:r>
      <w:r w:rsidR="00D25DD8" w:rsidRPr="009E1130">
        <w:rPr>
          <w:i/>
          <w:iCs/>
        </w:rPr>
        <w:t>PIPEDA</w:t>
      </w:r>
      <w:r w:rsidR="0095065B">
        <w:rPr>
          <w:i/>
          <w:iCs/>
        </w:rPr>
        <w:t>’s</w:t>
      </w:r>
      <w:r w:rsidR="000A4187">
        <w:t xml:space="preserve"> legislative efficacy. </w:t>
      </w:r>
      <w:r w:rsidR="00E42B05">
        <w:t xml:space="preserve">Though a low damage </w:t>
      </w:r>
      <w:r w:rsidR="003061DB" w:rsidRPr="003061DB">
        <w:t>award</w:t>
      </w:r>
      <w:r w:rsidR="00E42B05">
        <w:t xml:space="preserve"> </w:t>
      </w:r>
      <w:r w:rsidR="005646AB">
        <w:t xml:space="preserve">may be </w:t>
      </w:r>
      <w:r w:rsidR="00E42B05">
        <w:t>eminently justifiable in any given case, chronically low quanta threaten t</w:t>
      </w:r>
      <w:r w:rsidR="00562B42">
        <w:t>he</w:t>
      </w:r>
      <w:r w:rsidR="00E42B05">
        <w:t xml:space="preserve"> policy goals and interests</w:t>
      </w:r>
      <w:r w:rsidR="0046678F">
        <w:t xml:space="preserve"> of </w:t>
      </w:r>
      <w:r w:rsidR="0046678F" w:rsidRPr="0046678F">
        <w:rPr>
          <w:i/>
          <w:iCs/>
        </w:rPr>
        <w:t>PIPEDA</w:t>
      </w:r>
      <w:r w:rsidR="0046678F">
        <w:t xml:space="preserve"> as well as, presumably, </w:t>
      </w:r>
      <w:r w:rsidR="00E73F2C">
        <w:t xml:space="preserve">the policy goals and interests of </w:t>
      </w:r>
      <w:r w:rsidR="0046678F">
        <w:t>any successor legislation</w:t>
      </w:r>
      <w:r w:rsidR="003738E9">
        <w:t xml:space="preserve"> seeking to protect personal information</w:t>
      </w:r>
      <w:r w:rsidR="00901FBD">
        <w:t xml:space="preserve">. </w:t>
      </w:r>
      <w:r w:rsidR="00E73F2C">
        <w:t xml:space="preserve"> </w:t>
      </w:r>
      <w:r w:rsidR="00E42B05">
        <w:t xml:space="preserve">Put another way, when it makes no economic sense to do so, otherwise deserving complainants will be discouraged from seeking </w:t>
      </w:r>
      <w:r w:rsidR="00901FBD">
        <w:t>damages</w:t>
      </w:r>
      <w:bookmarkStart w:id="3" w:name="_Ref78152263"/>
      <w:r w:rsidR="00E42B05">
        <w:rPr>
          <w:rStyle w:val="FootnoteReference"/>
        </w:rPr>
        <w:footnoteReference w:id="12"/>
      </w:r>
      <w:bookmarkEnd w:id="3"/>
      <w:r w:rsidR="008A3CE7">
        <w:t xml:space="preserve"> </w:t>
      </w:r>
      <w:r w:rsidR="00E42B05">
        <w:t xml:space="preserve">or </w:t>
      </w:r>
      <w:r w:rsidR="00901FBD">
        <w:t xml:space="preserve">simply </w:t>
      </w:r>
      <w:r w:rsidR="00E42B05">
        <w:t>driven to pursue solutions such as class actions</w:t>
      </w:r>
      <w:r w:rsidR="009B3791">
        <w:t>.</w:t>
      </w:r>
      <w:bookmarkStart w:id="4" w:name="_Ref77356323"/>
      <w:r w:rsidR="00E42B05">
        <w:rPr>
          <w:rStyle w:val="FootnoteReference"/>
        </w:rPr>
        <w:footnoteReference w:id="13"/>
      </w:r>
      <w:bookmarkEnd w:id="4"/>
      <w:r w:rsidR="000A4187">
        <w:t xml:space="preserve">  </w:t>
      </w:r>
    </w:p>
    <w:p w14:paraId="32DCF98E" w14:textId="43D7F052" w:rsidR="00A32A3F" w:rsidRDefault="00E42B05" w:rsidP="007A65EF">
      <w:pPr>
        <w:spacing w:after="0"/>
        <w:ind w:firstLine="720"/>
      </w:pPr>
      <w:r>
        <w:t xml:space="preserve"> </w:t>
      </w:r>
    </w:p>
    <w:p w14:paraId="1FBB28DE" w14:textId="269A31DB" w:rsidR="00AA139E" w:rsidRDefault="0080693A" w:rsidP="0080693A">
      <w:pPr>
        <w:spacing w:after="0"/>
        <w:ind w:firstLine="720"/>
      </w:pPr>
      <w:r>
        <w:t>T</w:t>
      </w:r>
      <w:r w:rsidR="00BA6DA1" w:rsidRPr="00FD47FE">
        <w:t>h</w:t>
      </w:r>
      <w:r w:rsidR="005E71B6" w:rsidRPr="00FD47FE">
        <w:t>is</w:t>
      </w:r>
      <w:r w:rsidR="00BA6DA1" w:rsidRPr="00FD47FE">
        <w:t xml:space="preserve"> </w:t>
      </w:r>
      <w:r w:rsidR="00852151">
        <w:t>article</w:t>
      </w:r>
      <w:r w:rsidR="00BA6DA1" w:rsidRPr="00FD47FE">
        <w:t xml:space="preserve"> offers a </w:t>
      </w:r>
      <w:r w:rsidR="003A63BC">
        <w:t>t</w:t>
      </w:r>
      <w:r w:rsidR="00AA139E">
        <w:t>hree</w:t>
      </w:r>
      <w:r w:rsidR="00BA6DA1" w:rsidRPr="00FD47FE">
        <w:t xml:space="preserve">-fold solution to </w:t>
      </w:r>
      <w:r w:rsidR="00901FBD">
        <w:t>the problem of in</w:t>
      </w:r>
      <w:r w:rsidR="00BA6DA1" w:rsidRPr="00FD47FE">
        <w:t>sufficient quantum</w:t>
      </w:r>
      <w:r w:rsidR="001E417A">
        <w:t>.</w:t>
      </w:r>
      <w:r w:rsidR="00BA6DA1" w:rsidRPr="00FD47FE">
        <w:t xml:space="preserve"> </w:t>
      </w:r>
      <w:bookmarkStart w:id="5" w:name="_Hlk81229623"/>
      <w:r w:rsidR="007152F6" w:rsidRPr="0032171E">
        <w:t xml:space="preserve">First, damage quanta must more rigorously reflect the goals and status of </w:t>
      </w:r>
      <w:r w:rsidR="007152F6">
        <w:t xml:space="preserve">personal information protection legislation </w:t>
      </w:r>
      <w:r w:rsidR="007152F6" w:rsidRPr="0032171E">
        <w:t xml:space="preserve">including its constitutional overlay and link to what have been termed “dignitary” torts such as </w:t>
      </w:r>
      <w:r w:rsidR="007152F6">
        <w:t xml:space="preserve">the common law privacy torts and </w:t>
      </w:r>
      <w:r w:rsidR="007152F6" w:rsidRPr="0032171E">
        <w:t>defamation</w:t>
      </w:r>
      <w:r w:rsidR="007152F6">
        <w:t xml:space="preserve">. </w:t>
      </w:r>
      <w:r w:rsidR="00F335B1">
        <w:t xml:space="preserve">Second, courts should measure quantum based on insights from torts closely related to breach of privacy under </w:t>
      </w:r>
      <w:r w:rsidR="003061DB" w:rsidRPr="003061DB">
        <w:rPr>
          <w:i/>
          <w:iCs/>
        </w:rPr>
        <w:t>PIPEDA</w:t>
      </w:r>
      <w:r w:rsidR="00F335B1">
        <w:t xml:space="preserve">. In these areas, damage </w:t>
      </w:r>
      <w:r w:rsidR="003061DB" w:rsidRPr="003061DB">
        <w:t>awards</w:t>
      </w:r>
      <w:r w:rsidR="00F335B1">
        <w:t xml:space="preserve"> are noticeably higher. Third, </w:t>
      </w:r>
      <w:r w:rsidR="00BA6DA1" w:rsidRPr="00FD47FE">
        <w:t xml:space="preserve">courts must firmly reject the Federal Court’s 2010 decision in </w:t>
      </w:r>
      <w:r w:rsidR="00BA6DA1" w:rsidRPr="00FD47FE">
        <w:rPr>
          <w:i/>
          <w:iCs/>
        </w:rPr>
        <w:t xml:space="preserve">Randall v </w:t>
      </w:r>
      <w:proofErr w:type="spellStart"/>
      <w:r w:rsidR="00BA6DA1" w:rsidRPr="00FD47FE">
        <w:rPr>
          <w:i/>
          <w:iCs/>
        </w:rPr>
        <w:t>Nubody</w:t>
      </w:r>
      <w:r w:rsidR="00020233">
        <w:rPr>
          <w:i/>
          <w:iCs/>
        </w:rPr>
        <w:t>’</w:t>
      </w:r>
      <w:r w:rsidR="00BA6DA1" w:rsidRPr="00FD47FE">
        <w:rPr>
          <w:i/>
          <w:iCs/>
        </w:rPr>
        <w:t>s</w:t>
      </w:r>
      <w:proofErr w:type="spellEnd"/>
      <w:r w:rsidR="00BA6DA1" w:rsidRPr="00FD47FE">
        <w:rPr>
          <w:i/>
          <w:iCs/>
        </w:rPr>
        <w:t xml:space="preserve"> Fitness Centres</w:t>
      </w:r>
      <w:r w:rsidR="00BA6DA1" w:rsidRPr="00FD47FE">
        <w:t xml:space="preserve"> wh</w:t>
      </w:r>
      <w:r w:rsidR="00BA6DA1" w:rsidRPr="00FD47FE">
        <w:rPr>
          <w:rStyle w:val="reflex3-block"/>
        </w:rPr>
        <w:t>ich held that damages under s</w:t>
      </w:r>
      <w:r w:rsidR="005873E2">
        <w:rPr>
          <w:rStyle w:val="reflex3-block"/>
        </w:rPr>
        <w:t>ection</w:t>
      </w:r>
      <w:r w:rsidR="00986138">
        <w:rPr>
          <w:rStyle w:val="reflex3-block"/>
        </w:rPr>
        <w:t xml:space="preserve"> </w:t>
      </w:r>
      <w:r w:rsidR="00BA6DA1" w:rsidRPr="00FD47FE">
        <w:rPr>
          <w:rStyle w:val="reflex3-block"/>
        </w:rPr>
        <w:t xml:space="preserve">16 of </w:t>
      </w:r>
      <w:r w:rsidR="003061DB" w:rsidRPr="003061DB">
        <w:rPr>
          <w:rStyle w:val="reflex3-block"/>
          <w:i/>
          <w:iCs/>
        </w:rPr>
        <w:lastRenderedPageBreak/>
        <w:t>PIPEDA</w:t>
      </w:r>
      <w:r w:rsidR="00BA6DA1" w:rsidRPr="00FD47FE">
        <w:rPr>
          <w:rStyle w:val="reflex3-block"/>
        </w:rPr>
        <w:t xml:space="preserve"> are only recoverable in </w:t>
      </w:r>
      <w:r w:rsidR="00BA6DA1" w:rsidRPr="00FD47FE">
        <w:t>“the most egregious situations”</w:t>
      </w:r>
      <w:bookmarkStart w:id="6" w:name="_Ref78192411"/>
      <w:r w:rsidR="00C42879">
        <w:rPr>
          <w:rStyle w:val="FootnoteReference"/>
        </w:rPr>
        <w:footnoteReference w:id="14"/>
      </w:r>
      <w:bookmarkEnd w:id="6"/>
      <w:r w:rsidR="00BA6DA1" w:rsidRPr="00FD47FE">
        <w:t xml:space="preserve"> and “where the breach has been one of a very serious and violating</w:t>
      </w:r>
      <w:r w:rsidR="00BA6DA1" w:rsidRPr="00FD47FE">
        <w:rPr>
          <w:i/>
          <w:iCs/>
        </w:rPr>
        <w:t xml:space="preserve"> </w:t>
      </w:r>
      <w:r w:rsidR="00BA6DA1" w:rsidRPr="00FD47FE">
        <w:t>nature.”</w:t>
      </w:r>
      <w:r w:rsidR="00BA6DA1" w:rsidRPr="00FD47FE">
        <w:rPr>
          <w:rStyle w:val="FootnoteReference"/>
        </w:rPr>
        <w:footnoteReference w:id="15"/>
      </w:r>
      <w:r w:rsidR="00BA6DA1" w:rsidRPr="00FD47FE">
        <w:t xml:space="preserve"> In requiring egregious circumstances, the court inappropriately adds criteria to what the governing legislation requires and sets such a s</w:t>
      </w:r>
      <w:r w:rsidR="005646AB">
        <w:t xml:space="preserve">tunningly </w:t>
      </w:r>
      <w:r w:rsidR="00BA6DA1" w:rsidRPr="00FD47FE">
        <w:t>high bar for recovery, it trenches on the test for punitive damages.</w:t>
      </w:r>
      <w:bookmarkStart w:id="7" w:name="_Ref78153521"/>
      <w:r w:rsidR="00BA6DA1" w:rsidRPr="00FD47FE">
        <w:rPr>
          <w:rStyle w:val="FootnoteReference"/>
        </w:rPr>
        <w:footnoteReference w:id="16"/>
      </w:r>
      <w:bookmarkEnd w:id="7"/>
      <w:r w:rsidR="00BA6DA1" w:rsidRPr="00FD47FE">
        <w:t xml:space="preserve"> </w:t>
      </w:r>
      <w:bookmarkStart w:id="8" w:name="_Hlk72229265"/>
    </w:p>
    <w:bookmarkEnd w:id="5"/>
    <w:p w14:paraId="7108AEC8" w14:textId="56FE9910" w:rsidR="00F335B1" w:rsidRDefault="00F335B1" w:rsidP="00A32A3F">
      <w:pPr>
        <w:spacing w:after="0"/>
        <w:ind w:firstLine="720"/>
      </w:pPr>
    </w:p>
    <w:bookmarkEnd w:id="8"/>
    <w:p w14:paraId="206A6388" w14:textId="3C07A0D0" w:rsidR="00164A5C" w:rsidRDefault="00E42B05" w:rsidP="00130DE3">
      <w:pPr>
        <w:ind w:firstLine="720"/>
      </w:pPr>
      <w:r w:rsidRPr="00130DE3">
        <w:t>Th</w:t>
      </w:r>
      <w:r w:rsidR="008151A3" w:rsidRPr="00130DE3">
        <w:t>is</w:t>
      </w:r>
      <w:r w:rsidR="00FD716D" w:rsidRPr="00130DE3">
        <w:t xml:space="preserve"> </w:t>
      </w:r>
      <w:r w:rsidR="00852151" w:rsidRPr="00130DE3">
        <w:t xml:space="preserve">article </w:t>
      </w:r>
      <w:r w:rsidRPr="00130DE3">
        <w:t xml:space="preserve">is </w:t>
      </w:r>
      <w:r w:rsidR="009E2714" w:rsidRPr="00130DE3">
        <w:t xml:space="preserve">published </w:t>
      </w:r>
      <w:r w:rsidR="002A760D" w:rsidRPr="00130DE3">
        <w:t xml:space="preserve">in two </w:t>
      </w:r>
      <w:r w:rsidR="00856CE3" w:rsidRPr="00130DE3">
        <w:t>parts</w:t>
      </w:r>
      <w:r w:rsidR="002A760D" w:rsidRPr="00130DE3">
        <w:t>.</w:t>
      </w:r>
      <w:r w:rsidRPr="00FA6A8B">
        <w:t xml:space="preserve"> </w:t>
      </w:r>
      <w:r w:rsidR="00856CE3" w:rsidRPr="00FA6A8B">
        <w:t>Part</w:t>
      </w:r>
      <w:r w:rsidR="00F64411">
        <w:t xml:space="preserve"> One</w:t>
      </w:r>
      <w:r w:rsidR="00FD716D">
        <w:t>, which follows,</w:t>
      </w:r>
      <w:r w:rsidR="00FA4752">
        <w:t xml:space="preserve"> </w:t>
      </w:r>
      <w:r w:rsidR="009E2714">
        <w:t xml:space="preserve">discusses </w:t>
      </w:r>
      <w:r w:rsidR="00852151" w:rsidRPr="004C0304">
        <w:rPr>
          <w:i/>
          <w:iCs/>
        </w:rPr>
        <w:t>PIPEDA</w:t>
      </w:r>
      <w:r w:rsidR="00852151">
        <w:t xml:space="preserve"> </w:t>
      </w:r>
      <w:r w:rsidR="009E2714">
        <w:t xml:space="preserve">damages </w:t>
      </w:r>
      <w:r w:rsidR="009E2714" w:rsidRPr="00D40EBE">
        <w:t xml:space="preserve">in light of the </w:t>
      </w:r>
      <w:r w:rsidR="009E2714">
        <w:t>functions and interests th</w:t>
      </w:r>
      <w:r w:rsidR="005804F5">
        <w:t>ey</w:t>
      </w:r>
      <w:r w:rsidR="009E2714">
        <w:t xml:space="preserve"> </w:t>
      </w:r>
      <w:r w:rsidR="005804F5">
        <w:t xml:space="preserve">are </w:t>
      </w:r>
      <w:r w:rsidR="00852151">
        <w:t xml:space="preserve">intended to </w:t>
      </w:r>
      <w:r w:rsidR="009E2714">
        <w:t>serve</w:t>
      </w:r>
      <w:r w:rsidR="004C0304">
        <w:t xml:space="preserve">. </w:t>
      </w:r>
      <w:r w:rsidR="00856CE3">
        <w:t>It</w:t>
      </w:r>
      <w:r w:rsidR="00F64411">
        <w:t xml:space="preserve"> </w:t>
      </w:r>
      <w:r w:rsidR="004C0304">
        <w:t>is</w:t>
      </w:r>
      <w:r w:rsidR="005804F5">
        <w:t xml:space="preserve"> divided into several </w:t>
      </w:r>
      <w:r w:rsidR="00856CE3">
        <w:t>sections.</w:t>
      </w:r>
      <w:r w:rsidRPr="00FD47FE">
        <w:t xml:space="preserve"> </w:t>
      </w:r>
      <w:r w:rsidR="00856CE3">
        <w:t xml:space="preserve">Section </w:t>
      </w:r>
      <w:r w:rsidRPr="00FD47FE">
        <w:t xml:space="preserve">I </w:t>
      </w:r>
      <w:r w:rsidR="00D91C8E">
        <w:t xml:space="preserve">provides overall context by offering </w:t>
      </w:r>
      <w:r w:rsidR="00D1008D" w:rsidRPr="00FD47FE">
        <w:t xml:space="preserve">a primer on dispute </w:t>
      </w:r>
      <w:r w:rsidR="00D1008D">
        <w:t xml:space="preserve">resolution and damage claims under </w:t>
      </w:r>
      <w:r w:rsidR="003061DB" w:rsidRPr="003061DB">
        <w:rPr>
          <w:i/>
          <w:iCs/>
        </w:rPr>
        <w:t>PIPEDA</w:t>
      </w:r>
      <w:r w:rsidR="00D1008D">
        <w:t>.</w:t>
      </w:r>
      <w:r w:rsidR="00D91C8E">
        <w:t xml:space="preserve"> </w:t>
      </w:r>
      <w:r w:rsidR="00856CE3">
        <w:t xml:space="preserve">Section </w:t>
      </w:r>
      <w:r w:rsidR="00D1008D">
        <w:t xml:space="preserve">II sets the stage for critiquing </w:t>
      </w:r>
      <w:r w:rsidR="003061DB" w:rsidRPr="003061DB">
        <w:rPr>
          <w:i/>
          <w:iCs/>
        </w:rPr>
        <w:t>PIPEDA</w:t>
      </w:r>
      <w:r w:rsidR="00D1008D">
        <w:t xml:space="preserve"> damage </w:t>
      </w:r>
      <w:r w:rsidR="003061DB" w:rsidRPr="003061DB">
        <w:t>awards</w:t>
      </w:r>
      <w:r w:rsidR="00D1008D">
        <w:t xml:space="preserve"> by describing </w:t>
      </w:r>
      <w:r>
        <w:t>the functional approach to monetary damages offered by Justice Cromwell</w:t>
      </w:r>
      <w:r w:rsidR="00942A6F">
        <w:t xml:space="preserve"> in a 2010 Isaac </w:t>
      </w:r>
      <w:proofErr w:type="spellStart"/>
      <w:r w:rsidR="00942A6F">
        <w:t>Pitblado</w:t>
      </w:r>
      <w:proofErr w:type="spellEnd"/>
      <w:r w:rsidR="00942A6F">
        <w:t xml:space="preserve"> lecture.</w:t>
      </w:r>
      <w:bookmarkStart w:id="9" w:name="_Ref78152746"/>
      <w:r w:rsidR="000C4CA0">
        <w:rPr>
          <w:rStyle w:val="FootnoteReference"/>
        </w:rPr>
        <w:footnoteReference w:id="17"/>
      </w:r>
      <w:bookmarkEnd w:id="9"/>
      <w:r>
        <w:t xml:space="preserve"> </w:t>
      </w:r>
      <w:r w:rsidR="00942A6F">
        <w:t xml:space="preserve">This same </w:t>
      </w:r>
      <w:r w:rsidR="00856CE3">
        <w:t xml:space="preserve">section </w:t>
      </w:r>
      <w:r>
        <w:t xml:space="preserve">offers an analysis of </w:t>
      </w:r>
      <w:r w:rsidR="00942A6F">
        <w:t xml:space="preserve">the judicially recognized </w:t>
      </w:r>
      <w:r>
        <w:t xml:space="preserve">values and interests protected by </w:t>
      </w:r>
      <w:r w:rsidR="003061DB" w:rsidRPr="003061DB">
        <w:rPr>
          <w:i/>
          <w:iCs/>
        </w:rPr>
        <w:t>PIPEDA</w:t>
      </w:r>
      <w:r>
        <w:t xml:space="preserve"> as these are the goals and interests to which a damage </w:t>
      </w:r>
      <w:r w:rsidR="003061DB" w:rsidRPr="003061DB">
        <w:t>award</w:t>
      </w:r>
      <w:r>
        <w:t xml:space="preserve"> must respond. </w:t>
      </w:r>
      <w:r w:rsidR="008432D1">
        <w:t xml:space="preserve">For the same reason, it assesses the statutory </w:t>
      </w:r>
      <w:r w:rsidR="00495229">
        <w:t>claim</w:t>
      </w:r>
      <w:r w:rsidR="008432D1">
        <w:t xml:space="preserve"> as part and parcel of what are called </w:t>
      </w:r>
      <w:r w:rsidR="00D87EA8">
        <w:t>dignitary</w:t>
      </w:r>
      <w:r w:rsidR="008432D1">
        <w:t xml:space="preserve"> torts</w:t>
      </w:r>
      <w:r w:rsidR="00EB396F">
        <w:t xml:space="preserve">, an area where damage </w:t>
      </w:r>
      <w:r w:rsidR="003061DB" w:rsidRPr="003061DB">
        <w:t>awards</w:t>
      </w:r>
      <w:r w:rsidR="00EB396F">
        <w:t xml:space="preserve"> tend to be more significant.</w:t>
      </w:r>
      <w:r w:rsidR="00886D0D">
        <w:t xml:space="preserve"> </w:t>
      </w:r>
      <w:r w:rsidR="00856CE3">
        <w:t>Section</w:t>
      </w:r>
      <w:r w:rsidR="00FD716D">
        <w:t xml:space="preserve"> III provides some brief conclusions.</w:t>
      </w:r>
    </w:p>
    <w:p w14:paraId="66D82223" w14:textId="03A0FD2A" w:rsidR="00D24326" w:rsidRDefault="00856CE3" w:rsidP="005F592D">
      <w:pPr>
        <w:ind w:firstLine="720"/>
      </w:pPr>
      <w:r>
        <w:t>Par</w:t>
      </w:r>
      <w:r w:rsidRPr="005F592D">
        <w:t>t</w:t>
      </w:r>
      <w:r w:rsidR="00F64411" w:rsidRPr="005F592D">
        <w:t xml:space="preserve"> Two</w:t>
      </w:r>
      <w:r w:rsidR="00FA4752" w:rsidRPr="005F592D">
        <w:t xml:space="preserve"> of this article</w:t>
      </w:r>
      <w:r w:rsidR="00FA6A8B" w:rsidRPr="005F592D">
        <w:t>,</w:t>
      </w:r>
      <w:r w:rsidR="00FA4752" w:rsidRPr="005F592D">
        <w:t xml:space="preserve"> </w:t>
      </w:r>
      <w:r w:rsidR="00164A5C" w:rsidRPr="005F592D">
        <w:t xml:space="preserve">forthcoming in </w:t>
      </w:r>
      <w:r w:rsidR="005F592D" w:rsidRPr="005F592D">
        <w:t xml:space="preserve">the June </w:t>
      </w:r>
      <w:r w:rsidR="00B00624">
        <w:t xml:space="preserve">2022 </w:t>
      </w:r>
      <w:r w:rsidR="005F592D" w:rsidRPr="005F592D">
        <w:t>issue of The Advocates’ Quarterly</w:t>
      </w:r>
      <w:r w:rsidR="00FA6A8B" w:rsidRPr="005F592D">
        <w:t>,</w:t>
      </w:r>
      <w:r w:rsidR="00164A5C">
        <w:t xml:space="preserve"> </w:t>
      </w:r>
      <w:r w:rsidR="009E2714">
        <w:t xml:space="preserve">offers a critique of </w:t>
      </w:r>
      <w:r w:rsidR="009E2714" w:rsidRPr="00130DE3">
        <w:rPr>
          <w:i/>
          <w:iCs/>
        </w:rPr>
        <w:t>PIPEDA</w:t>
      </w:r>
      <w:r w:rsidR="009E2714">
        <w:t xml:space="preserve"> damages in light of</w:t>
      </w:r>
      <w:r w:rsidR="00F64411">
        <w:t xml:space="preserve"> </w:t>
      </w:r>
      <w:r>
        <w:t>Part</w:t>
      </w:r>
      <w:r w:rsidR="009E2714">
        <w:t xml:space="preserve"> </w:t>
      </w:r>
      <w:r w:rsidR="005F3EF5">
        <w:t>One</w:t>
      </w:r>
      <w:r w:rsidR="009E2714">
        <w:t xml:space="preserve">. </w:t>
      </w:r>
      <w:r w:rsidR="00F64411">
        <w:t>It begins</w:t>
      </w:r>
      <w:r w:rsidR="008151A3">
        <w:t xml:space="preserve">, in </w:t>
      </w:r>
      <w:r>
        <w:t>Section</w:t>
      </w:r>
      <w:r w:rsidR="008151A3">
        <w:t xml:space="preserve"> I, </w:t>
      </w:r>
      <w:r w:rsidR="005F3EF5">
        <w:t xml:space="preserve">by assessing </w:t>
      </w:r>
      <w:r w:rsidR="00E42B05">
        <w:t xml:space="preserve">case law under </w:t>
      </w:r>
      <w:r w:rsidR="003061DB" w:rsidRPr="003061DB">
        <w:rPr>
          <w:i/>
          <w:iCs/>
        </w:rPr>
        <w:t>PIPEDA</w:t>
      </w:r>
      <w:r w:rsidR="00E42B05">
        <w:t xml:space="preserve"> and concludes that its low quanta compromise </w:t>
      </w:r>
      <w:r w:rsidR="00A829CC">
        <w:t xml:space="preserve">privacy </w:t>
      </w:r>
      <w:r w:rsidR="00E42B05">
        <w:t>values and interests by discouraging their enforcement</w:t>
      </w:r>
      <w:r w:rsidR="00A829CC">
        <w:t>.</w:t>
      </w:r>
      <w:r w:rsidR="003A42A3">
        <w:t xml:space="preserve"> </w:t>
      </w:r>
      <w:r>
        <w:t>Section</w:t>
      </w:r>
      <w:r w:rsidR="003A42A3">
        <w:t xml:space="preserve"> </w:t>
      </w:r>
      <w:r w:rsidR="00EB396F">
        <w:t>I</w:t>
      </w:r>
      <w:r w:rsidR="00F64411" w:rsidRPr="00FA6A8B">
        <w:t>I</w:t>
      </w:r>
      <w:r w:rsidR="00FD716D">
        <w:rPr>
          <w:b/>
          <w:bCs/>
        </w:rPr>
        <w:t xml:space="preserve"> </w:t>
      </w:r>
      <w:r w:rsidR="00A14966">
        <w:t xml:space="preserve">summarizes the major deficiencies of </w:t>
      </w:r>
      <w:r w:rsidR="00A14966">
        <w:rPr>
          <w:i/>
          <w:iCs/>
        </w:rPr>
        <w:t xml:space="preserve">CPPA </w:t>
      </w:r>
      <w:r w:rsidR="00A14966">
        <w:t xml:space="preserve">in relation to damages. </w:t>
      </w:r>
      <w:r>
        <w:t>Section</w:t>
      </w:r>
      <w:r w:rsidR="00A14966">
        <w:t xml:space="preserve"> </w:t>
      </w:r>
      <w:r w:rsidR="00F64411">
        <w:t>III</w:t>
      </w:r>
      <w:r w:rsidR="003A42A3">
        <w:t xml:space="preserve"> offers some brief </w:t>
      </w:r>
      <w:r w:rsidR="009E2714">
        <w:t xml:space="preserve">overall </w:t>
      </w:r>
      <w:r w:rsidR="003A42A3">
        <w:t xml:space="preserve">conclusions. </w:t>
      </w:r>
      <w:r w:rsidR="00433BEA">
        <w:t>Note that i</w:t>
      </w:r>
      <w:r w:rsidR="00D610E4">
        <w:t>t is beyond the</w:t>
      </w:r>
      <w:r w:rsidR="00E42B05">
        <w:t xml:space="preserve"> scope of this </w:t>
      </w:r>
      <w:r w:rsidR="00852151">
        <w:t>article</w:t>
      </w:r>
      <w:r w:rsidR="00E42B05">
        <w:t xml:space="preserve"> to consider class action proceedings in relation to alleged </w:t>
      </w:r>
      <w:r w:rsidR="003061DB" w:rsidRPr="003061DB">
        <w:rPr>
          <w:i/>
          <w:iCs/>
        </w:rPr>
        <w:t>PIPEDA</w:t>
      </w:r>
      <w:r w:rsidR="00E42B05">
        <w:t xml:space="preserve"> breaches, except to </w:t>
      </w:r>
      <w:r w:rsidR="00A508C6">
        <w:t>observe</w:t>
      </w:r>
      <w:r w:rsidR="00E42B05">
        <w:t xml:space="preserve"> that they have developed in response to the low quanta </w:t>
      </w:r>
      <w:r w:rsidR="003061DB" w:rsidRPr="003061DB">
        <w:t>award</w:t>
      </w:r>
      <w:r w:rsidR="00E42B05">
        <w:t>ed over the years</w:t>
      </w:r>
      <w:r w:rsidR="00BA6DA1">
        <w:t>.</w:t>
      </w:r>
      <w:r w:rsidR="00E42B05">
        <w:rPr>
          <w:rStyle w:val="FootnoteReference"/>
        </w:rPr>
        <w:footnoteReference w:id="18"/>
      </w:r>
      <w:r w:rsidR="00E42B05">
        <w:t xml:space="preserve"> </w:t>
      </w:r>
      <w:r w:rsidR="00BA6DA1">
        <w:t xml:space="preserve">In this way, they have been a tactical </w:t>
      </w:r>
      <w:r w:rsidR="00E42B05">
        <w:t xml:space="preserve">response to the principled issue of inadequately low quanta discussed in this </w:t>
      </w:r>
      <w:r w:rsidR="00852151">
        <w:t>article</w:t>
      </w:r>
      <w:r w:rsidR="00E42B05">
        <w:t>.</w:t>
      </w:r>
      <w:r w:rsidR="008432D1">
        <w:t xml:space="preserve"> </w:t>
      </w:r>
    </w:p>
    <w:p w14:paraId="5BCA404E" w14:textId="0B1E050B" w:rsidR="00D1008D" w:rsidRPr="0012678A" w:rsidRDefault="00856CE3" w:rsidP="00A97F99">
      <w:pPr>
        <w:jc w:val="center"/>
      </w:pPr>
      <w:r>
        <w:rPr>
          <w:b/>
          <w:bCs/>
        </w:rPr>
        <w:t xml:space="preserve">Section </w:t>
      </w:r>
      <w:r w:rsidR="0020492B" w:rsidRPr="001B5C3D">
        <w:rPr>
          <w:b/>
          <w:bCs/>
        </w:rPr>
        <w:t xml:space="preserve">I: </w:t>
      </w:r>
      <w:r w:rsidR="00D1008D" w:rsidRPr="001B5C3D">
        <w:rPr>
          <w:b/>
          <w:bCs/>
        </w:rPr>
        <w:t xml:space="preserve">A Primer to Dispute Resolution and Damage </w:t>
      </w:r>
      <w:r w:rsidR="001B5C3D" w:rsidRPr="001B5C3D">
        <w:rPr>
          <w:b/>
          <w:bCs/>
        </w:rPr>
        <w:t>C</w:t>
      </w:r>
      <w:r w:rsidR="00D1008D" w:rsidRPr="001B5C3D">
        <w:rPr>
          <w:b/>
          <w:bCs/>
        </w:rPr>
        <w:t xml:space="preserve">laims under </w:t>
      </w:r>
      <w:r w:rsidR="003061DB" w:rsidRPr="003061DB">
        <w:rPr>
          <w:b/>
          <w:bCs/>
          <w:i/>
          <w:iCs/>
        </w:rPr>
        <w:t>PIPEDA</w:t>
      </w:r>
    </w:p>
    <w:p w14:paraId="2996B909" w14:textId="217B8723" w:rsidR="00F06C43" w:rsidRPr="00A97F99" w:rsidRDefault="00D947D1" w:rsidP="00A97F99">
      <w:pPr>
        <w:pStyle w:val="ListParagraph"/>
        <w:numPr>
          <w:ilvl w:val="0"/>
          <w:numId w:val="18"/>
        </w:numPr>
        <w:rPr>
          <w:b/>
          <w:bCs/>
        </w:rPr>
      </w:pPr>
      <w:r w:rsidRPr="00A97F99">
        <w:rPr>
          <w:b/>
          <w:bCs/>
          <w:i/>
          <w:iCs/>
        </w:rPr>
        <w:t>PIPEDA</w:t>
      </w:r>
      <w:r w:rsidRPr="00A97F99">
        <w:rPr>
          <w:b/>
          <w:bCs/>
        </w:rPr>
        <w:t>’s</w:t>
      </w:r>
      <w:r w:rsidR="00F06C43" w:rsidRPr="00A97F99">
        <w:rPr>
          <w:b/>
          <w:bCs/>
        </w:rPr>
        <w:t xml:space="preserve"> </w:t>
      </w:r>
      <w:r w:rsidR="002C4EF2" w:rsidRPr="00A97F99">
        <w:rPr>
          <w:b/>
          <w:bCs/>
        </w:rPr>
        <w:t>L</w:t>
      </w:r>
      <w:r w:rsidR="00F06C43" w:rsidRPr="00A97F99">
        <w:rPr>
          <w:b/>
          <w:bCs/>
        </w:rPr>
        <w:t xml:space="preserve">egislative </w:t>
      </w:r>
      <w:r w:rsidR="002C4EF2" w:rsidRPr="00A97F99">
        <w:rPr>
          <w:b/>
          <w:bCs/>
        </w:rPr>
        <w:t>P</w:t>
      </w:r>
      <w:r w:rsidR="00F06C43" w:rsidRPr="00A97F99">
        <w:rPr>
          <w:b/>
          <w:bCs/>
        </w:rPr>
        <w:t>rocess</w:t>
      </w:r>
    </w:p>
    <w:p w14:paraId="45F3ACEB" w14:textId="77777777" w:rsidR="00B8699D" w:rsidRDefault="00710380" w:rsidP="00366988">
      <w:pPr>
        <w:rPr>
          <w:i/>
          <w:iCs/>
        </w:rPr>
      </w:pPr>
      <w:r w:rsidRPr="00B7516C">
        <w:t>In 1998</w:t>
      </w:r>
      <w:r>
        <w:t xml:space="preserve">, </w:t>
      </w:r>
      <w:r w:rsidR="00BA6DA1">
        <w:t xml:space="preserve">Canada’s federal government created the Industry Canada Task Force on Electronic Commerce, a central objective of which included the development of  “a national policy for protecting the privacy of personal information while still allowing for </w:t>
      </w:r>
      <w:r w:rsidR="00BA6DA1">
        <w:lastRenderedPageBreak/>
        <w:t>the flow of information necessary to participate in the global information economy.”</w:t>
      </w:r>
      <w:r w:rsidR="00BA6DA1">
        <w:rPr>
          <w:rStyle w:val="FootnoteReference"/>
        </w:rPr>
        <w:footnoteReference w:id="19"/>
      </w:r>
      <w:r w:rsidR="00BA6DA1">
        <w:t xml:space="preserve"> An important result in 2000 was the creation of private-sector data privacy legislation</w:t>
      </w:r>
      <w:r w:rsidR="007A65EF">
        <w:t>,</w:t>
      </w:r>
      <w:r w:rsidR="00BA6DA1">
        <w:rPr>
          <w:rStyle w:val="FootnoteReference"/>
        </w:rPr>
        <w:footnoteReference w:id="20"/>
      </w:r>
      <w:r w:rsidR="007A65EF">
        <w:t xml:space="preserve"> the afore-mentioned</w:t>
      </w:r>
      <w:r w:rsidR="00BA6DA1">
        <w:t xml:space="preserve"> </w:t>
      </w:r>
      <w:r w:rsidR="003061DB" w:rsidRPr="003061DB">
        <w:rPr>
          <w:i/>
          <w:iCs/>
        </w:rPr>
        <w:t>PIPEDA</w:t>
      </w:r>
      <w:r w:rsidR="00796E38">
        <w:rPr>
          <w:i/>
          <w:iCs/>
        </w:rPr>
        <w:t>.</w:t>
      </w:r>
      <w:bookmarkStart w:id="10" w:name="_Ref78152384"/>
      <w:r w:rsidR="007A65EF">
        <w:rPr>
          <w:rStyle w:val="FootnoteReference"/>
        </w:rPr>
        <w:footnoteReference w:id="21"/>
      </w:r>
      <w:bookmarkEnd w:id="10"/>
      <w:r w:rsidR="007B3073">
        <w:rPr>
          <w:i/>
          <w:iCs/>
        </w:rPr>
        <w:t xml:space="preserve"> </w:t>
      </w:r>
    </w:p>
    <w:p w14:paraId="7B0256B0" w14:textId="35DEF898" w:rsidR="00F06C43" w:rsidRDefault="003061DB" w:rsidP="00075F15">
      <w:pPr>
        <w:ind w:firstLine="720"/>
      </w:pPr>
      <w:r w:rsidRPr="003061DB">
        <w:rPr>
          <w:i/>
          <w:iCs/>
        </w:rPr>
        <w:t>PIPEDA</w:t>
      </w:r>
      <w:r w:rsidR="002208BE">
        <w:t xml:space="preserve"> </w:t>
      </w:r>
      <w:r w:rsidR="0093740C">
        <w:t xml:space="preserve">is </w:t>
      </w:r>
      <w:r w:rsidR="002208BE">
        <w:t>detailed</w:t>
      </w:r>
      <w:r w:rsidR="0093740C">
        <w:t xml:space="preserve"> and beyond the scope of this </w:t>
      </w:r>
      <w:r w:rsidR="00852151">
        <w:t>article</w:t>
      </w:r>
      <w:r w:rsidR="0093740C">
        <w:t xml:space="preserve"> to comprehensively assess.</w:t>
      </w:r>
      <w:r w:rsidR="002208BE">
        <w:t xml:space="preserve">  </w:t>
      </w:r>
      <w:r w:rsidR="00BB14D1">
        <w:t xml:space="preserve">Most relevant to </w:t>
      </w:r>
      <w:r w:rsidR="00123C97">
        <w:t>our</w:t>
      </w:r>
      <w:r w:rsidR="00BB14D1">
        <w:t xml:space="preserve"> purposes </w:t>
      </w:r>
      <w:r w:rsidR="002208BE">
        <w:t xml:space="preserve">is that </w:t>
      </w:r>
      <w:r w:rsidRPr="003061DB">
        <w:rPr>
          <w:i/>
          <w:iCs/>
        </w:rPr>
        <w:t>PIPEDA</w:t>
      </w:r>
      <w:r w:rsidR="00BB14D1">
        <w:t xml:space="preserve"> </w:t>
      </w:r>
      <w:r w:rsidR="002208BE">
        <w:t xml:space="preserve">sets rules governing private information in a commercial context. </w:t>
      </w:r>
      <w:r w:rsidR="002208BE" w:rsidRPr="0032171E">
        <w:t xml:space="preserve">Those who believe that their personal information has been wrongfully collected or handled </w:t>
      </w:r>
      <w:r w:rsidR="003B416D">
        <w:t xml:space="preserve">by an organization </w:t>
      </w:r>
      <w:r w:rsidR="002208BE" w:rsidRPr="0032171E">
        <w:t>can make a complaint to the privacy commissioner</w:t>
      </w:r>
      <w:r w:rsidR="002208BE" w:rsidRPr="0032171E">
        <w:rPr>
          <w:rStyle w:val="FootnoteReference"/>
        </w:rPr>
        <w:footnoteReference w:id="22"/>
      </w:r>
      <w:r w:rsidR="002208BE" w:rsidRPr="0032171E">
        <w:t xml:space="preserve"> who has the power </w:t>
      </w:r>
      <w:r w:rsidR="002208BE">
        <w:t xml:space="preserve">under </w:t>
      </w:r>
      <w:r w:rsidRPr="003061DB">
        <w:rPr>
          <w:i/>
          <w:iCs/>
        </w:rPr>
        <w:t>PIPEDA</w:t>
      </w:r>
      <w:r w:rsidR="002208BE">
        <w:t xml:space="preserve"> </w:t>
      </w:r>
      <w:r w:rsidR="002208BE" w:rsidRPr="0032171E">
        <w:t xml:space="preserve">to prepare a report in response but no jurisdiction to </w:t>
      </w:r>
      <w:r w:rsidRPr="003061DB">
        <w:t>award</w:t>
      </w:r>
      <w:r w:rsidR="002208BE" w:rsidRPr="0032171E">
        <w:t xml:space="preserve"> da</w:t>
      </w:r>
      <w:r w:rsidR="00F41FD6">
        <w:t xml:space="preserve">mages or other form of relief. </w:t>
      </w:r>
      <w:r w:rsidR="003863E4">
        <w:t xml:space="preserve">Upon receipt of the Commissioner’s report or notification that the investigation has been discontinued, the complainant can seek a court hearing </w:t>
      </w:r>
      <w:r w:rsidR="00366988">
        <w:t>under section</w:t>
      </w:r>
      <w:r w:rsidR="00366988" w:rsidRPr="0032171E">
        <w:t xml:space="preserve">14(1) </w:t>
      </w:r>
      <w:r w:rsidR="002208BE" w:rsidRPr="0032171E">
        <w:t>“in respect of any matter in respect of which the complaint was made, or that is referred to in the</w:t>
      </w:r>
      <w:r w:rsidR="00957BBE">
        <w:t xml:space="preserve"> Commissioner’s report”</w:t>
      </w:r>
      <w:r w:rsidR="00366988">
        <w:t>, as long as the matter is covered by the relevant clauses.</w:t>
      </w:r>
      <w:r w:rsidR="003863E4">
        <w:t xml:space="preserve"> </w:t>
      </w:r>
      <w:r w:rsidR="000033A6">
        <w:t>T</w:t>
      </w:r>
      <w:r w:rsidR="002208BE" w:rsidRPr="0032171E">
        <w:t>he court</w:t>
      </w:r>
      <w:r w:rsidR="003863E4">
        <w:t xml:space="preserve"> conducts the hearing on a </w:t>
      </w:r>
      <w:r w:rsidR="003863E4" w:rsidRPr="003863E4">
        <w:rPr>
          <w:i/>
          <w:iCs/>
        </w:rPr>
        <w:t>de novo</w:t>
      </w:r>
      <w:r w:rsidR="003863E4">
        <w:t xml:space="preserve"> basis</w:t>
      </w:r>
      <w:bookmarkStart w:id="11" w:name="_Ref78152428"/>
      <w:r w:rsidR="003863E4">
        <w:rPr>
          <w:rStyle w:val="FootnoteReference"/>
        </w:rPr>
        <w:footnoteReference w:id="23"/>
      </w:r>
      <w:bookmarkEnd w:id="11"/>
      <w:r w:rsidR="003863E4">
        <w:t xml:space="preserve"> and </w:t>
      </w:r>
      <w:r w:rsidR="002208BE" w:rsidRPr="0032171E">
        <w:t xml:space="preserve">is statutorily empowered to </w:t>
      </w:r>
      <w:r w:rsidRPr="003061DB">
        <w:t>award</w:t>
      </w:r>
      <w:r w:rsidR="002208BE" w:rsidRPr="0032171E">
        <w:t xml:space="preserve"> civil damages, “including damages for any humiliation that the co</w:t>
      </w:r>
      <w:r w:rsidR="00957BBE">
        <w:t>mplainant has suffered” under section</w:t>
      </w:r>
      <w:r w:rsidR="002208BE" w:rsidRPr="0032171E">
        <w:t xml:space="preserve"> 16(c).</w:t>
      </w:r>
      <w:bookmarkStart w:id="12" w:name="_Ref78152450"/>
      <w:r w:rsidR="002208BE" w:rsidRPr="0032171E">
        <w:rPr>
          <w:rStyle w:val="FootnoteReference"/>
        </w:rPr>
        <w:footnoteReference w:id="24"/>
      </w:r>
      <w:bookmarkEnd w:id="12"/>
    </w:p>
    <w:p w14:paraId="5D12EE54" w14:textId="79CE8492" w:rsidR="00BA6DA1" w:rsidRPr="00A97F99" w:rsidRDefault="00F06C43" w:rsidP="00A97F99">
      <w:pPr>
        <w:pStyle w:val="ListParagraph"/>
        <w:numPr>
          <w:ilvl w:val="0"/>
          <w:numId w:val="18"/>
        </w:numPr>
        <w:rPr>
          <w:rFonts w:ascii="Times New Roman" w:hAnsi="Times New Roman" w:cs="Times New Roman"/>
          <w:b/>
          <w:bCs/>
          <w:lang w:eastAsia="en-CA"/>
        </w:rPr>
      </w:pPr>
      <w:r w:rsidRPr="00A97F99">
        <w:rPr>
          <w:b/>
          <w:bCs/>
        </w:rPr>
        <w:lastRenderedPageBreak/>
        <w:t xml:space="preserve">Critique of </w:t>
      </w:r>
      <w:r w:rsidRPr="00A97F99">
        <w:rPr>
          <w:b/>
          <w:bCs/>
          <w:i/>
          <w:iCs/>
        </w:rPr>
        <w:t>PIPEDA</w:t>
      </w:r>
      <w:r w:rsidR="002208BE" w:rsidRPr="00A97F99">
        <w:rPr>
          <w:b/>
          <w:bCs/>
        </w:rPr>
        <w:t xml:space="preserve"> </w:t>
      </w:r>
    </w:p>
    <w:p w14:paraId="38C83CDB" w14:textId="0F5F98F2" w:rsidR="00210228" w:rsidRDefault="007A65EF" w:rsidP="00495632">
      <w:pPr>
        <w:spacing w:after="0"/>
        <w:rPr>
          <w:lang w:bidi="he-IL"/>
        </w:rPr>
      </w:pPr>
      <w:r>
        <w:rPr>
          <w:lang w:bidi="he-IL"/>
        </w:rPr>
        <w:t xml:space="preserve">There have been calls to reform </w:t>
      </w:r>
      <w:r w:rsidR="004A7523">
        <w:rPr>
          <w:lang w:bidi="he-IL"/>
        </w:rPr>
        <w:t xml:space="preserve">aspects of </w:t>
      </w:r>
      <w:r w:rsidR="00C673EE" w:rsidRPr="00BD76EC">
        <w:rPr>
          <w:i/>
          <w:iCs/>
          <w:lang w:bidi="he-IL"/>
        </w:rPr>
        <w:t>PIPEDA</w:t>
      </w:r>
      <w:r w:rsidR="00C673EE">
        <w:rPr>
          <w:lang w:bidi="he-IL"/>
        </w:rPr>
        <w:t xml:space="preserve"> </w:t>
      </w:r>
      <w:r>
        <w:rPr>
          <w:lang w:bidi="he-IL"/>
        </w:rPr>
        <w:t>over the years,</w:t>
      </w:r>
      <w:r>
        <w:rPr>
          <w:rStyle w:val="FootnoteReference"/>
          <w:lang w:bidi="he-IL"/>
        </w:rPr>
        <w:footnoteReference w:id="25"/>
      </w:r>
      <w:r>
        <w:rPr>
          <w:lang w:bidi="he-IL"/>
        </w:rPr>
        <w:t xml:space="preserve"> </w:t>
      </w:r>
      <w:r w:rsidR="00E70A60">
        <w:rPr>
          <w:lang w:bidi="he-IL"/>
        </w:rPr>
        <w:t xml:space="preserve">which future legislation will presumably seek to address. </w:t>
      </w:r>
      <w:r>
        <w:rPr>
          <w:lang w:bidi="he-IL"/>
        </w:rPr>
        <w:t xml:space="preserve">For instance, </w:t>
      </w:r>
      <w:r w:rsidR="00094369">
        <w:rPr>
          <w:lang w:bidi="he-IL"/>
        </w:rPr>
        <w:t>unlike</w:t>
      </w:r>
      <w:r w:rsidR="00B43479">
        <w:rPr>
          <w:lang w:bidi="he-IL"/>
        </w:rPr>
        <w:t xml:space="preserve"> </w:t>
      </w:r>
      <w:r w:rsidR="003061DB" w:rsidRPr="003061DB">
        <w:rPr>
          <w:i/>
          <w:iCs/>
          <w:lang w:bidi="he-IL"/>
        </w:rPr>
        <w:t>PIPEDA</w:t>
      </w:r>
      <w:r w:rsidR="00094369">
        <w:rPr>
          <w:i/>
          <w:iCs/>
          <w:lang w:bidi="he-IL"/>
        </w:rPr>
        <w:t xml:space="preserve">, </w:t>
      </w:r>
      <w:r w:rsidR="002118A3">
        <w:rPr>
          <w:i/>
          <w:iCs/>
          <w:lang w:bidi="he-IL"/>
        </w:rPr>
        <w:t>CP</w:t>
      </w:r>
      <w:r w:rsidR="00094369" w:rsidRPr="00E21C53">
        <w:rPr>
          <w:i/>
          <w:iCs/>
          <w:lang w:bidi="he-IL"/>
        </w:rPr>
        <w:t>PA</w:t>
      </w:r>
      <w:r w:rsidR="00094369">
        <w:rPr>
          <w:lang w:bidi="he-IL"/>
        </w:rPr>
        <w:t xml:space="preserve"> no longer</w:t>
      </w:r>
      <w:r w:rsidR="00B25959">
        <w:rPr>
          <w:lang w:bidi="he-IL"/>
        </w:rPr>
        <w:t xml:space="preserve"> refers to</w:t>
      </w:r>
      <w:r w:rsidR="00427741">
        <w:rPr>
          <w:lang w:bidi="he-IL"/>
        </w:rPr>
        <w:t xml:space="preserve"> </w:t>
      </w:r>
      <w:r w:rsidR="00B25959">
        <w:rPr>
          <w:lang w:bidi="he-IL"/>
        </w:rPr>
        <w:t xml:space="preserve">personal information protection principles </w:t>
      </w:r>
      <w:r w:rsidR="00B43479">
        <w:rPr>
          <w:lang w:bidi="he-IL"/>
        </w:rPr>
        <w:t xml:space="preserve">governing commercial activity </w:t>
      </w:r>
      <w:r w:rsidR="00B25959">
        <w:rPr>
          <w:lang w:bidi="he-IL"/>
        </w:rPr>
        <w:t xml:space="preserve">in a separate, </w:t>
      </w:r>
      <w:r w:rsidR="00870DF0">
        <w:rPr>
          <w:lang w:bidi="he-IL"/>
        </w:rPr>
        <w:t xml:space="preserve">mostly </w:t>
      </w:r>
      <w:r w:rsidR="00B25959">
        <w:rPr>
          <w:lang w:bidi="he-IL"/>
        </w:rPr>
        <w:t>non-binding schedule</w:t>
      </w:r>
      <w:r w:rsidR="00B43479">
        <w:rPr>
          <w:lang w:bidi="he-IL"/>
        </w:rPr>
        <w:t>.</w:t>
      </w:r>
      <w:bookmarkStart w:id="13" w:name="_Ref78154136"/>
      <w:r w:rsidR="00B25959">
        <w:rPr>
          <w:rStyle w:val="FootnoteReference"/>
          <w:lang w:bidi="he-IL"/>
        </w:rPr>
        <w:footnoteReference w:id="26"/>
      </w:r>
      <w:bookmarkEnd w:id="13"/>
      <w:r w:rsidR="00B25959">
        <w:rPr>
          <w:lang w:bidi="he-IL"/>
        </w:rPr>
        <w:t xml:space="preserve"> </w:t>
      </w:r>
      <w:r w:rsidR="00210228">
        <w:rPr>
          <w:lang w:bidi="he-IL"/>
        </w:rPr>
        <w:t>The updated principles (</w:t>
      </w:r>
      <w:r w:rsidR="006E29AF">
        <w:rPr>
          <w:lang w:bidi="he-IL"/>
        </w:rPr>
        <w:t xml:space="preserve">plus </w:t>
      </w:r>
      <w:r w:rsidR="00210228">
        <w:rPr>
          <w:lang w:bidi="he-IL"/>
        </w:rPr>
        <w:t xml:space="preserve">a few new principles) have been incorporated into </w:t>
      </w:r>
      <w:r w:rsidR="00210228" w:rsidRPr="00E21C53">
        <w:rPr>
          <w:i/>
          <w:iCs/>
          <w:lang w:bidi="he-IL"/>
        </w:rPr>
        <w:t>CPPA</w:t>
      </w:r>
      <w:r w:rsidR="00210228">
        <w:rPr>
          <w:lang w:bidi="he-IL"/>
        </w:rPr>
        <w:t xml:space="preserve"> explicitly as organizational obligations, </w:t>
      </w:r>
      <w:r w:rsidR="00D15957">
        <w:rPr>
          <w:lang w:bidi="he-IL"/>
        </w:rPr>
        <w:t>and</w:t>
      </w:r>
      <w:r w:rsidR="00B25959" w:rsidRPr="00E21C53">
        <w:rPr>
          <w:lang w:bidi="he-IL"/>
        </w:rPr>
        <w:t xml:space="preserve"> form </w:t>
      </w:r>
      <w:r w:rsidR="00E21C53">
        <w:rPr>
          <w:lang w:bidi="he-IL"/>
        </w:rPr>
        <w:t xml:space="preserve">a direct </w:t>
      </w:r>
      <w:r w:rsidR="00B25959" w:rsidRPr="00E21C53">
        <w:rPr>
          <w:lang w:bidi="he-IL"/>
        </w:rPr>
        <w:t xml:space="preserve">part of </w:t>
      </w:r>
      <w:r w:rsidR="00E21C53">
        <w:rPr>
          <w:lang w:bidi="he-IL"/>
        </w:rPr>
        <w:t>the proposed legislation</w:t>
      </w:r>
      <w:r w:rsidR="00B25959" w:rsidRPr="00E21C53">
        <w:rPr>
          <w:lang w:bidi="he-IL"/>
        </w:rPr>
        <w:t>.</w:t>
      </w:r>
      <w:r w:rsidR="00B25959" w:rsidRPr="00E21C53">
        <w:rPr>
          <w:rStyle w:val="FootnoteReference"/>
          <w:lang w:bidi="he-IL"/>
        </w:rPr>
        <w:footnoteReference w:id="27"/>
      </w:r>
      <w:r w:rsidR="00B25959" w:rsidRPr="00E21C53">
        <w:rPr>
          <w:lang w:bidi="he-IL"/>
        </w:rPr>
        <w:t xml:space="preserve"> </w:t>
      </w:r>
      <w:r w:rsidR="00796E38">
        <w:rPr>
          <w:lang w:bidi="he-IL"/>
        </w:rPr>
        <w:t xml:space="preserve">Such </w:t>
      </w:r>
      <w:r w:rsidR="00825473">
        <w:rPr>
          <w:lang w:bidi="he-IL"/>
        </w:rPr>
        <w:t xml:space="preserve">an approach </w:t>
      </w:r>
      <w:r w:rsidR="00796E38">
        <w:rPr>
          <w:lang w:bidi="he-IL"/>
        </w:rPr>
        <w:t>pro</w:t>
      </w:r>
      <w:r w:rsidR="00E963E4">
        <w:rPr>
          <w:lang w:bidi="he-IL"/>
        </w:rPr>
        <w:t xml:space="preserve">vides </w:t>
      </w:r>
      <w:r w:rsidR="00796E38">
        <w:rPr>
          <w:lang w:bidi="he-IL"/>
        </w:rPr>
        <w:t>better recognition and enforcement of the right of privacy</w:t>
      </w:r>
      <w:r w:rsidR="00E963E4">
        <w:rPr>
          <w:lang w:bidi="he-IL"/>
        </w:rPr>
        <w:t xml:space="preserve"> because it moves beyond</w:t>
      </w:r>
      <w:r w:rsidR="00495632">
        <w:rPr>
          <w:lang w:bidi="he-IL"/>
        </w:rPr>
        <w:t xml:space="preserve"> a mostly non-binding schedule</w:t>
      </w:r>
      <w:r w:rsidR="00E963E4">
        <w:rPr>
          <w:lang w:bidi="he-IL"/>
        </w:rPr>
        <w:t xml:space="preserve"> to requiring compliance with specific rules</w:t>
      </w:r>
      <w:r w:rsidR="00796E38">
        <w:rPr>
          <w:lang w:bidi="he-IL"/>
        </w:rPr>
        <w:t xml:space="preserve">. </w:t>
      </w:r>
    </w:p>
    <w:p w14:paraId="78566FA3" w14:textId="77777777" w:rsidR="00210228" w:rsidRDefault="00210228">
      <w:pPr>
        <w:spacing w:after="0"/>
        <w:ind w:firstLine="720"/>
        <w:rPr>
          <w:lang w:bidi="he-IL"/>
        </w:rPr>
      </w:pPr>
    </w:p>
    <w:p w14:paraId="262E23F3" w14:textId="4F547E67" w:rsidR="004223FB" w:rsidRDefault="00F06C43" w:rsidP="002E0F01">
      <w:pPr>
        <w:spacing w:after="0"/>
        <w:ind w:firstLine="720"/>
        <w:rPr>
          <w:lang w:bidi="he-IL"/>
        </w:rPr>
      </w:pPr>
      <w:r>
        <w:rPr>
          <w:lang w:bidi="he-IL"/>
        </w:rPr>
        <w:t xml:space="preserve">Another critique of </w:t>
      </w:r>
      <w:r w:rsidRPr="00BD76EC">
        <w:rPr>
          <w:i/>
          <w:iCs/>
          <w:lang w:bidi="he-IL"/>
        </w:rPr>
        <w:t>PIPEDA</w:t>
      </w:r>
      <w:r>
        <w:rPr>
          <w:lang w:bidi="he-IL"/>
        </w:rPr>
        <w:t xml:space="preserve"> concerns the relative powerless</w:t>
      </w:r>
      <w:r w:rsidR="006C4096">
        <w:rPr>
          <w:lang w:bidi="he-IL"/>
        </w:rPr>
        <w:t>ness</w:t>
      </w:r>
      <w:r>
        <w:rPr>
          <w:lang w:bidi="he-IL"/>
        </w:rPr>
        <w:t xml:space="preserve"> of the </w:t>
      </w:r>
      <w:r w:rsidR="00B25959">
        <w:rPr>
          <w:lang w:bidi="he-IL"/>
        </w:rPr>
        <w:t>Privacy Commissioner</w:t>
      </w:r>
      <w:r>
        <w:rPr>
          <w:lang w:bidi="he-IL"/>
        </w:rPr>
        <w:t>.</w:t>
      </w:r>
      <w:r w:rsidR="006C4096">
        <w:rPr>
          <w:rStyle w:val="FootnoteReference"/>
          <w:lang w:bidi="he-IL"/>
        </w:rPr>
        <w:footnoteReference w:id="28"/>
      </w:r>
      <w:r>
        <w:rPr>
          <w:lang w:bidi="he-IL"/>
        </w:rPr>
        <w:t xml:space="preserve"> </w:t>
      </w:r>
      <w:r w:rsidR="004223FB">
        <w:rPr>
          <w:lang w:bidi="he-IL"/>
        </w:rPr>
        <w:t>Indeed, t</w:t>
      </w:r>
      <w:r>
        <w:rPr>
          <w:lang w:bidi="he-IL"/>
        </w:rPr>
        <w:t xml:space="preserve">he bulk of Privacy Commissioner’s authority is to </w:t>
      </w:r>
      <w:r w:rsidR="004223FB">
        <w:rPr>
          <w:lang w:bidi="he-IL"/>
        </w:rPr>
        <w:t>hear</w:t>
      </w:r>
      <w:r>
        <w:rPr>
          <w:lang w:bidi="he-IL"/>
        </w:rPr>
        <w:t xml:space="preserve"> a complaint</w:t>
      </w:r>
      <w:r w:rsidR="004223FB">
        <w:rPr>
          <w:rStyle w:val="FootnoteReference"/>
          <w:lang w:bidi="he-IL"/>
        </w:rPr>
        <w:footnoteReference w:id="29"/>
      </w:r>
      <w:r>
        <w:rPr>
          <w:lang w:bidi="he-IL"/>
        </w:rPr>
        <w:t xml:space="preserve"> </w:t>
      </w:r>
      <w:r w:rsidR="004223FB">
        <w:rPr>
          <w:lang w:bidi="he-IL"/>
        </w:rPr>
        <w:t xml:space="preserve">as well as </w:t>
      </w:r>
      <w:r>
        <w:rPr>
          <w:lang w:bidi="he-IL"/>
        </w:rPr>
        <w:t xml:space="preserve"> issue a report</w:t>
      </w:r>
      <w:r w:rsidR="004223FB">
        <w:rPr>
          <w:lang w:bidi="he-IL"/>
        </w:rPr>
        <w:t xml:space="preserve"> containing </w:t>
      </w:r>
      <w:r>
        <w:rPr>
          <w:lang w:bidi="he-IL"/>
        </w:rPr>
        <w:t>findings and recommendations.</w:t>
      </w:r>
      <w:r>
        <w:rPr>
          <w:rStyle w:val="FootnoteReference"/>
          <w:lang w:bidi="he-IL"/>
        </w:rPr>
        <w:footnoteReference w:id="30"/>
      </w:r>
      <w:r>
        <w:rPr>
          <w:lang w:bidi="he-IL"/>
        </w:rPr>
        <w:t xml:space="preserve">  Under </w:t>
      </w:r>
      <w:r w:rsidRPr="006C4096">
        <w:rPr>
          <w:i/>
          <w:iCs/>
          <w:lang w:bidi="he-IL"/>
        </w:rPr>
        <w:t>CPPA</w:t>
      </w:r>
      <w:r>
        <w:rPr>
          <w:lang w:bidi="he-IL"/>
        </w:rPr>
        <w:t xml:space="preserve">, </w:t>
      </w:r>
      <w:r w:rsidR="003E1035">
        <w:rPr>
          <w:lang w:bidi="he-IL"/>
        </w:rPr>
        <w:t xml:space="preserve">by way of contrast, </w:t>
      </w:r>
      <w:r>
        <w:rPr>
          <w:lang w:bidi="he-IL"/>
        </w:rPr>
        <w:t xml:space="preserve">the </w:t>
      </w:r>
      <w:r w:rsidR="003E1035">
        <w:rPr>
          <w:lang w:bidi="he-IL"/>
        </w:rPr>
        <w:t xml:space="preserve">reach of the Privacy Commissioner’s </w:t>
      </w:r>
      <w:r w:rsidR="008031AA">
        <w:rPr>
          <w:lang w:bidi="he-IL"/>
        </w:rPr>
        <w:t>authority</w:t>
      </w:r>
      <w:r w:rsidR="003E1035">
        <w:rPr>
          <w:lang w:bidi="he-IL"/>
        </w:rPr>
        <w:t xml:space="preserve"> </w:t>
      </w:r>
      <w:r w:rsidR="004A7523">
        <w:rPr>
          <w:lang w:bidi="he-IL"/>
        </w:rPr>
        <w:t>is</w:t>
      </w:r>
      <w:r w:rsidR="003E1035">
        <w:rPr>
          <w:lang w:bidi="he-IL"/>
        </w:rPr>
        <w:t xml:space="preserve"> markedly broadened to include the power to issue decisions</w:t>
      </w:r>
      <w:r w:rsidR="002E0F01">
        <w:rPr>
          <w:lang w:bidi="he-IL"/>
        </w:rPr>
        <w:t>,</w:t>
      </w:r>
      <w:r w:rsidR="003E1035">
        <w:rPr>
          <w:rStyle w:val="FootnoteReference"/>
          <w:lang w:bidi="he-IL"/>
        </w:rPr>
        <w:footnoteReference w:id="31"/>
      </w:r>
      <w:r w:rsidR="00B25959">
        <w:rPr>
          <w:lang w:bidi="he-IL"/>
        </w:rPr>
        <w:t xml:space="preserve"> compliance orders</w:t>
      </w:r>
      <w:r>
        <w:rPr>
          <w:lang w:bidi="he-IL"/>
        </w:rPr>
        <w:t>,</w:t>
      </w:r>
      <w:r w:rsidR="001343C7">
        <w:rPr>
          <w:rStyle w:val="FootnoteReference"/>
          <w:lang w:bidi="he-IL"/>
        </w:rPr>
        <w:footnoteReference w:id="32"/>
      </w:r>
      <w:r w:rsidR="001343C7">
        <w:rPr>
          <w:lang w:bidi="he-IL"/>
        </w:rPr>
        <w:t xml:space="preserve"> </w:t>
      </w:r>
      <w:r w:rsidR="004223FB">
        <w:rPr>
          <w:lang w:bidi="he-IL"/>
        </w:rPr>
        <w:t xml:space="preserve">and </w:t>
      </w:r>
      <w:r>
        <w:rPr>
          <w:lang w:bidi="he-IL"/>
        </w:rPr>
        <w:t xml:space="preserve">recommendations </w:t>
      </w:r>
      <w:r w:rsidR="001343C7">
        <w:rPr>
          <w:lang w:bidi="he-IL"/>
        </w:rPr>
        <w:t>on penalties</w:t>
      </w:r>
      <w:r w:rsidR="004A7523">
        <w:rPr>
          <w:lang w:bidi="he-IL"/>
        </w:rPr>
        <w:t>.</w:t>
      </w:r>
      <w:r w:rsidR="001343C7">
        <w:rPr>
          <w:rStyle w:val="FootnoteReference"/>
          <w:lang w:bidi="he-IL"/>
        </w:rPr>
        <w:footnoteReference w:id="33"/>
      </w:r>
      <w:r w:rsidR="004A7523">
        <w:rPr>
          <w:lang w:bidi="he-IL"/>
        </w:rPr>
        <w:t xml:space="preserve"> </w:t>
      </w:r>
      <w:r w:rsidR="00427741">
        <w:rPr>
          <w:lang w:bidi="he-IL"/>
        </w:rPr>
        <w:t xml:space="preserve"> </w:t>
      </w:r>
    </w:p>
    <w:p w14:paraId="729E2563" w14:textId="77777777" w:rsidR="004223FB" w:rsidRDefault="004223FB" w:rsidP="00C028CF">
      <w:pPr>
        <w:spacing w:after="0"/>
        <w:ind w:firstLine="720"/>
        <w:rPr>
          <w:rtl/>
          <w:lang w:bidi="he-IL"/>
        </w:rPr>
      </w:pPr>
    </w:p>
    <w:p w14:paraId="7F2C4FAA" w14:textId="77777777" w:rsidR="00580293" w:rsidRDefault="004223FB" w:rsidP="00F75837">
      <w:pPr>
        <w:spacing w:after="0"/>
        <w:ind w:firstLine="720"/>
        <w:rPr>
          <w:lang w:bidi="he-IL"/>
        </w:rPr>
      </w:pPr>
      <w:r>
        <w:rPr>
          <w:lang w:bidi="he-IL"/>
        </w:rPr>
        <w:t xml:space="preserve">Yet another critique </w:t>
      </w:r>
      <w:r w:rsidR="00E70A60">
        <w:rPr>
          <w:lang w:bidi="he-IL"/>
        </w:rPr>
        <w:t xml:space="preserve">of </w:t>
      </w:r>
      <w:r>
        <w:rPr>
          <w:i/>
          <w:iCs/>
          <w:lang w:bidi="he-IL"/>
        </w:rPr>
        <w:t xml:space="preserve">PIPEDA </w:t>
      </w:r>
      <w:r w:rsidR="008031AA">
        <w:rPr>
          <w:lang w:bidi="he-IL"/>
        </w:rPr>
        <w:t>is that it lacks teeth on the enforcement front.</w:t>
      </w:r>
      <w:r w:rsidR="00202CD1">
        <w:rPr>
          <w:lang w:bidi="he-IL"/>
        </w:rPr>
        <w:t xml:space="preserve"> </w:t>
      </w:r>
      <w:r w:rsidR="002E0F01">
        <w:rPr>
          <w:lang w:bidi="he-IL"/>
        </w:rPr>
        <w:t>A good example has been</w:t>
      </w:r>
      <w:r w:rsidR="005B18AF">
        <w:rPr>
          <w:lang w:bidi="he-IL"/>
        </w:rPr>
        <w:t xml:space="preserve"> the lack of regard to </w:t>
      </w:r>
      <w:r w:rsidR="005B18AF">
        <w:rPr>
          <w:i/>
          <w:iCs/>
          <w:lang w:bidi="he-IL"/>
        </w:rPr>
        <w:t xml:space="preserve">PIPEDA </w:t>
      </w:r>
      <w:r w:rsidR="005B18AF">
        <w:rPr>
          <w:lang w:bidi="he-IL"/>
        </w:rPr>
        <w:t xml:space="preserve">shown by Facebook over the </w:t>
      </w:r>
      <w:r w:rsidR="005B18AF">
        <w:rPr>
          <w:lang w:bidi="he-IL"/>
        </w:rPr>
        <w:lastRenderedPageBreak/>
        <w:t>years.</w:t>
      </w:r>
      <w:r w:rsidR="004F292B">
        <w:rPr>
          <w:rStyle w:val="FootnoteReference"/>
          <w:lang w:bidi="he-IL"/>
        </w:rPr>
        <w:footnoteReference w:id="34"/>
      </w:r>
      <w:r w:rsidR="005B18AF">
        <w:rPr>
          <w:lang w:bidi="he-IL"/>
        </w:rPr>
        <w:t xml:space="preserve"> </w:t>
      </w:r>
      <w:r w:rsidR="008031AA">
        <w:rPr>
          <w:lang w:bidi="he-IL"/>
        </w:rPr>
        <w:t>In response, and</w:t>
      </w:r>
      <w:r w:rsidR="00202CD1">
        <w:rPr>
          <w:lang w:bidi="he-IL"/>
        </w:rPr>
        <w:t xml:space="preserve"> </w:t>
      </w:r>
      <w:r w:rsidR="008031AA">
        <w:rPr>
          <w:lang w:bidi="he-IL"/>
        </w:rPr>
        <w:t>t</w:t>
      </w:r>
      <w:r w:rsidR="00094369">
        <w:rPr>
          <w:lang w:bidi="he-IL"/>
        </w:rPr>
        <w:t xml:space="preserve">hough similar </w:t>
      </w:r>
      <w:r w:rsidR="008D384B">
        <w:rPr>
          <w:lang w:bidi="he-IL"/>
        </w:rPr>
        <w:t xml:space="preserve">to </w:t>
      </w:r>
      <w:r w:rsidR="003061DB" w:rsidRPr="003061DB">
        <w:rPr>
          <w:i/>
          <w:iCs/>
          <w:lang w:bidi="he-IL"/>
        </w:rPr>
        <w:t>PIPEDA</w:t>
      </w:r>
      <w:r w:rsidR="00094369">
        <w:rPr>
          <w:lang w:bidi="he-IL"/>
        </w:rPr>
        <w:t xml:space="preserve"> in providing </w:t>
      </w:r>
      <w:r w:rsidR="008D384B">
        <w:rPr>
          <w:lang w:bidi="he-IL"/>
        </w:rPr>
        <w:t>a mechanism whereby complaints can be brought before the Privacy Commission</w:t>
      </w:r>
      <w:r w:rsidR="000C37FC">
        <w:rPr>
          <w:lang w:bidi="he-IL"/>
        </w:rPr>
        <w:t>er</w:t>
      </w:r>
      <w:r w:rsidR="008D384B">
        <w:rPr>
          <w:lang w:bidi="he-IL"/>
        </w:rPr>
        <w:t xml:space="preserve"> of Canada</w:t>
      </w:r>
      <w:r w:rsidR="00D851B1">
        <w:rPr>
          <w:lang w:bidi="he-IL"/>
        </w:rPr>
        <w:t>,</w:t>
      </w:r>
      <w:r w:rsidR="008D384B">
        <w:rPr>
          <w:rStyle w:val="FootnoteReference"/>
          <w:lang w:bidi="he-IL"/>
        </w:rPr>
        <w:footnoteReference w:id="35"/>
      </w:r>
      <w:r w:rsidR="008D384B">
        <w:rPr>
          <w:lang w:bidi="he-IL"/>
        </w:rPr>
        <w:t xml:space="preserve"> </w:t>
      </w:r>
      <w:r w:rsidR="003061DB" w:rsidRPr="003061DB">
        <w:rPr>
          <w:i/>
          <w:iCs/>
          <w:lang w:bidi="he-IL"/>
        </w:rPr>
        <w:t>CPPA</w:t>
      </w:r>
      <w:r w:rsidR="00094369">
        <w:rPr>
          <w:lang w:bidi="he-IL"/>
        </w:rPr>
        <w:t xml:space="preserve"> also </w:t>
      </w:r>
      <w:r w:rsidR="008D384B">
        <w:rPr>
          <w:lang w:bidi="he-IL"/>
        </w:rPr>
        <w:t xml:space="preserve">proposes a new tribunal, </w:t>
      </w:r>
      <w:r w:rsidR="008D384B" w:rsidRPr="00C26575">
        <w:rPr>
          <w:lang w:bidi="he-IL"/>
        </w:rPr>
        <w:t>the Personal Information and Data Protection Tribunal</w:t>
      </w:r>
      <w:r w:rsidR="008D384B">
        <w:rPr>
          <w:lang w:bidi="he-IL"/>
        </w:rPr>
        <w:t xml:space="preserve"> (Tribunal),</w:t>
      </w:r>
      <w:r w:rsidR="008D384B">
        <w:rPr>
          <w:rStyle w:val="FootnoteReference"/>
          <w:lang w:bidi="he-IL"/>
        </w:rPr>
        <w:footnoteReference w:id="36"/>
      </w:r>
      <w:r w:rsidR="008D384B">
        <w:rPr>
          <w:lang w:bidi="he-IL"/>
        </w:rPr>
        <w:t xml:space="preserve"> with notable</w:t>
      </w:r>
      <w:r w:rsidR="00B25959">
        <w:rPr>
          <w:lang w:bidi="he-IL"/>
        </w:rPr>
        <w:t xml:space="preserve"> </w:t>
      </w:r>
      <w:r w:rsidR="008D384B">
        <w:rPr>
          <w:lang w:bidi="he-IL"/>
        </w:rPr>
        <w:t>powers. Th</w:t>
      </w:r>
      <w:r w:rsidR="00094369">
        <w:rPr>
          <w:lang w:bidi="he-IL"/>
        </w:rPr>
        <w:t>is</w:t>
      </w:r>
      <w:r w:rsidR="008D384B">
        <w:rPr>
          <w:lang w:bidi="he-IL"/>
        </w:rPr>
        <w:t xml:space="preserve"> Tribunal is </w:t>
      </w:r>
      <w:r w:rsidR="002201D6">
        <w:rPr>
          <w:lang w:bidi="he-IL"/>
        </w:rPr>
        <w:t xml:space="preserve">to act as </w:t>
      </w:r>
      <w:r w:rsidR="008D384B">
        <w:rPr>
          <w:lang w:bidi="he-IL"/>
        </w:rPr>
        <w:t>an appeal level for decisions and orders made by the Privacy Commissioner in response to a complaint</w:t>
      </w:r>
      <w:r w:rsidR="008D384B">
        <w:rPr>
          <w:rStyle w:val="FootnoteReference"/>
          <w:lang w:bidi="he-IL"/>
        </w:rPr>
        <w:footnoteReference w:id="37"/>
      </w:r>
      <w:r w:rsidR="008D384B">
        <w:rPr>
          <w:lang w:bidi="he-IL"/>
        </w:rPr>
        <w:t xml:space="preserve"> and can impose considerable monetary penalties and fines.</w:t>
      </w:r>
      <w:r w:rsidR="008D384B">
        <w:rPr>
          <w:rStyle w:val="FootnoteReference"/>
          <w:lang w:bidi="he-IL"/>
        </w:rPr>
        <w:footnoteReference w:id="38"/>
      </w:r>
      <w:r w:rsidR="008D384B">
        <w:rPr>
          <w:lang w:bidi="he-IL"/>
        </w:rPr>
        <w:t xml:space="preserve"> Penalties c</w:t>
      </w:r>
      <w:r w:rsidR="001343C7">
        <w:rPr>
          <w:lang w:bidi="he-IL"/>
        </w:rPr>
        <w:t xml:space="preserve">an rise </w:t>
      </w:r>
      <w:r w:rsidR="008D384B">
        <w:rPr>
          <w:lang w:bidi="he-IL"/>
        </w:rPr>
        <w:t>to the higher amount of either CAD $10 million or 3% of revenue.</w:t>
      </w:r>
      <w:r w:rsidR="008D384B">
        <w:rPr>
          <w:rStyle w:val="FootnoteReference"/>
          <w:lang w:bidi="he-IL"/>
        </w:rPr>
        <w:footnoteReference w:id="39"/>
      </w:r>
      <w:r w:rsidR="008D384B">
        <w:rPr>
          <w:lang w:bidi="he-IL"/>
        </w:rPr>
        <w:t xml:space="preserve"> Fines could reach the higher amount of either CAD $25 million or 5% of revenue.</w:t>
      </w:r>
      <w:r w:rsidR="008D384B">
        <w:rPr>
          <w:rStyle w:val="FootnoteReference"/>
          <w:lang w:bidi="he-IL"/>
        </w:rPr>
        <w:footnoteReference w:id="40"/>
      </w:r>
      <w:r w:rsidR="008D384B">
        <w:rPr>
          <w:lang w:bidi="he-IL"/>
        </w:rPr>
        <w:t xml:space="preserve"> </w:t>
      </w:r>
    </w:p>
    <w:p w14:paraId="7F7F20B7" w14:textId="77777777" w:rsidR="00580293" w:rsidRDefault="00580293" w:rsidP="00F75837">
      <w:pPr>
        <w:spacing w:after="0"/>
        <w:ind w:firstLine="720"/>
        <w:rPr>
          <w:lang w:bidi="he-IL"/>
        </w:rPr>
      </w:pPr>
    </w:p>
    <w:p w14:paraId="79E85888" w14:textId="22284F83" w:rsidR="008D384B" w:rsidRDefault="00AD6C03" w:rsidP="00F75837">
      <w:pPr>
        <w:spacing w:after="0"/>
        <w:ind w:firstLine="720"/>
        <w:rPr>
          <w:lang w:bidi="he-IL"/>
        </w:rPr>
      </w:pPr>
      <w:r>
        <w:rPr>
          <w:lang w:bidi="he-IL"/>
        </w:rPr>
        <w:t>G</w:t>
      </w:r>
      <w:r w:rsidRPr="00617EFD">
        <w:rPr>
          <w:lang w:bidi="he-IL"/>
        </w:rPr>
        <w:t>iven the</w:t>
      </w:r>
      <w:r>
        <w:rPr>
          <w:lang w:bidi="he-IL"/>
        </w:rPr>
        <w:t>se</w:t>
      </w:r>
      <w:r w:rsidRPr="00617EFD">
        <w:rPr>
          <w:lang w:bidi="he-IL"/>
        </w:rPr>
        <w:t xml:space="preserve"> particularly s</w:t>
      </w:r>
      <w:r w:rsidR="002E2E41">
        <w:rPr>
          <w:lang w:bidi="he-IL"/>
        </w:rPr>
        <w:t xml:space="preserve">ignificant </w:t>
      </w:r>
      <w:r w:rsidRPr="00617EFD">
        <w:rPr>
          <w:lang w:bidi="he-IL"/>
        </w:rPr>
        <w:t>financial consequences for breach</w:t>
      </w:r>
      <w:r>
        <w:rPr>
          <w:lang w:bidi="he-IL"/>
        </w:rPr>
        <w:t>,</w:t>
      </w:r>
      <w:r w:rsidRPr="00617EFD">
        <w:rPr>
          <w:lang w:bidi="he-IL"/>
        </w:rPr>
        <w:t xml:space="preserve"> </w:t>
      </w:r>
      <w:r w:rsidR="00617EFD" w:rsidRPr="00617EFD">
        <w:rPr>
          <w:i/>
          <w:iCs/>
          <w:lang w:bidi="he-IL"/>
        </w:rPr>
        <w:t>CPPA</w:t>
      </w:r>
      <w:r w:rsidR="00617EFD" w:rsidRPr="00617EFD">
        <w:rPr>
          <w:lang w:bidi="he-IL"/>
        </w:rPr>
        <w:t xml:space="preserve"> appears to manifest </w:t>
      </w:r>
      <w:r w:rsidR="00E21C53">
        <w:rPr>
          <w:lang w:bidi="he-IL"/>
        </w:rPr>
        <w:t xml:space="preserve">a </w:t>
      </w:r>
      <w:r w:rsidR="00617EFD">
        <w:rPr>
          <w:lang w:bidi="he-IL"/>
        </w:rPr>
        <w:t>contemporary</w:t>
      </w:r>
      <w:r w:rsidR="00C84008">
        <w:rPr>
          <w:lang w:bidi="he-IL"/>
        </w:rPr>
        <w:t xml:space="preserve"> and </w:t>
      </w:r>
      <w:r w:rsidR="00617EFD">
        <w:rPr>
          <w:lang w:bidi="he-IL"/>
        </w:rPr>
        <w:t xml:space="preserve">heightened </w:t>
      </w:r>
      <w:r w:rsidR="00617EFD" w:rsidRPr="00617EFD">
        <w:rPr>
          <w:lang w:bidi="he-IL"/>
        </w:rPr>
        <w:t xml:space="preserve">concern with accountability and enforcement </w:t>
      </w:r>
      <w:r w:rsidR="00617EFD">
        <w:rPr>
          <w:lang w:bidi="he-IL"/>
        </w:rPr>
        <w:t>of personal information protection</w:t>
      </w:r>
      <w:r w:rsidR="00D15957">
        <w:rPr>
          <w:lang w:bidi="he-IL"/>
        </w:rPr>
        <w:t>.</w:t>
      </w:r>
      <w:r w:rsidR="000E44CD">
        <w:rPr>
          <w:lang w:bidi="he-IL"/>
        </w:rPr>
        <w:t xml:space="preserve"> We expect future legislation to do the same, and </w:t>
      </w:r>
      <w:r w:rsidR="008D384B">
        <w:rPr>
          <w:lang w:bidi="he-IL"/>
        </w:rPr>
        <w:t xml:space="preserve">transform the regulation of personal information from the informal, ombudsperson complaint resolution model of </w:t>
      </w:r>
      <w:r w:rsidR="003061DB" w:rsidRPr="003061DB">
        <w:rPr>
          <w:i/>
          <w:iCs/>
          <w:lang w:bidi="he-IL"/>
        </w:rPr>
        <w:t>PIPEDA</w:t>
      </w:r>
      <w:r w:rsidR="008D384B">
        <w:rPr>
          <w:lang w:bidi="he-IL"/>
        </w:rPr>
        <w:t>,</w:t>
      </w:r>
      <w:r w:rsidR="008D384B">
        <w:rPr>
          <w:rStyle w:val="FootnoteReference"/>
          <w:lang w:bidi="he-IL"/>
        </w:rPr>
        <w:footnoteReference w:id="41"/>
      </w:r>
      <w:r w:rsidR="008D384B">
        <w:rPr>
          <w:lang w:bidi="he-IL"/>
        </w:rPr>
        <w:t xml:space="preserve"> to a more formal, administrative dispute resolution model with considerable </w:t>
      </w:r>
      <w:r w:rsidR="002105C0">
        <w:rPr>
          <w:lang w:bidi="he-IL"/>
        </w:rPr>
        <w:t xml:space="preserve">enforcement powers. </w:t>
      </w:r>
      <w:r w:rsidR="00C673EE">
        <w:rPr>
          <w:lang w:bidi="he-IL"/>
        </w:rPr>
        <w:t>In this way, the privacy interest is more effectively recognized.</w:t>
      </w:r>
    </w:p>
    <w:p w14:paraId="153E02E8" w14:textId="5D2B0ABC" w:rsidR="007A043E" w:rsidRPr="00B85295" w:rsidRDefault="007A043E" w:rsidP="00DC06C4">
      <w:pPr>
        <w:spacing w:after="0"/>
        <w:ind w:firstLine="720"/>
        <w:rPr>
          <w:strike/>
          <w:lang w:bidi="he-IL"/>
        </w:rPr>
      </w:pPr>
    </w:p>
    <w:p w14:paraId="5FA3E64E" w14:textId="15E21DCA" w:rsidR="00202CD1" w:rsidRPr="007D133C" w:rsidRDefault="00E83213" w:rsidP="000538E6">
      <w:pPr>
        <w:ind w:firstLine="720"/>
        <w:rPr>
          <w:rFonts w:eastAsia="Calibri"/>
        </w:rPr>
      </w:pPr>
      <w:r>
        <w:rPr>
          <w:lang w:bidi="he-IL"/>
        </w:rPr>
        <w:t>T</w:t>
      </w:r>
      <w:r w:rsidR="00C673EE">
        <w:rPr>
          <w:lang w:bidi="he-IL"/>
        </w:rPr>
        <w:t>he focus o</w:t>
      </w:r>
      <w:r w:rsidR="002E2E41">
        <w:rPr>
          <w:lang w:bidi="he-IL"/>
        </w:rPr>
        <w:t>f</w:t>
      </w:r>
      <w:r w:rsidR="00C673EE">
        <w:rPr>
          <w:lang w:bidi="he-IL"/>
        </w:rPr>
        <w:t xml:space="preserve"> this </w:t>
      </w:r>
      <w:r w:rsidR="00852151">
        <w:rPr>
          <w:lang w:bidi="he-IL"/>
        </w:rPr>
        <w:t>article</w:t>
      </w:r>
      <w:r>
        <w:rPr>
          <w:lang w:bidi="he-IL"/>
        </w:rPr>
        <w:t>, as noted,</w:t>
      </w:r>
      <w:r w:rsidR="00C673EE">
        <w:rPr>
          <w:lang w:bidi="he-IL"/>
        </w:rPr>
        <w:t xml:space="preserve"> is on the damages </w:t>
      </w:r>
      <w:r w:rsidR="002C4EF2">
        <w:rPr>
          <w:lang w:bidi="he-IL"/>
        </w:rPr>
        <w:t xml:space="preserve">awarded by a court </w:t>
      </w:r>
      <w:r w:rsidR="00C673EE">
        <w:rPr>
          <w:lang w:bidi="he-IL"/>
        </w:rPr>
        <w:t xml:space="preserve">under </w:t>
      </w:r>
      <w:r w:rsidR="00C673EE" w:rsidRPr="000538E6">
        <w:rPr>
          <w:i/>
          <w:iCs/>
          <w:lang w:bidi="he-IL"/>
        </w:rPr>
        <w:t>PIPEDA</w:t>
      </w:r>
      <w:r w:rsidR="00C673EE">
        <w:rPr>
          <w:lang w:bidi="he-IL"/>
        </w:rPr>
        <w:t xml:space="preserve">. </w:t>
      </w:r>
      <w:r w:rsidR="00202CD1" w:rsidRPr="007D133C">
        <w:rPr>
          <w:rFonts w:eastAsia="Calibri"/>
        </w:rPr>
        <w:t xml:space="preserve">Under </w:t>
      </w:r>
      <w:r w:rsidR="00202CD1" w:rsidRPr="007D133C">
        <w:rPr>
          <w:rFonts w:eastAsia="Calibri"/>
          <w:i/>
          <w:iCs/>
        </w:rPr>
        <w:t>PIPEDA</w:t>
      </w:r>
      <w:r w:rsidR="002C1876">
        <w:rPr>
          <w:rFonts w:eastAsia="Calibri"/>
        </w:rPr>
        <w:t>,</w:t>
      </w:r>
      <w:r w:rsidR="00202CD1" w:rsidRPr="007D133C">
        <w:rPr>
          <w:rFonts w:eastAsia="Calibri"/>
        </w:rPr>
        <w:t xml:space="preserve"> courts have ruled that applications for damages proceed </w:t>
      </w:r>
      <w:r w:rsidR="00202CD1" w:rsidRPr="007D133C">
        <w:rPr>
          <w:rFonts w:eastAsia="Calibri"/>
          <w:i/>
          <w:iCs/>
        </w:rPr>
        <w:t xml:space="preserve">de </w:t>
      </w:r>
      <w:r w:rsidR="00202CD1" w:rsidRPr="007D133C">
        <w:rPr>
          <w:rFonts w:eastAsia="Calibri"/>
          <w:i/>
          <w:iCs/>
        </w:rPr>
        <w:lastRenderedPageBreak/>
        <w:t>novo,</w:t>
      </w:r>
      <w:r w:rsidR="00202CD1" w:rsidRPr="007D133C">
        <w:rPr>
          <w:rStyle w:val="FootnoteReference"/>
          <w:rFonts w:eastAsia="Calibri"/>
          <w:i/>
          <w:iCs/>
        </w:rPr>
        <w:footnoteReference w:id="42"/>
      </w:r>
      <w:r w:rsidR="00202CD1" w:rsidRPr="007D133C">
        <w:rPr>
          <w:rFonts w:eastAsia="Calibri"/>
        </w:rPr>
        <w:t xml:space="preserve"> with the </w:t>
      </w:r>
      <w:r w:rsidR="00202CD1">
        <w:rPr>
          <w:rFonts w:eastAsia="Calibri"/>
        </w:rPr>
        <w:t>a</w:t>
      </w:r>
      <w:r w:rsidR="00202CD1" w:rsidRPr="007D133C">
        <w:rPr>
          <w:rFonts w:eastAsia="Calibri"/>
        </w:rPr>
        <w:t>pplicant carrying the burden to “present evidence of a breach of the Act.”</w:t>
      </w:r>
      <w:r w:rsidR="00202CD1" w:rsidRPr="007D133C">
        <w:rPr>
          <w:rStyle w:val="FootnoteReference"/>
          <w:rFonts w:eastAsia="Calibri"/>
        </w:rPr>
        <w:footnoteReference w:id="43"/>
      </w:r>
      <w:r w:rsidR="00202CD1" w:rsidRPr="007D133C">
        <w:rPr>
          <w:rFonts w:eastAsia="Calibri"/>
        </w:rPr>
        <w:t xml:space="preserve"> As the court in </w:t>
      </w:r>
      <w:r w:rsidR="000538E6" w:rsidRPr="007F5819">
        <w:rPr>
          <w:i/>
          <w:iCs/>
        </w:rPr>
        <w:t>Biron v RBC Royal Bank</w:t>
      </w:r>
      <w:r w:rsidR="000538E6">
        <w:rPr>
          <w:rFonts w:eastAsia="Calibri"/>
        </w:rPr>
        <w:t xml:space="preserve"> </w:t>
      </w:r>
      <w:r w:rsidR="00202CD1" w:rsidRPr="000538E6">
        <w:rPr>
          <w:rFonts w:eastAsia="Calibri"/>
        </w:rPr>
        <w:t>succinctly</w:t>
      </w:r>
      <w:r w:rsidR="00202CD1" w:rsidRPr="007D133C">
        <w:rPr>
          <w:rFonts w:eastAsia="Calibri"/>
        </w:rPr>
        <w:t xml:space="preserve"> observes in relation to </w:t>
      </w:r>
      <w:r w:rsidR="00202CD1" w:rsidRPr="007D133C">
        <w:rPr>
          <w:rFonts w:eastAsia="Calibri"/>
          <w:i/>
          <w:iCs/>
        </w:rPr>
        <w:t>PIPEDA</w:t>
      </w:r>
      <w:r w:rsidR="00202CD1" w:rsidRPr="007D133C">
        <w:rPr>
          <w:rFonts w:eastAsia="Calibri"/>
        </w:rPr>
        <w:t xml:space="preserve">: </w:t>
      </w:r>
    </w:p>
    <w:p w14:paraId="2DC72CB5" w14:textId="22C11984" w:rsidR="00202CD1" w:rsidRPr="007D133C" w:rsidRDefault="00202CD1" w:rsidP="00202CD1">
      <w:pPr>
        <w:spacing w:before="100" w:beforeAutospacing="1" w:after="100" w:afterAutospacing="1"/>
        <w:ind w:left="720"/>
        <w:rPr>
          <w:rFonts w:eastAsia="Calibri"/>
        </w:rPr>
      </w:pPr>
      <w:r w:rsidRPr="007D133C">
        <w:t xml:space="preserve">The report of the Assistant Privacy Commissioner does not bind the Court. The Federal Court of Appeal explained at paragraph 71 of </w:t>
      </w:r>
      <w:r w:rsidRPr="007D133C">
        <w:rPr>
          <w:i/>
          <w:iCs/>
        </w:rPr>
        <w:t xml:space="preserve">Englander </w:t>
      </w:r>
      <w:r w:rsidRPr="007D133C">
        <w:t>that “[t]he Commissioner</w:t>
      </w:r>
      <w:r>
        <w:t>…</w:t>
      </w:r>
      <w:r w:rsidRPr="007D133C">
        <w:t xml:space="preserve"> is not a tribunal and has no decision-making power under the</w:t>
      </w:r>
      <w:r>
        <w:t xml:space="preserve"> Act</w:t>
      </w:r>
      <w:r w:rsidRPr="007D133C">
        <w:t>. At best, the Commissioner can form an opinion on the issue and include it in his report. As the report is not a ‘decision,’ there can be no conflict with the decision of a court or tribunal found to have exclusive, concurrent or overlapping jurisdiction to determine the issue”. The Court must examine the conduct of… [the respondent] against which the complaint was filed</w:t>
      </w:r>
      <w:r>
        <w:t>…</w:t>
      </w:r>
      <w:r w:rsidRPr="007D133C">
        <w:t xml:space="preserve"> Since this is a </w:t>
      </w:r>
      <w:r w:rsidRPr="007D133C">
        <w:rPr>
          <w:i/>
          <w:iCs/>
        </w:rPr>
        <w:t>de novo</w:t>
      </w:r>
      <w:r w:rsidRPr="007D133C">
        <w:t xml:space="preserve"> review of the Commissioner’s findings, the Court is not bound by the report of the Privacy Commissioner…</w:t>
      </w:r>
      <w:r w:rsidR="007B3073">
        <w:t>.</w:t>
      </w:r>
      <w:bookmarkStart w:id="14" w:name="_Ref78154100"/>
      <w:r w:rsidRPr="007D133C">
        <w:rPr>
          <w:rStyle w:val="FootnoteReference"/>
        </w:rPr>
        <w:footnoteReference w:id="44"/>
      </w:r>
      <w:bookmarkEnd w:id="14"/>
    </w:p>
    <w:p w14:paraId="572ED806" w14:textId="77777777" w:rsidR="008D23CE" w:rsidRDefault="00202CD1" w:rsidP="00AE246C">
      <w:pPr>
        <w:rPr>
          <w:lang w:bidi="he-IL"/>
        </w:rPr>
      </w:pPr>
      <w:r w:rsidRPr="007D133C">
        <w:rPr>
          <w:rFonts w:eastAsia="Calibri"/>
        </w:rPr>
        <w:t xml:space="preserve">Accordingly, and as the court in </w:t>
      </w:r>
      <w:r w:rsidRPr="007D133C">
        <w:rPr>
          <w:rFonts w:eastAsia="Calibri"/>
          <w:i/>
          <w:iCs/>
        </w:rPr>
        <w:t>Blum</w:t>
      </w:r>
      <w:r w:rsidRPr="007D133C">
        <w:rPr>
          <w:rFonts w:eastAsia="Calibri"/>
        </w:rPr>
        <w:t xml:space="preserve"> observed, “the report of the Commissioner, if put in evidence, may be challenged or contradicted like any other document adduced in evidence.”</w:t>
      </w:r>
      <w:r w:rsidRPr="007D133C">
        <w:rPr>
          <w:rFonts w:eastAsia="Calibri"/>
          <w:vertAlign w:val="superscript"/>
        </w:rPr>
        <w:footnoteReference w:id="45"/>
      </w:r>
      <w:r w:rsidRPr="007D133C">
        <w:rPr>
          <w:rFonts w:eastAsia="Calibri"/>
        </w:rPr>
        <w:t xml:space="preserve"> </w:t>
      </w:r>
    </w:p>
    <w:p w14:paraId="566EAFDF" w14:textId="77777777" w:rsidR="00580293" w:rsidRDefault="00A428E1" w:rsidP="002118A3">
      <w:pPr>
        <w:ind w:firstLine="360"/>
      </w:pPr>
      <w:r>
        <w:rPr>
          <w:lang w:bidi="he-IL"/>
        </w:rPr>
        <w:t>Whether th</w:t>
      </w:r>
      <w:r w:rsidR="004A7523">
        <w:rPr>
          <w:lang w:bidi="he-IL"/>
        </w:rPr>
        <w:t xml:space="preserve">is </w:t>
      </w:r>
      <w:r>
        <w:rPr>
          <w:lang w:bidi="he-IL"/>
        </w:rPr>
        <w:t xml:space="preserve">approach </w:t>
      </w:r>
      <w:r w:rsidR="00AA2A95">
        <w:rPr>
          <w:lang w:bidi="he-IL"/>
        </w:rPr>
        <w:t xml:space="preserve">will be </w:t>
      </w:r>
      <w:r>
        <w:rPr>
          <w:lang w:bidi="he-IL"/>
        </w:rPr>
        <w:t xml:space="preserve">followed </w:t>
      </w:r>
      <w:r w:rsidR="00AE246C">
        <w:rPr>
          <w:lang w:bidi="he-IL"/>
        </w:rPr>
        <w:t xml:space="preserve">in future </w:t>
      </w:r>
      <w:r w:rsidR="002A7C6E">
        <w:rPr>
          <w:lang w:bidi="he-IL"/>
        </w:rPr>
        <w:t xml:space="preserve">legislation </w:t>
      </w:r>
      <w:r>
        <w:rPr>
          <w:lang w:bidi="he-IL"/>
        </w:rPr>
        <w:t>is an open question</w:t>
      </w:r>
      <w:r w:rsidR="00D947D1">
        <w:rPr>
          <w:lang w:bidi="he-IL"/>
        </w:rPr>
        <w:t xml:space="preserve">, however. </w:t>
      </w:r>
      <w:r w:rsidR="00AE246C">
        <w:rPr>
          <w:lang w:bidi="he-IL"/>
        </w:rPr>
        <w:t>For example, s</w:t>
      </w:r>
      <w:r w:rsidR="00FA434B">
        <w:rPr>
          <w:lang w:bidi="he-IL"/>
        </w:rPr>
        <w:t xml:space="preserve">ection </w:t>
      </w:r>
      <w:r w:rsidR="00FA434B">
        <w:t xml:space="preserve">106(1) of </w:t>
      </w:r>
      <w:r w:rsidR="003061DB" w:rsidRPr="003061DB">
        <w:rPr>
          <w:i/>
          <w:iCs/>
        </w:rPr>
        <w:t>CPPA</w:t>
      </w:r>
      <w:r w:rsidR="00FA434B">
        <w:t xml:space="preserve"> provides for a “</w:t>
      </w:r>
      <w:r w:rsidR="00FA434B" w:rsidRPr="00335404">
        <w:t>cause of action against the organization for damages for loss or injury that the individual has suffered as a result of the contravention</w:t>
      </w:r>
      <w:r w:rsidR="00FA434B">
        <w:t>.”</w:t>
      </w:r>
      <w:r w:rsidR="003963EF">
        <w:t xml:space="preserve"> </w:t>
      </w:r>
      <w:r>
        <w:t xml:space="preserve">Such an action can proceed when </w:t>
      </w:r>
      <w:r w:rsidR="00E66FDA">
        <w:t>the Commission</w:t>
      </w:r>
      <w:r>
        <w:t>er</w:t>
      </w:r>
      <w:r w:rsidR="00E66FDA">
        <w:t xml:space="preserve"> has made a f</w:t>
      </w:r>
      <w:r w:rsidR="00335404">
        <w:t>inding that the organization has contravened the Act (and that finding has not been appealed or the time for appealing has expired) or that the Tribunal has dismissed an appeal of the Commissioner’s finding of contravention or has itself made such a finding.</w:t>
      </w:r>
      <w:r w:rsidR="00C6304B">
        <w:rPr>
          <w:rStyle w:val="FootnoteReference"/>
        </w:rPr>
        <w:footnoteReference w:id="46"/>
      </w:r>
      <w:r w:rsidR="00335404">
        <w:t xml:space="preserve"> </w:t>
      </w:r>
    </w:p>
    <w:p w14:paraId="1A99AEBF" w14:textId="417DC87E" w:rsidR="002D724F" w:rsidRPr="007D133C" w:rsidRDefault="00D55081" w:rsidP="009D1E0C">
      <w:pPr>
        <w:ind w:firstLine="720"/>
        <w:rPr>
          <w:rFonts w:eastAsia="Calibri"/>
        </w:rPr>
      </w:pPr>
      <w:r>
        <w:rPr>
          <w:rFonts w:eastAsia="Calibri"/>
        </w:rPr>
        <w:t xml:space="preserve">The difficulty is that </w:t>
      </w:r>
      <w:r w:rsidR="002C1876">
        <w:rPr>
          <w:rFonts w:eastAsia="Calibri"/>
          <w:i/>
          <w:iCs/>
        </w:rPr>
        <w:t>CPPA</w:t>
      </w:r>
      <w:r>
        <w:rPr>
          <w:rFonts w:eastAsia="Calibri"/>
          <w:i/>
          <w:iCs/>
        </w:rPr>
        <w:t xml:space="preserve"> </w:t>
      </w:r>
      <w:r>
        <w:rPr>
          <w:rFonts w:eastAsia="Calibri"/>
        </w:rPr>
        <w:t xml:space="preserve">does not specify whether this cause of action </w:t>
      </w:r>
      <w:r w:rsidR="002C1876" w:rsidRPr="007D133C">
        <w:rPr>
          <w:rFonts w:eastAsia="Calibri"/>
        </w:rPr>
        <w:t xml:space="preserve">refers to a full trial of the matter </w:t>
      </w:r>
      <w:r w:rsidR="00D947D1">
        <w:rPr>
          <w:rFonts w:eastAsia="Calibri"/>
        </w:rPr>
        <w:t>(</w:t>
      </w:r>
      <w:r w:rsidR="002C1876">
        <w:rPr>
          <w:rFonts w:eastAsia="Calibri"/>
        </w:rPr>
        <w:t xml:space="preserve">a trial </w:t>
      </w:r>
      <w:r w:rsidR="002C1876" w:rsidRPr="00AE246C">
        <w:rPr>
          <w:rFonts w:eastAsia="Calibri"/>
          <w:i/>
          <w:iCs/>
        </w:rPr>
        <w:t>de novo</w:t>
      </w:r>
      <w:r w:rsidR="00D947D1">
        <w:rPr>
          <w:rFonts w:eastAsia="Calibri"/>
        </w:rPr>
        <w:t>)</w:t>
      </w:r>
      <w:r w:rsidR="002C1876">
        <w:rPr>
          <w:rFonts w:eastAsia="Calibri"/>
        </w:rPr>
        <w:t xml:space="preserve"> or </w:t>
      </w:r>
      <w:r w:rsidR="002C1876" w:rsidRPr="007D133C">
        <w:rPr>
          <w:rFonts w:eastAsia="Calibri"/>
        </w:rPr>
        <w:t xml:space="preserve">instead, refers to a judicial assessment of quantum alone. </w:t>
      </w:r>
      <w:r w:rsidR="006045F3">
        <w:rPr>
          <w:rFonts w:eastAsia="Calibri"/>
        </w:rPr>
        <w:t xml:space="preserve">There is an argument that the action under </w:t>
      </w:r>
      <w:r w:rsidR="006045F3" w:rsidRPr="00AE246C">
        <w:rPr>
          <w:rFonts w:eastAsia="Calibri"/>
          <w:i/>
          <w:iCs/>
        </w:rPr>
        <w:t>CPPA</w:t>
      </w:r>
      <w:r w:rsidR="006045F3">
        <w:rPr>
          <w:rFonts w:eastAsia="Calibri"/>
        </w:rPr>
        <w:t xml:space="preserve"> is not </w:t>
      </w:r>
      <w:r w:rsidR="006045F3" w:rsidRPr="00AE246C">
        <w:rPr>
          <w:rFonts w:eastAsia="Calibri"/>
          <w:i/>
          <w:iCs/>
        </w:rPr>
        <w:t>de novo</w:t>
      </w:r>
      <w:r w:rsidR="006045F3">
        <w:rPr>
          <w:rFonts w:eastAsia="Calibri"/>
        </w:rPr>
        <w:t xml:space="preserve"> on the basis that</w:t>
      </w:r>
      <w:r w:rsidR="00D947D1">
        <w:rPr>
          <w:rFonts w:eastAsia="Calibri"/>
        </w:rPr>
        <w:t xml:space="preserve"> </w:t>
      </w:r>
      <w:r w:rsidR="005820F5">
        <w:rPr>
          <w:rFonts w:eastAsia="Calibri"/>
        </w:rPr>
        <w:t>–</w:t>
      </w:r>
      <w:r w:rsidR="00D947D1">
        <w:rPr>
          <w:rFonts w:eastAsia="Calibri"/>
        </w:rPr>
        <w:t xml:space="preserve"> </w:t>
      </w:r>
      <w:r w:rsidR="006045F3">
        <w:rPr>
          <w:rFonts w:eastAsia="Calibri"/>
        </w:rPr>
        <w:t xml:space="preserve">reverse engineering from </w:t>
      </w:r>
      <w:r w:rsidR="006045F3" w:rsidRPr="00AE246C">
        <w:rPr>
          <w:rFonts w:eastAsia="Calibri"/>
          <w:i/>
          <w:iCs/>
        </w:rPr>
        <w:t>Englander</w:t>
      </w:r>
      <w:r w:rsidR="002C1876">
        <w:rPr>
          <w:rFonts w:eastAsia="Calibri"/>
        </w:rPr>
        <w:t xml:space="preserve"> quoted above</w:t>
      </w:r>
      <w:r>
        <w:rPr>
          <w:rFonts w:eastAsia="Calibri"/>
        </w:rPr>
        <w:t xml:space="preserve"> </w:t>
      </w:r>
      <w:r w:rsidR="005820F5">
        <w:rPr>
          <w:rFonts w:eastAsia="Calibri"/>
        </w:rPr>
        <w:t xml:space="preserve">– </w:t>
      </w:r>
      <w:r>
        <w:rPr>
          <w:rFonts w:eastAsia="Calibri"/>
        </w:rPr>
        <w:t xml:space="preserve">the process </w:t>
      </w:r>
      <w:r w:rsidR="002C4EF2">
        <w:rPr>
          <w:rFonts w:eastAsia="Calibri"/>
        </w:rPr>
        <w:t xml:space="preserve">under </w:t>
      </w:r>
      <w:r w:rsidR="006045F3" w:rsidRPr="00AE246C">
        <w:rPr>
          <w:rFonts w:eastAsia="Calibri"/>
          <w:i/>
          <w:iCs/>
        </w:rPr>
        <w:t>CPPA</w:t>
      </w:r>
      <w:r w:rsidR="006045F3">
        <w:rPr>
          <w:rFonts w:eastAsia="Calibri"/>
        </w:rPr>
        <w:t xml:space="preserve"> </w:t>
      </w:r>
      <w:r>
        <w:rPr>
          <w:rFonts w:eastAsia="Calibri"/>
        </w:rPr>
        <w:t xml:space="preserve">can </w:t>
      </w:r>
      <w:r w:rsidR="006045F3">
        <w:rPr>
          <w:rFonts w:eastAsia="Calibri"/>
        </w:rPr>
        <w:t xml:space="preserve">produce a final finding of legislative contravention which findings can be treated as </w:t>
      </w:r>
      <w:r w:rsidR="006045F3" w:rsidRPr="00AE246C">
        <w:rPr>
          <w:rFonts w:eastAsia="Calibri"/>
          <w:i/>
          <w:iCs/>
        </w:rPr>
        <w:t>res judicata</w:t>
      </w:r>
      <w:r w:rsidR="006045F3">
        <w:rPr>
          <w:rFonts w:eastAsia="Calibri"/>
        </w:rPr>
        <w:t xml:space="preserve">. However, such a theory is no replacement for legislative clarity and </w:t>
      </w:r>
      <w:r w:rsidR="006045F3" w:rsidRPr="00AE246C">
        <w:rPr>
          <w:rFonts w:eastAsia="Calibri"/>
          <w:i/>
          <w:iCs/>
        </w:rPr>
        <w:t>CPPA</w:t>
      </w:r>
      <w:r w:rsidR="006045F3">
        <w:rPr>
          <w:rFonts w:eastAsia="Calibri"/>
        </w:rPr>
        <w:t xml:space="preserve"> stumbles on this front.</w:t>
      </w:r>
      <w:r w:rsidR="002C1876">
        <w:rPr>
          <w:rFonts w:eastAsia="Calibri"/>
        </w:rPr>
        <w:t xml:space="preserve"> </w:t>
      </w:r>
      <w:r w:rsidR="002D724F" w:rsidRPr="007D133C">
        <w:rPr>
          <w:rFonts w:eastAsia="Calibri"/>
        </w:rPr>
        <w:t xml:space="preserve">Commentators have observed that there is no explicit </w:t>
      </w:r>
      <w:r w:rsidR="006B7C2E">
        <w:rPr>
          <w:rFonts w:eastAsia="Calibri"/>
        </w:rPr>
        <w:lastRenderedPageBreak/>
        <w:t>prov</w:t>
      </w:r>
      <w:r w:rsidR="002D724F" w:rsidRPr="007D133C">
        <w:rPr>
          <w:rFonts w:eastAsia="Calibri"/>
        </w:rPr>
        <w:t>ision</w:t>
      </w:r>
      <w:r w:rsidR="00D7287E">
        <w:rPr>
          <w:rFonts w:eastAsia="Calibri"/>
        </w:rPr>
        <w:t xml:space="preserve"> in </w:t>
      </w:r>
      <w:r w:rsidR="00D7287E">
        <w:rPr>
          <w:rFonts w:eastAsia="Calibri"/>
          <w:i/>
          <w:iCs/>
        </w:rPr>
        <w:t>CPPA</w:t>
      </w:r>
      <w:r w:rsidR="002D724F" w:rsidRPr="007D133C">
        <w:rPr>
          <w:rFonts w:eastAsia="Calibri"/>
        </w:rPr>
        <w:t xml:space="preserve"> that limits the court or addresses “the weight, if any, to be given to the findings of the Commissioner or the Tribunal in any such proceedings</w:t>
      </w:r>
      <w:r w:rsidR="009D1E0C">
        <w:rPr>
          <w:rFonts w:eastAsia="Calibri"/>
        </w:rPr>
        <w:t>….</w:t>
      </w:r>
      <w:r w:rsidR="002D724F" w:rsidRPr="007D133C">
        <w:rPr>
          <w:rFonts w:eastAsia="Calibri"/>
        </w:rPr>
        <w:t>”</w:t>
      </w:r>
      <w:r w:rsidR="002D724F" w:rsidRPr="007D133C">
        <w:rPr>
          <w:rFonts w:eastAsia="Calibri"/>
          <w:vertAlign w:val="superscript"/>
        </w:rPr>
        <w:footnoteReference w:id="47"/>
      </w:r>
      <w:r w:rsidR="002D724F" w:rsidRPr="007D133C">
        <w:rPr>
          <w:rFonts w:eastAsia="Calibri"/>
        </w:rPr>
        <w:t xml:space="preserve"> </w:t>
      </w:r>
    </w:p>
    <w:p w14:paraId="3191784D" w14:textId="3A0B5136" w:rsidR="005128CE" w:rsidRPr="00BD76EC" w:rsidRDefault="005A4FD0" w:rsidP="00A97F99">
      <w:pPr>
        <w:pStyle w:val="ListParagraph"/>
        <w:numPr>
          <w:ilvl w:val="0"/>
          <w:numId w:val="1"/>
        </w:numPr>
        <w:rPr>
          <w:rFonts w:ascii="Times New Roman" w:hAnsi="Times New Roman" w:cs="Times New Roman"/>
          <w:b/>
          <w:bCs/>
          <w:lang w:eastAsia="en-CA"/>
        </w:rPr>
      </w:pPr>
      <w:r>
        <w:rPr>
          <w:b/>
          <w:bCs/>
        </w:rPr>
        <w:t>Comparable</w:t>
      </w:r>
      <w:r w:rsidR="005128CE">
        <w:rPr>
          <w:b/>
          <w:bCs/>
        </w:rPr>
        <w:t xml:space="preserve"> Provincial Acts</w:t>
      </w:r>
      <w:r w:rsidR="005128CE" w:rsidRPr="00BD76EC">
        <w:rPr>
          <w:b/>
          <w:bCs/>
        </w:rPr>
        <w:t xml:space="preserve">  </w:t>
      </w:r>
    </w:p>
    <w:p w14:paraId="4C16B6BF" w14:textId="7D002BA1" w:rsidR="0011426F" w:rsidRDefault="0017703C" w:rsidP="00F75837">
      <w:pPr>
        <w:ind w:firstLine="720"/>
        <w:rPr>
          <w:lang w:bidi="he-IL"/>
        </w:rPr>
      </w:pPr>
      <w:r w:rsidRPr="0017703C">
        <w:t>As summarized in Table 1 (</w:t>
      </w:r>
      <w:r w:rsidRPr="0017703C">
        <w:rPr>
          <w:i/>
          <w:iCs/>
        </w:rPr>
        <w:t>infra</w:t>
      </w:r>
      <w:r w:rsidRPr="0017703C">
        <w:t>),</w:t>
      </w:r>
      <w:r>
        <w:t xml:space="preserve"> s</w:t>
      </w:r>
      <w:r w:rsidR="00605D10">
        <w:t>everal provinces have passed personal information</w:t>
      </w:r>
      <w:r w:rsidR="009600B9">
        <w:t xml:space="preserve"> </w:t>
      </w:r>
      <w:r w:rsidR="00584CE3">
        <w:t xml:space="preserve">privacy </w:t>
      </w:r>
      <w:r w:rsidR="006747A1">
        <w:t xml:space="preserve">protection </w:t>
      </w:r>
      <w:r w:rsidR="0011426F">
        <w:t>legislation</w:t>
      </w:r>
      <w:r w:rsidR="009600B9">
        <w:t xml:space="preserve">. </w:t>
      </w:r>
      <w:r w:rsidR="00605D10">
        <w:t>S</w:t>
      </w:r>
      <w:r w:rsidR="006747A1">
        <w:t>uch le</w:t>
      </w:r>
      <w:r w:rsidR="006747A1" w:rsidRPr="00F65CFF">
        <w:t xml:space="preserve">gislation functions as the provincial equivalent of </w:t>
      </w:r>
      <w:r w:rsidR="006747A1" w:rsidRPr="002B04E5">
        <w:rPr>
          <w:i/>
          <w:iCs/>
        </w:rPr>
        <w:t>PIPEDA</w:t>
      </w:r>
      <w:r w:rsidR="006747A1" w:rsidRPr="00F65CFF">
        <w:t xml:space="preserve"> </w:t>
      </w:r>
      <w:r w:rsidR="00EA4DED" w:rsidRPr="00BB4246">
        <w:t>for the protection of personal information</w:t>
      </w:r>
      <w:r w:rsidR="00321FC4">
        <w:t xml:space="preserve"> in the private sector</w:t>
      </w:r>
      <w:r w:rsidR="003D4D48">
        <w:rPr>
          <w:rStyle w:val="FootnoteReference"/>
        </w:rPr>
        <w:footnoteReference w:id="48"/>
      </w:r>
      <w:r w:rsidR="00EA4DED">
        <w:t xml:space="preserve"> </w:t>
      </w:r>
      <w:r w:rsidR="006747A1">
        <w:t>and is not to be confused with provincial legislation creating the statutory privacy torts</w:t>
      </w:r>
      <w:r w:rsidR="00A911C9">
        <w:t xml:space="preserve"> discussed </w:t>
      </w:r>
      <w:r w:rsidR="00F75837">
        <w:t>in Section II(B).</w:t>
      </w:r>
      <w:r w:rsidR="00DC1C6B">
        <w:t xml:space="preserve"> </w:t>
      </w:r>
      <w:r w:rsidR="00EA4DED">
        <w:t>For ease of reference, the</w:t>
      </w:r>
      <w:r w:rsidR="00470E2B">
        <w:t xml:space="preserve"> </w:t>
      </w:r>
      <w:r w:rsidR="00852151">
        <w:t>article</w:t>
      </w:r>
      <w:r w:rsidR="00470E2B">
        <w:t xml:space="preserve"> will refer to</w:t>
      </w:r>
      <w:r w:rsidR="00EA4DED">
        <w:t xml:space="preserve"> </w:t>
      </w:r>
      <w:r w:rsidR="002E2E41">
        <w:t xml:space="preserve">the </w:t>
      </w:r>
      <w:r w:rsidR="00EA4DED">
        <w:t xml:space="preserve">provincial </w:t>
      </w:r>
      <w:r w:rsidR="00AD5EC9">
        <w:t xml:space="preserve">acts protecting personal information </w:t>
      </w:r>
      <w:r w:rsidR="00470E2B">
        <w:t xml:space="preserve">as </w:t>
      </w:r>
      <w:r w:rsidR="00EA4DED" w:rsidRPr="002B04E5">
        <w:rPr>
          <w:i/>
          <w:iCs/>
        </w:rPr>
        <w:t>PIPA</w:t>
      </w:r>
      <w:r w:rsidR="00EA4DED">
        <w:t xml:space="preserve"> (</w:t>
      </w:r>
      <w:r w:rsidR="00E15C47">
        <w:t>P</w:t>
      </w:r>
      <w:r w:rsidR="00EA4DED">
        <w:t xml:space="preserve">ersonal </w:t>
      </w:r>
      <w:r w:rsidR="00E15C47">
        <w:t>I</w:t>
      </w:r>
      <w:r w:rsidR="00EA4DED">
        <w:t xml:space="preserve">nformation </w:t>
      </w:r>
      <w:r w:rsidR="00E15C47">
        <w:t>P</w:t>
      </w:r>
      <w:r w:rsidR="00EA4DED">
        <w:t xml:space="preserve">rotection </w:t>
      </w:r>
      <w:r w:rsidR="00DC1C6B">
        <w:t>Acts</w:t>
      </w:r>
      <w:r w:rsidR="00EA4DED">
        <w:t xml:space="preserve">) versus </w:t>
      </w:r>
      <w:r w:rsidR="00EA4DED" w:rsidRPr="002B04E5">
        <w:rPr>
          <w:i/>
          <w:iCs/>
        </w:rPr>
        <w:t>PIPEDA</w:t>
      </w:r>
      <w:r w:rsidR="00EA4DED">
        <w:t xml:space="preserve"> (which is reserved for the federal legislation</w:t>
      </w:r>
      <w:r w:rsidR="00A7166A">
        <w:t xml:space="preserve"> alone</w:t>
      </w:r>
      <w:r w:rsidR="00EA4DED">
        <w:t xml:space="preserve">). </w:t>
      </w:r>
      <w:r w:rsidR="0011426F">
        <w:rPr>
          <w:lang w:bidi="he-IL"/>
        </w:rPr>
        <w:t>Alberta’s</w:t>
      </w:r>
      <w:r w:rsidR="00470E2B">
        <w:rPr>
          <w:lang w:bidi="he-IL"/>
        </w:rPr>
        <w:t xml:space="preserve"> </w:t>
      </w:r>
      <w:r w:rsidR="00470E2B" w:rsidRPr="002B04E5">
        <w:rPr>
          <w:i/>
          <w:iCs/>
          <w:lang w:bidi="he-IL"/>
        </w:rPr>
        <w:t>PIPA</w:t>
      </w:r>
      <w:r w:rsidR="00470E2B">
        <w:rPr>
          <w:lang w:bidi="he-IL"/>
        </w:rPr>
        <w:t xml:space="preserve"> </w:t>
      </w:r>
      <w:r w:rsidR="00E15C47">
        <w:rPr>
          <w:lang w:bidi="he-IL"/>
        </w:rPr>
        <w:t>provides</w:t>
      </w:r>
      <w:r w:rsidR="0011426F">
        <w:rPr>
          <w:lang w:bidi="he-IL"/>
        </w:rPr>
        <w:t xml:space="preserve"> as follows:</w:t>
      </w:r>
    </w:p>
    <w:p w14:paraId="1E6D8DB6" w14:textId="7DC87D53" w:rsidR="0011426F" w:rsidRDefault="0011426F" w:rsidP="00F75837">
      <w:pPr>
        <w:ind w:left="720"/>
        <w:jc w:val="both"/>
        <w:rPr>
          <w:strike/>
          <w:lang w:bidi="he-IL"/>
        </w:rPr>
      </w:pPr>
      <w:r>
        <w:rPr>
          <w:rStyle w:val="sectionnumber"/>
        </w:rPr>
        <w:t>60</w:t>
      </w:r>
      <w:r w:rsidRPr="006B7C2E">
        <w:rPr>
          <w:rStyle w:val="canliisectionwithsubsection"/>
        </w:rPr>
        <w:t>(1)</w:t>
      </w:r>
      <w:r>
        <w:t xml:space="preserve"> If the Commissioner has made an order </w:t>
      </w:r>
      <w:r w:rsidRPr="0046678F">
        <w:t xml:space="preserve">under </w:t>
      </w:r>
      <w:hyperlink r:id="rId8" w:anchor="sec52_smooth" w:history="1">
        <w:r w:rsidRPr="0046678F">
          <w:rPr>
            <w:rStyle w:val="Hyperlink"/>
            <w:color w:val="auto"/>
            <w:u w:val="none"/>
          </w:rPr>
          <w:t>section 52</w:t>
        </w:r>
      </w:hyperlink>
      <w:r>
        <w:t xml:space="preserve"> against an organization and the order has become final as a result of there being no further right of appeal, </w:t>
      </w:r>
      <w:r w:rsidRPr="002B04E5">
        <w:t xml:space="preserve">an individual affected by the order </w:t>
      </w:r>
      <w:r w:rsidRPr="001676D1">
        <w:rPr>
          <w:b/>
          <w:bCs/>
        </w:rPr>
        <w:t>has a cause of action against the organization for damages for loss or injury that the individu</w:t>
      </w:r>
      <w:r w:rsidRPr="0065469E">
        <w:rPr>
          <w:b/>
          <w:bCs/>
        </w:rPr>
        <w:t xml:space="preserve">al has suffered as a result of the </w:t>
      </w:r>
      <w:r w:rsidRPr="002B04E5">
        <w:t>breach</w:t>
      </w:r>
      <w:r>
        <w:t xml:space="preserve"> by the organization of obligations under this Act or the regulations [emphasis added].</w:t>
      </w:r>
      <w:r>
        <w:rPr>
          <w:rStyle w:val="FootnoteReference"/>
        </w:rPr>
        <w:footnoteReference w:id="49"/>
      </w:r>
    </w:p>
    <w:p w14:paraId="012890F4" w14:textId="02010753" w:rsidR="001B5C2F" w:rsidRDefault="00B1199F">
      <w:pPr>
        <w:rPr>
          <w:lang w:val="en-US" w:bidi="he-IL"/>
        </w:rPr>
      </w:pPr>
      <w:r>
        <w:rPr>
          <w:lang w:val="en-US" w:bidi="he-IL"/>
        </w:rPr>
        <w:t>B</w:t>
      </w:r>
      <w:r w:rsidR="00AD5EC9">
        <w:rPr>
          <w:lang w:val="en-US" w:bidi="he-IL"/>
        </w:rPr>
        <w:t>ritish Columbia</w:t>
      </w:r>
      <w:r w:rsidR="006747A1">
        <w:rPr>
          <w:lang w:val="en-US" w:bidi="he-IL"/>
        </w:rPr>
        <w:t>’s</w:t>
      </w:r>
      <w:r>
        <w:rPr>
          <w:lang w:val="en-US" w:bidi="he-IL"/>
        </w:rPr>
        <w:t xml:space="preserve"> </w:t>
      </w:r>
      <w:r w:rsidR="00E15C47" w:rsidRPr="002B04E5">
        <w:rPr>
          <w:i/>
          <w:iCs/>
          <w:lang w:val="en-US" w:bidi="he-IL"/>
        </w:rPr>
        <w:t>PIPA</w:t>
      </w:r>
      <w:r w:rsidR="00244DB6">
        <w:rPr>
          <w:lang w:val="en-US" w:bidi="he-IL"/>
        </w:rPr>
        <w:t xml:space="preserve">, by way of possible contrast, </w:t>
      </w:r>
      <w:r>
        <w:rPr>
          <w:lang w:val="en-US" w:bidi="he-IL"/>
        </w:rPr>
        <w:t>requir</w:t>
      </w:r>
      <w:r w:rsidR="00244DB6">
        <w:rPr>
          <w:lang w:val="en-US" w:bidi="he-IL"/>
        </w:rPr>
        <w:t>es</w:t>
      </w:r>
      <w:r>
        <w:rPr>
          <w:lang w:val="en-US" w:bidi="he-IL"/>
        </w:rPr>
        <w:t xml:space="preserve"> “actual harm” (versus Alberta’s “loss or injury</w:t>
      </w:r>
      <w:r w:rsidR="00F75837">
        <w:rPr>
          <w:lang w:val="en-US" w:bidi="he-IL"/>
        </w:rPr>
        <w:t>”</w:t>
      </w:r>
      <w:r>
        <w:rPr>
          <w:lang w:val="en-US" w:bidi="he-IL"/>
        </w:rPr>
        <w:t xml:space="preserve">). It states: </w:t>
      </w:r>
    </w:p>
    <w:p w14:paraId="6FE5C9F0" w14:textId="11B4F334" w:rsidR="001B5C2F" w:rsidRDefault="001B5C2F" w:rsidP="002B04E5">
      <w:pPr>
        <w:ind w:left="720"/>
        <w:jc w:val="both"/>
        <w:rPr>
          <w:lang w:val="en-US" w:bidi="he-IL"/>
        </w:rPr>
      </w:pPr>
      <w:r w:rsidRPr="006B7C2E">
        <w:rPr>
          <w:lang w:bidi="he-IL"/>
        </w:rPr>
        <w:t>57</w:t>
      </w:r>
      <w:r w:rsidRPr="001B5C2F">
        <w:rPr>
          <w:lang w:bidi="he-IL"/>
        </w:rPr>
        <w:t>(1)</w:t>
      </w:r>
      <w:r>
        <w:rPr>
          <w:lang w:bidi="he-IL"/>
        </w:rPr>
        <w:t xml:space="preserve"> </w:t>
      </w:r>
      <w:r w:rsidRPr="001B5C2F">
        <w:rPr>
          <w:lang w:bidi="he-IL"/>
        </w:rPr>
        <w:t xml:space="preserve">If the commissioner has made an order under this Act against an organization and the order has become final as a result of there being no further right of appeal, </w:t>
      </w:r>
      <w:r w:rsidRPr="001676D1">
        <w:rPr>
          <w:lang w:bidi="he-IL"/>
        </w:rPr>
        <w:t>an individual affected by the order</w:t>
      </w:r>
      <w:r w:rsidRPr="002B04E5">
        <w:rPr>
          <w:b/>
          <w:bCs/>
          <w:lang w:bidi="he-IL"/>
        </w:rPr>
        <w:t xml:space="preserve"> has a cause of action against the organization for damages for actual harm that the individual has suffered as a result of the breach</w:t>
      </w:r>
      <w:r w:rsidRPr="001B5C2F">
        <w:rPr>
          <w:lang w:bidi="he-IL"/>
        </w:rPr>
        <w:t xml:space="preserve"> by the organizatio</w:t>
      </w:r>
      <w:r>
        <w:rPr>
          <w:lang w:bidi="he-IL"/>
        </w:rPr>
        <w:t>n of obligations under this Act [emphasis added].</w:t>
      </w:r>
      <w:r>
        <w:rPr>
          <w:rStyle w:val="FootnoteReference"/>
          <w:lang w:bidi="he-IL"/>
        </w:rPr>
        <w:footnoteReference w:id="50"/>
      </w:r>
    </w:p>
    <w:p w14:paraId="2B97F929" w14:textId="77777777" w:rsidR="00B8699D" w:rsidRDefault="001B5C2F" w:rsidP="00700687">
      <w:pPr>
        <w:pStyle w:val="quote1st"/>
        <w:rPr>
          <w:rFonts w:ascii="Arial" w:hAnsi="Arial" w:cs="Arial"/>
          <w:lang w:bidi="he-IL"/>
        </w:rPr>
      </w:pPr>
      <w:bookmarkStart w:id="15" w:name="_Hlk80855535"/>
      <w:r w:rsidRPr="002B04E5">
        <w:rPr>
          <w:rFonts w:ascii="Arial" w:hAnsi="Arial" w:cs="Arial"/>
          <w:lang w:val="en-US" w:bidi="he-IL"/>
        </w:rPr>
        <w:t xml:space="preserve">Neither </w:t>
      </w:r>
      <w:r w:rsidR="00E606F0" w:rsidRPr="002B04E5">
        <w:rPr>
          <w:rFonts w:ascii="Arial" w:hAnsi="Arial" w:cs="Arial"/>
          <w:lang w:val="en-US" w:bidi="he-IL"/>
        </w:rPr>
        <w:t>B</w:t>
      </w:r>
      <w:r w:rsidR="00AA2A95">
        <w:rPr>
          <w:rFonts w:ascii="Arial" w:hAnsi="Arial" w:cs="Arial"/>
          <w:lang w:val="en-US" w:bidi="he-IL"/>
        </w:rPr>
        <w:t>ritish Columbia</w:t>
      </w:r>
      <w:r w:rsidR="00E606F0" w:rsidRPr="002B04E5">
        <w:rPr>
          <w:rFonts w:ascii="Arial" w:hAnsi="Arial" w:cs="Arial"/>
          <w:lang w:val="en-US" w:bidi="he-IL"/>
        </w:rPr>
        <w:t xml:space="preserve"> nor Alberta’s </w:t>
      </w:r>
      <w:r w:rsidR="00E15C47" w:rsidRPr="002B04E5">
        <w:rPr>
          <w:rFonts w:ascii="Arial" w:hAnsi="Arial" w:cs="Arial"/>
          <w:i/>
          <w:iCs/>
          <w:lang w:val="en-US" w:bidi="he-IL"/>
        </w:rPr>
        <w:t>PIPA</w:t>
      </w:r>
      <w:r w:rsidR="00E15C47" w:rsidRPr="002B04E5">
        <w:rPr>
          <w:rFonts w:ascii="Arial" w:hAnsi="Arial" w:cs="Arial"/>
          <w:lang w:val="en-US" w:bidi="he-IL"/>
        </w:rPr>
        <w:t xml:space="preserve"> </w:t>
      </w:r>
      <w:r w:rsidR="009600B9" w:rsidRPr="002B04E5">
        <w:rPr>
          <w:rFonts w:ascii="Arial" w:hAnsi="Arial" w:cs="Arial"/>
          <w:lang w:val="en-US" w:bidi="he-IL"/>
        </w:rPr>
        <w:t xml:space="preserve">provides a definition of </w:t>
      </w:r>
      <w:r w:rsidRPr="002B04E5">
        <w:rPr>
          <w:rFonts w:ascii="Arial" w:hAnsi="Arial" w:cs="Arial"/>
          <w:lang w:val="en-US" w:bidi="he-IL"/>
        </w:rPr>
        <w:t>‘loss’, ‘injury’ or ‘actual harm</w:t>
      </w:r>
      <w:r w:rsidR="00535816">
        <w:rPr>
          <w:rFonts w:ascii="Arial" w:hAnsi="Arial" w:cs="Arial"/>
          <w:lang w:val="en-US" w:bidi="he-IL"/>
        </w:rPr>
        <w:t>’</w:t>
      </w:r>
      <w:r w:rsidR="00B1199F" w:rsidRPr="002B04E5">
        <w:rPr>
          <w:rFonts w:ascii="Arial" w:hAnsi="Arial" w:cs="Arial"/>
          <w:lang w:bidi="he-IL"/>
        </w:rPr>
        <w:t>.</w:t>
      </w:r>
      <w:r w:rsidR="004E2569" w:rsidRPr="002B04E5">
        <w:rPr>
          <w:rFonts w:ascii="Arial" w:hAnsi="Arial" w:cs="Arial"/>
          <w:lang w:bidi="he-IL"/>
        </w:rPr>
        <w:t xml:space="preserve"> </w:t>
      </w:r>
    </w:p>
    <w:p w14:paraId="6577C1A2" w14:textId="095C0E29" w:rsidR="00BE03E0" w:rsidRDefault="006D44F5" w:rsidP="002D13A2">
      <w:pPr>
        <w:pStyle w:val="quote1st"/>
        <w:ind w:firstLine="720"/>
        <w:rPr>
          <w:rFonts w:ascii="Arial" w:hAnsi="Arial" w:cs="Arial"/>
          <w:bCs w:val="0"/>
        </w:rPr>
      </w:pPr>
      <w:r w:rsidRPr="002B04E5">
        <w:rPr>
          <w:rFonts w:ascii="Arial" w:hAnsi="Arial" w:cs="Arial"/>
          <w:lang w:bidi="he-IL"/>
        </w:rPr>
        <w:t xml:space="preserve">However, </w:t>
      </w:r>
      <w:r w:rsidR="00E7793C" w:rsidRPr="002B04E5">
        <w:rPr>
          <w:rFonts w:ascii="Arial" w:hAnsi="Arial" w:cs="Arial"/>
          <w:lang w:bidi="he-IL"/>
        </w:rPr>
        <w:t>in the context of an application for security for costs, the court in</w:t>
      </w:r>
      <w:r w:rsidRPr="002B04E5">
        <w:rPr>
          <w:rFonts w:ascii="Arial" w:hAnsi="Arial" w:cs="Arial"/>
          <w:lang w:bidi="he-IL"/>
        </w:rPr>
        <w:t xml:space="preserve"> </w:t>
      </w:r>
      <w:proofErr w:type="spellStart"/>
      <w:r w:rsidRPr="002B04E5">
        <w:rPr>
          <w:rFonts w:ascii="Arial" w:hAnsi="Arial" w:cs="Arial"/>
          <w:i/>
          <w:iCs/>
          <w:lang w:bidi="he-IL"/>
        </w:rPr>
        <w:t>Kugler</w:t>
      </w:r>
      <w:proofErr w:type="spellEnd"/>
      <w:r w:rsidRPr="002B04E5">
        <w:rPr>
          <w:rFonts w:ascii="Arial" w:hAnsi="Arial" w:cs="Arial"/>
          <w:i/>
          <w:iCs/>
          <w:lang w:bidi="he-IL"/>
        </w:rPr>
        <w:t xml:space="preserve"> v Newman</w:t>
      </w:r>
      <w:r w:rsidR="00E7793C" w:rsidRPr="002B04E5">
        <w:rPr>
          <w:rFonts w:ascii="Arial" w:hAnsi="Arial" w:cs="Arial"/>
          <w:lang w:bidi="he-IL"/>
        </w:rPr>
        <w:t xml:space="preserve"> </w:t>
      </w:r>
      <w:r w:rsidR="004E2569" w:rsidRPr="00570472">
        <w:rPr>
          <w:rFonts w:ascii="Arial" w:hAnsi="Arial" w:cs="Arial"/>
          <w:lang w:bidi="he-IL"/>
        </w:rPr>
        <w:t>confirm</w:t>
      </w:r>
      <w:r w:rsidR="00244DB6" w:rsidRPr="00570472">
        <w:rPr>
          <w:rFonts w:ascii="Arial" w:hAnsi="Arial" w:cs="Arial"/>
          <w:lang w:bidi="he-IL"/>
        </w:rPr>
        <w:t>ed</w:t>
      </w:r>
      <w:r w:rsidRPr="002B04E5">
        <w:rPr>
          <w:rFonts w:ascii="Arial" w:hAnsi="Arial" w:cs="Arial"/>
          <w:lang w:bidi="he-IL"/>
        </w:rPr>
        <w:t xml:space="preserve"> what would seem to be</w:t>
      </w:r>
      <w:r w:rsidR="004E2569" w:rsidRPr="002B04E5">
        <w:rPr>
          <w:rFonts w:ascii="Arial" w:hAnsi="Arial" w:cs="Arial"/>
          <w:lang w:bidi="he-IL"/>
        </w:rPr>
        <w:t xml:space="preserve"> non-</w:t>
      </w:r>
      <w:r w:rsidRPr="002B04E5">
        <w:rPr>
          <w:rFonts w:ascii="Arial" w:hAnsi="Arial" w:cs="Arial"/>
          <w:lang w:bidi="he-IL"/>
        </w:rPr>
        <w:t>controversial, namely that “loss or</w:t>
      </w:r>
      <w:r w:rsidR="009600B9" w:rsidRPr="002B04E5">
        <w:rPr>
          <w:rFonts w:ascii="Arial" w:hAnsi="Arial" w:cs="Arial"/>
          <w:lang w:bidi="he-IL"/>
        </w:rPr>
        <w:t xml:space="preserve"> injury</w:t>
      </w:r>
      <w:r w:rsidRPr="002B04E5">
        <w:rPr>
          <w:rFonts w:ascii="Arial" w:hAnsi="Arial" w:cs="Arial"/>
          <w:lang w:bidi="he-IL"/>
        </w:rPr>
        <w:t xml:space="preserve">” under </w:t>
      </w:r>
      <w:r w:rsidRPr="00605D10">
        <w:rPr>
          <w:rFonts w:ascii="Arial" w:hAnsi="Arial" w:cs="Arial"/>
          <w:i/>
          <w:iCs/>
          <w:lang w:bidi="he-IL"/>
        </w:rPr>
        <w:t>PIPA</w:t>
      </w:r>
      <w:r w:rsidRPr="002B04E5">
        <w:rPr>
          <w:rFonts w:ascii="Arial" w:hAnsi="Arial" w:cs="Arial"/>
          <w:lang w:bidi="he-IL"/>
        </w:rPr>
        <w:t xml:space="preserve"> is not limited to claims where “specific monetary loss” can be established.</w:t>
      </w:r>
      <w:bookmarkStart w:id="16" w:name="_Ref76637526"/>
      <w:r w:rsidRPr="002B04E5">
        <w:rPr>
          <w:rStyle w:val="FootnoteReference"/>
          <w:rFonts w:ascii="Arial" w:hAnsi="Arial" w:cs="Arial"/>
          <w:lang w:bidi="he-IL"/>
        </w:rPr>
        <w:footnoteReference w:id="51"/>
      </w:r>
      <w:bookmarkEnd w:id="16"/>
      <w:r w:rsidRPr="002B04E5">
        <w:rPr>
          <w:rFonts w:ascii="Arial" w:hAnsi="Arial" w:cs="Arial"/>
          <w:lang w:bidi="he-IL"/>
        </w:rPr>
        <w:t xml:space="preserve"> </w:t>
      </w:r>
      <w:r w:rsidR="00244DB6" w:rsidRPr="002B04E5">
        <w:rPr>
          <w:rFonts w:ascii="Arial" w:hAnsi="Arial" w:cs="Arial"/>
          <w:lang w:bidi="he-IL"/>
        </w:rPr>
        <w:t xml:space="preserve">Minimally, if </w:t>
      </w:r>
      <w:r w:rsidRPr="002B04E5">
        <w:rPr>
          <w:rFonts w:ascii="Arial" w:hAnsi="Arial" w:cs="Arial"/>
          <w:lang w:bidi="he-IL"/>
        </w:rPr>
        <w:t xml:space="preserve">the individual </w:t>
      </w:r>
      <w:r w:rsidR="00244DB6" w:rsidRPr="002B04E5">
        <w:rPr>
          <w:rFonts w:ascii="Arial" w:hAnsi="Arial" w:cs="Arial"/>
          <w:lang w:bidi="he-IL"/>
        </w:rPr>
        <w:t xml:space="preserve">can prove </w:t>
      </w:r>
      <w:r w:rsidRPr="002B04E5">
        <w:rPr>
          <w:rFonts w:ascii="Arial" w:hAnsi="Arial" w:cs="Arial"/>
          <w:lang w:bidi="he-IL"/>
        </w:rPr>
        <w:t xml:space="preserve">pecuniary and/or non-pecuniary harm as part of their action, an award of damages would </w:t>
      </w:r>
      <w:r w:rsidR="00F63FD1" w:rsidRPr="002B04E5">
        <w:rPr>
          <w:rFonts w:ascii="Arial" w:hAnsi="Arial" w:cs="Arial"/>
          <w:lang w:bidi="he-IL"/>
        </w:rPr>
        <w:t xml:space="preserve">seem to </w:t>
      </w:r>
      <w:r w:rsidRPr="002B04E5">
        <w:rPr>
          <w:rFonts w:ascii="Arial" w:hAnsi="Arial" w:cs="Arial"/>
          <w:lang w:bidi="he-IL"/>
        </w:rPr>
        <w:t xml:space="preserve">follow. </w:t>
      </w:r>
      <w:proofErr w:type="spellStart"/>
      <w:r w:rsidR="00700687" w:rsidRPr="00700687">
        <w:rPr>
          <w:rFonts w:ascii="Arial" w:hAnsi="Arial" w:cs="Arial"/>
          <w:i/>
          <w:iCs/>
          <w:lang w:val="en-US" w:bidi="he-IL"/>
        </w:rPr>
        <w:t>Kugler</w:t>
      </w:r>
      <w:proofErr w:type="spellEnd"/>
      <w:r w:rsidR="00700687" w:rsidRPr="00700687">
        <w:rPr>
          <w:rFonts w:ascii="Arial" w:hAnsi="Arial" w:cs="Arial"/>
          <w:lang w:val="en-US" w:bidi="he-IL"/>
        </w:rPr>
        <w:t xml:space="preserve"> </w:t>
      </w:r>
      <w:r w:rsidR="00700687">
        <w:rPr>
          <w:rFonts w:ascii="Arial" w:hAnsi="Arial" w:cs="Arial"/>
          <w:lang w:val="en-US" w:bidi="he-IL"/>
        </w:rPr>
        <w:t xml:space="preserve">also </w:t>
      </w:r>
      <w:r w:rsidR="00700687" w:rsidRPr="00700687">
        <w:rPr>
          <w:rFonts w:ascii="Arial" w:hAnsi="Arial" w:cs="Arial"/>
          <w:lang w:val="en-US" w:bidi="he-IL"/>
        </w:rPr>
        <w:t>notes that</w:t>
      </w:r>
      <w:r w:rsidR="00700687" w:rsidRPr="00AA66C6">
        <w:rPr>
          <w:rFonts w:ascii="Arial" w:hAnsi="Arial" w:cs="Arial"/>
          <w:bCs w:val="0"/>
        </w:rPr>
        <w:t xml:space="preserve"> </w:t>
      </w:r>
      <w:r w:rsidR="00700687">
        <w:rPr>
          <w:rFonts w:ascii="Arial" w:hAnsi="Arial" w:cs="Arial"/>
          <w:bCs w:val="0"/>
        </w:rPr>
        <w:t xml:space="preserve">a finding of a breach of </w:t>
      </w:r>
      <w:r w:rsidR="00700687" w:rsidRPr="002B04E5">
        <w:rPr>
          <w:rFonts w:ascii="Arial" w:hAnsi="Arial" w:cs="Arial"/>
          <w:bCs w:val="0"/>
        </w:rPr>
        <w:t xml:space="preserve">privacy is </w:t>
      </w:r>
      <w:r w:rsidR="00700687">
        <w:rPr>
          <w:rFonts w:ascii="Arial" w:hAnsi="Arial" w:cs="Arial"/>
          <w:bCs w:val="0"/>
        </w:rPr>
        <w:t>“</w:t>
      </w:r>
      <w:r w:rsidR="00700687" w:rsidRPr="002B04E5">
        <w:rPr>
          <w:rFonts w:ascii="Arial" w:hAnsi="Arial" w:cs="Arial"/>
          <w:bCs w:val="0"/>
          <w:i/>
          <w:iCs/>
        </w:rPr>
        <w:t>res judicata</w:t>
      </w:r>
      <w:r w:rsidR="00700687" w:rsidRPr="002B04E5">
        <w:rPr>
          <w:rFonts w:ascii="Arial" w:hAnsi="Arial" w:cs="Arial"/>
          <w:bCs w:val="0"/>
        </w:rPr>
        <w:t xml:space="preserve"> under the order issued </w:t>
      </w:r>
      <w:r w:rsidR="00700687" w:rsidRPr="002B04E5">
        <w:rPr>
          <w:rFonts w:ascii="Arial" w:hAnsi="Arial" w:cs="Arial"/>
          <w:bCs w:val="0"/>
        </w:rPr>
        <w:lastRenderedPageBreak/>
        <w:t xml:space="preserve">pursuant to section 52 of </w:t>
      </w:r>
      <w:r w:rsidR="00700687" w:rsidRPr="00605D10">
        <w:rPr>
          <w:rFonts w:ascii="Arial" w:hAnsi="Arial" w:cs="Arial"/>
          <w:bCs w:val="0"/>
          <w:i/>
          <w:iCs/>
        </w:rPr>
        <w:t>PIPA</w:t>
      </w:r>
      <w:r w:rsidR="00700687" w:rsidRPr="002B04E5">
        <w:rPr>
          <w:rFonts w:ascii="Arial" w:hAnsi="Arial" w:cs="Arial"/>
          <w:bCs w:val="0"/>
        </w:rPr>
        <w:t>.</w:t>
      </w:r>
      <w:r w:rsidR="00700687">
        <w:rPr>
          <w:rFonts w:ascii="Arial" w:hAnsi="Arial" w:cs="Arial"/>
          <w:bCs w:val="0"/>
        </w:rPr>
        <w:t>”</w:t>
      </w:r>
      <w:r w:rsidR="00700687">
        <w:rPr>
          <w:rStyle w:val="FootnoteReference"/>
          <w:rFonts w:ascii="Arial" w:hAnsi="Arial" w:cs="Arial"/>
          <w:bCs w:val="0"/>
        </w:rPr>
        <w:footnoteReference w:id="52"/>
      </w:r>
      <w:r w:rsidR="00700687">
        <w:rPr>
          <w:rFonts w:ascii="Arial" w:hAnsi="Arial" w:cs="Arial"/>
          <w:bCs w:val="0"/>
        </w:rPr>
        <w:t xml:space="preserve"> </w:t>
      </w:r>
      <w:r w:rsidR="00E7793C" w:rsidRPr="002B04E5">
        <w:rPr>
          <w:rFonts w:ascii="Arial" w:hAnsi="Arial" w:cs="Arial"/>
          <w:lang w:bidi="he-IL"/>
        </w:rPr>
        <w:t xml:space="preserve">But beyond this, the court appears to suggest </w:t>
      </w:r>
      <w:r w:rsidR="005820F5">
        <w:rPr>
          <w:rFonts w:ascii="Arial" w:hAnsi="Arial" w:cs="Arial"/>
          <w:lang w:bidi="he-IL"/>
        </w:rPr>
        <w:t xml:space="preserve">– </w:t>
      </w:r>
      <w:r w:rsidR="00E7793C" w:rsidRPr="002B04E5">
        <w:rPr>
          <w:rFonts w:ascii="Arial" w:hAnsi="Arial" w:cs="Arial"/>
          <w:lang w:bidi="he-IL"/>
        </w:rPr>
        <w:t xml:space="preserve">albeit without amplification </w:t>
      </w:r>
      <w:r w:rsidR="005820F5">
        <w:rPr>
          <w:rFonts w:ascii="Arial" w:hAnsi="Arial" w:cs="Arial"/>
          <w:lang w:bidi="he-IL"/>
        </w:rPr>
        <w:t>–</w:t>
      </w:r>
      <w:r w:rsidR="00E7793C" w:rsidRPr="002B04E5">
        <w:rPr>
          <w:rFonts w:ascii="Arial" w:hAnsi="Arial" w:cs="Arial"/>
          <w:lang w:bidi="he-IL"/>
        </w:rPr>
        <w:t xml:space="preserve"> that breach of </w:t>
      </w:r>
      <w:r w:rsidR="00E7793C" w:rsidRPr="00605D10">
        <w:rPr>
          <w:rFonts w:ascii="Arial" w:hAnsi="Arial" w:cs="Arial"/>
          <w:i/>
          <w:iCs/>
          <w:lang w:bidi="he-IL"/>
        </w:rPr>
        <w:t>PIPA</w:t>
      </w:r>
      <w:r w:rsidR="00E7793C" w:rsidRPr="002B04E5">
        <w:rPr>
          <w:rFonts w:ascii="Arial" w:hAnsi="Arial" w:cs="Arial"/>
          <w:lang w:bidi="he-IL"/>
        </w:rPr>
        <w:t xml:space="preserve"> is actionable </w:t>
      </w:r>
      <w:r w:rsidR="00E7793C" w:rsidRPr="00B87CD2">
        <w:rPr>
          <w:rFonts w:ascii="Arial" w:hAnsi="Arial" w:cs="Arial"/>
          <w:i/>
          <w:iCs/>
          <w:lang w:bidi="he-IL"/>
        </w:rPr>
        <w:t>per se</w:t>
      </w:r>
      <w:r w:rsidR="00E7793C" w:rsidRPr="002B04E5">
        <w:rPr>
          <w:rFonts w:ascii="Arial" w:hAnsi="Arial" w:cs="Arial"/>
          <w:lang w:bidi="he-IL"/>
        </w:rPr>
        <w:t xml:space="preserve">, </w:t>
      </w:r>
      <w:r w:rsidR="004A21B4">
        <w:rPr>
          <w:rFonts w:ascii="Arial" w:hAnsi="Arial" w:cs="Arial"/>
          <w:lang w:bidi="he-IL"/>
        </w:rPr>
        <w:t xml:space="preserve">given its statement that </w:t>
      </w:r>
      <w:proofErr w:type="spellStart"/>
      <w:r w:rsidR="00E7793C" w:rsidRPr="00780228">
        <w:rPr>
          <w:rFonts w:ascii="Arial" w:hAnsi="Arial" w:cs="Arial"/>
          <w:lang w:bidi="he-IL"/>
        </w:rPr>
        <w:t>Kugler</w:t>
      </w:r>
      <w:proofErr w:type="spellEnd"/>
      <w:r w:rsidR="00E7793C" w:rsidRPr="002B04E5">
        <w:rPr>
          <w:rFonts w:ascii="Arial" w:hAnsi="Arial" w:cs="Arial"/>
          <w:lang w:bidi="he-IL"/>
        </w:rPr>
        <w:t xml:space="preserve"> would likely be awarded “</w:t>
      </w:r>
      <w:r w:rsidR="00E7793C" w:rsidRPr="002B04E5">
        <w:rPr>
          <w:rFonts w:ascii="Arial" w:hAnsi="Arial" w:cs="Arial"/>
          <w:bCs w:val="0"/>
        </w:rPr>
        <w:t>some damages simply due to the violation of his privacy rights.”</w:t>
      </w:r>
      <w:r w:rsidR="00E7793C" w:rsidRPr="002B04E5">
        <w:rPr>
          <w:rStyle w:val="FootnoteReference"/>
          <w:rFonts w:ascii="Arial" w:hAnsi="Arial" w:cs="Arial"/>
          <w:bCs w:val="0"/>
        </w:rPr>
        <w:footnoteReference w:id="53"/>
      </w:r>
      <w:r w:rsidR="00E7793C" w:rsidRPr="002B04E5">
        <w:rPr>
          <w:rFonts w:ascii="Arial" w:hAnsi="Arial" w:cs="Arial"/>
          <w:bCs w:val="0"/>
        </w:rPr>
        <w:t xml:space="preserve"> </w:t>
      </w:r>
      <w:bookmarkStart w:id="17" w:name="_Hlk80855459"/>
      <w:proofErr w:type="spellStart"/>
      <w:r w:rsidR="004A21B4" w:rsidRPr="00780228">
        <w:rPr>
          <w:rFonts w:ascii="Arial" w:hAnsi="Arial" w:cs="Arial"/>
          <w:bCs w:val="0"/>
          <w:i/>
          <w:iCs/>
        </w:rPr>
        <w:t>Kugler</w:t>
      </w:r>
      <w:r w:rsidR="004A21B4">
        <w:rPr>
          <w:rFonts w:ascii="Arial" w:hAnsi="Arial" w:cs="Arial"/>
          <w:bCs w:val="0"/>
        </w:rPr>
        <w:t>’s</w:t>
      </w:r>
      <w:proofErr w:type="spellEnd"/>
      <w:r w:rsidR="004A21B4">
        <w:rPr>
          <w:rFonts w:ascii="Arial" w:hAnsi="Arial" w:cs="Arial"/>
          <w:bCs w:val="0"/>
        </w:rPr>
        <w:t xml:space="preserve"> </w:t>
      </w:r>
      <w:r w:rsidR="00AA66C6" w:rsidRPr="00780228">
        <w:rPr>
          <w:rFonts w:ascii="Arial" w:hAnsi="Arial" w:cs="Arial"/>
          <w:bCs w:val="0"/>
          <w:i/>
          <w:iCs/>
        </w:rPr>
        <w:t>obiter</w:t>
      </w:r>
      <w:r w:rsidR="00AA66C6">
        <w:rPr>
          <w:rFonts w:ascii="Arial" w:hAnsi="Arial" w:cs="Arial"/>
          <w:bCs w:val="0"/>
        </w:rPr>
        <w:t xml:space="preserve"> </w:t>
      </w:r>
      <w:r w:rsidR="00032266">
        <w:rPr>
          <w:rFonts w:ascii="Arial" w:hAnsi="Arial" w:cs="Arial"/>
          <w:bCs w:val="0"/>
        </w:rPr>
        <w:t xml:space="preserve">view </w:t>
      </w:r>
      <w:r w:rsidR="004A21B4">
        <w:rPr>
          <w:rFonts w:ascii="Arial" w:hAnsi="Arial" w:cs="Arial"/>
          <w:bCs w:val="0"/>
        </w:rPr>
        <w:t>that moral or symbolic damages are</w:t>
      </w:r>
      <w:r w:rsidR="00821016">
        <w:rPr>
          <w:rFonts w:ascii="Arial" w:hAnsi="Arial" w:cs="Arial"/>
          <w:bCs w:val="0"/>
        </w:rPr>
        <w:t xml:space="preserve"> seemingly</w:t>
      </w:r>
      <w:r w:rsidR="004A21B4">
        <w:rPr>
          <w:rFonts w:ascii="Arial" w:hAnsi="Arial" w:cs="Arial"/>
          <w:bCs w:val="0"/>
        </w:rPr>
        <w:t xml:space="preserve"> recoverable under </w:t>
      </w:r>
      <w:r w:rsidR="004A21B4" w:rsidRPr="00780228">
        <w:rPr>
          <w:rFonts w:ascii="Arial" w:hAnsi="Arial" w:cs="Arial"/>
          <w:bCs w:val="0"/>
          <w:i/>
          <w:iCs/>
        </w:rPr>
        <w:t>PIPA</w:t>
      </w:r>
      <w:r w:rsidR="004A21B4">
        <w:rPr>
          <w:rFonts w:ascii="Arial" w:hAnsi="Arial" w:cs="Arial"/>
          <w:bCs w:val="0"/>
        </w:rPr>
        <w:t xml:space="preserve"> </w:t>
      </w:r>
      <w:r w:rsidR="00032266">
        <w:rPr>
          <w:rFonts w:ascii="Arial" w:hAnsi="Arial" w:cs="Arial"/>
          <w:bCs w:val="0"/>
        </w:rPr>
        <w:t xml:space="preserve">has not </w:t>
      </w:r>
      <w:r w:rsidR="00032266" w:rsidRPr="00AA66C6">
        <w:rPr>
          <w:rFonts w:ascii="Arial" w:hAnsi="Arial" w:cs="Arial"/>
          <w:bCs w:val="0"/>
        </w:rPr>
        <w:t xml:space="preserve">been judicially considered elsewhere and </w:t>
      </w:r>
      <w:r w:rsidR="00032266" w:rsidRPr="00821016">
        <w:rPr>
          <w:rFonts w:ascii="Arial" w:hAnsi="Arial" w:cs="Arial"/>
          <w:bCs w:val="0"/>
        </w:rPr>
        <w:t xml:space="preserve">is arguably too expansive </w:t>
      </w:r>
      <w:r w:rsidR="00AA66C6">
        <w:rPr>
          <w:rFonts w:ascii="Arial" w:hAnsi="Arial" w:cs="Arial"/>
          <w:bCs w:val="0"/>
        </w:rPr>
        <w:t xml:space="preserve">given </w:t>
      </w:r>
      <w:r w:rsidR="00032266" w:rsidRPr="00AA66C6">
        <w:rPr>
          <w:rFonts w:ascii="Arial" w:hAnsi="Arial" w:cs="Arial"/>
          <w:bCs w:val="0"/>
        </w:rPr>
        <w:t xml:space="preserve">the </w:t>
      </w:r>
      <w:r w:rsidR="00AA66C6">
        <w:rPr>
          <w:rFonts w:ascii="Arial" w:hAnsi="Arial" w:cs="Arial"/>
          <w:bCs w:val="0"/>
        </w:rPr>
        <w:t xml:space="preserve">express </w:t>
      </w:r>
      <w:r w:rsidR="00032266" w:rsidRPr="00AA66C6">
        <w:rPr>
          <w:rFonts w:ascii="Arial" w:hAnsi="Arial" w:cs="Arial"/>
          <w:bCs w:val="0"/>
        </w:rPr>
        <w:t>legis</w:t>
      </w:r>
      <w:r w:rsidR="00032266" w:rsidRPr="00821016">
        <w:rPr>
          <w:rFonts w:ascii="Arial" w:hAnsi="Arial" w:cs="Arial"/>
          <w:bCs w:val="0"/>
        </w:rPr>
        <w:t>lative requirement of “</w:t>
      </w:r>
      <w:r w:rsidR="00032266" w:rsidRPr="00D7706F">
        <w:rPr>
          <w:rFonts w:ascii="Arial" w:hAnsi="Arial" w:cs="Arial"/>
          <w:bCs w:val="0"/>
        </w:rPr>
        <w:t xml:space="preserve">loss or injury.” </w:t>
      </w:r>
    </w:p>
    <w:p w14:paraId="6681F310" w14:textId="4BA2DA5A" w:rsidR="00E7793C" w:rsidRPr="002B04E5" w:rsidRDefault="004A21B4" w:rsidP="002D13A2">
      <w:pPr>
        <w:pStyle w:val="quote1st"/>
        <w:ind w:firstLine="720"/>
        <w:rPr>
          <w:rFonts w:ascii="Arial" w:hAnsi="Arial" w:cs="Arial"/>
          <w:bCs w:val="0"/>
        </w:rPr>
      </w:pPr>
      <w:r w:rsidRPr="00D7706F">
        <w:rPr>
          <w:rFonts w:ascii="Arial" w:hAnsi="Arial" w:cs="Arial"/>
          <w:bCs w:val="0"/>
        </w:rPr>
        <w:t xml:space="preserve">We return to the broader question of moral or </w:t>
      </w:r>
      <w:r w:rsidRPr="00265659">
        <w:rPr>
          <w:rFonts w:ascii="Arial" w:hAnsi="Arial" w:cs="Arial"/>
          <w:bCs w:val="0"/>
        </w:rPr>
        <w:t xml:space="preserve">symbolic damages </w:t>
      </w:r>
      <w:r w:rsidR="00955F6E">
        <w:rPr>
          <w:rFonts w:ascii="Arial" w:hAnsi="Arial" w:cs="Arial"/>
          <w:bCs w:val="0"/>
        </w:rPr>
        <w:t>in Part Two of</w:t>
      </w:r>
      <w:r w:rsidRPr="00265659">
        <w:rPr>
          <w:rFonts w:ascii="Arial" w:hAnsi="Arial" w:cs="Arial"/>
          <w:bCs w:val="0"/>
        </w:rPr>
        <w:t xml:space="preserve"> th</w:t>
      </w:r>
      <w:r w:rsidR="00955F6E">
        <w:rPr>
          <w:rFonts w:ascii="Arial" w:hAnsi="Arial" w:cs="Arial"/>
          <w:bCs w:val="0"/>
        </w:rPr>
        <w:t>is</w:t>
      </w:r>
      <w:r w:rsidRPr="00265659">
        <w:rPr>
          <w:rFonts w:ascii="Arial" w:hAnsi="Arial" w:cs="Arial"/>
          <w:bCs w:val="0"/>
        </w:rPr>
        <w:t xml:space="preserve"> </w:t>
      </w:r>
      <w:r w:rsidR="00852151">
        <w:rPr>
          <w:rFonts w:ascii="Arial" w:hAnsi="Arial" w:cs="Arial"/>
          <w:bCs w:val="0"/>
        </w:rPr>
        <w:t>article</w:t>
      </w:r>
      <w:r w:rsidRPr="004D1173">
        <w:rPr>
          <w:rFonts w:ascii="Arial" w:hAnsi="Arial" w:cs="Arial"/>
          <w:bCs w:val="0"/>
        </w:rPr>
        <w:t xml:space="preserve"> but </w:t>
      </w:r>
      <w:r w:rsidR="00AA66C6">
        <w:rPr>
          <w:rFonts w:ascii="Arial" w:hAnsi="Arial" w:cs="Arial"/>
          <w:bCs w:val="0"/>
        </w:rPr>
        <w:t xml:space="preserve">observe that </w:t>
      </w:r>
      <w:r w:rsidRPr="00AA66C6">
        <w:rPr>
          <w:rFonts w:ascii="Arial" w:hAnsi="Arial" w:cs="Arial"/>
          <w:bCs w:val="0"/>
        </w:rPr>
        <w:t xml:space="preserve">what is compensable under both PIPAs remains </w:t>
      </w:r>
      <w:proofErr w:type="spellStart"/>
      <w:r w:rsidR="003516CB" w:rsidRPr="00AA66C6">
        <w:rPr>
          <w:rFonts w:ascii="Arial" w:hAnsi="Arial" w:cs="Arial"/>
          <w:bCs w:val="0"/>
        </w:rPr>
        <w:t>unlitigated</w:t>
      </w:r>
      <w:proofErr w:type="spellEnd"/>
      <w:r w:rsidR="00AA66C6">
        <w:rPr>
          <w:rFonts w:ascii="Arial" w:hAnsi="Arial" w:cs="Arial"/>
          <w:bCs w:val="0"/>
        </w:rPr>
        <w:t xml:space="preserve"> and uncharted</w:t>
      </w:r>
      <w:r w:rsidR="003516CB" w:rsidRPr="00AA66C6">
        <w:rPr>
          <w:rFonts w:ascii="Arial" w:hAnsi="Arial" w:cs="Arial"/>
          <w:bCs w:val="0"/>
        </w:rPr>
        <w:t xml:space="preserve">. </w:t>
      </w:r>
      <w:r w:rsidR="00AA66C6">
        <w:rPr>
          <w:rFonts w:ascii="Arial" w:hAnsi="Arial" w:cs="Arial"/>
          <w:bCs w:val="0"/>
        </w:rPr>
        <w:t>Indeed, w</w:t>
      </w:r>
      <w:r w:rsidR="003516CB" w:rsidRPr="00AA66C6">
        <w:rPr>
          <w:rFonts w:ascii="Arial" w:hAnsi="Arial" w:cs="Arial"/>
          <w:bCs w:val="0"/>
        </w:rPr>
        <w:t xml:space="preserve">hile </w:t>
      </w:r>
      <w:r w:rsidR="00700687">
        <w:rPr>
          <w:rFonts w:ascii="Arial" w:hAnsi="Arial" w:cs="Arial"/>
          <w:lang w:bidi="he-IL"/>
        </w:rPr>
        <w:t xml:space="preserve">both </w:t>
      </w:r>
      <w:r w:rsidR="003516CB" w:rsidRPr="00700687">
        <w:rPr>
          <w:rFonts w:ascii="Arial" w:hAnsi="Arial" w:cs="Arial"/>
          <w:i/>
          <w:iCs/>
          <w:lang w:val="en-US" w:bidi="he-IL"/>
        </w:rPr>
        <w:t>PIPAs</w:t>
      </w:r>
      <w:r w:rsidR="003516CB" w:rsidRPr="00700687">
        <w:rPr>
          <w:rFonts w:ascii="Arial" w:hAnsi="Arial" w:cs="Arial"/>
          <w:lang w:val="en-US" w:bidi="he-IL"/>
        </w:rPr>
        <w:t xml:space="preserve"> were passed in 2003, there is virtually no case law</w:t>
      </w:r>
      <w:r w:rsidR="00AA66C6">
        <w:rPr>
          <w:rFonts w:ascii="Arial" w:hAnsi="Arial" w:cs="Arial"/>
          <w:lang w:val="en-US" w:bidi="he-IL"/>
        </w:rPr>
        <w:t xml:space="preserve"> concerning them</w:t>
      </w:r>
      <w:r w:rsidR="003516CB" w:rsidRPr="00700687">
        <w:rPr>
          <w:rFonts w:ascii="Arial" w:hAnsi="Arial" w:cs="Arial"/>
          <w:lang w:val="en-US" w:bidi="he-IL"/>
        </w:rPr>
        <w:t xml:space="preserve"> and, </w:t>
      </w:r>
      <w:r w:rsidR="00AA66C6">
        <w:rPr>
          <w:rFonts w:ascii="Arial" w:hAnsi="Arial" w:cs="Arial"/>
          <w:lang w:val="en-US" w:bidi="he-IL"/>
        </w:rPr>
        <w:t xml:space="preserve">to the best of our knowledge, </w:t>
      </w:r>
      <w:r w:rsidR="003516CB" w:rsidRPr="00700687">
        <w:rPr>
          <w:rFonts w:ascii="Arial" w:hAnsi="Arial" w:cs="Arial"/>
          <w:lang w:val="en-US" w:bidi="he-IL"/>
        </w:rPr>
        <w:t xml:space="preserve">no instance of a case </w:t>
      </w:r>
      <w:r w:rsidR="00AA66C6">
        <w:rPr>
          <w:rFonts w:ascii="Arial" w:hAnsi="Arial" w:cs="Arial"/>
          <w:lang w:val="en-US" w:bidi="he-IL"/>
        </w:rPr>
        <w:t xml:space="preserve">wherein </w:t>
      </w:r>
      <w:r w:rsidR="003516CB" w:rsidRPr="00700687">
        <w:rPr>
          <w:rFonts w:ascii="Arial" w:hAnsi="Arial" w:cs="Arial"/>
          <w:lang w:val="en-US" w:bidi="he-IL"/>
        </w:rPr>
        <w:t>damages</w:t>
      </w:r>
      <w:r w:rsidR="00AA66C6">
        <w:rPr>
          <w:rFonts w:ascii="Arial" w:hAnsi="Arial" w:cs="Arial"/>
          <w:lang w:val="en-US" w:bidi="he-IL"/>
        </w:rPr>
        <w:t xml:space="preserve"> were actually awarded</w:t>
      </w:r>
      <w:r w:rsidR="003516CB" w:rsidRPr="00700687">
        <w:rPr>
          <w:rFonts w:ascii="Arial" w:hAnsi="Arial" w:cs="Arial"/>
          <w:lang w:val="en-US" w:bidi="he-IL"/>
        </w:rPr>
        <w:t xml:space="preserve">. This absence </w:t>
      </w:r>
      <w:r w:rsidR="00AA66C6">
        <w:rPr>
          <w:rFonts w:ascii="Arial" w:hAnsi="Arial" w:cs="Arial"/>
          <w:lang w:val="en-US" w:bidi="he-IL"/>
        </w:rPr>
        <w:t xml:space="preserve">of case law </w:t>
      </w:r>
      <w:r w:rsidR="00AA66C6">
        <w:rPr>
          <w:rFonts w:ascii="Arial" w:hAnsi="Arial" w:cs="Arial"/>
          <w:lang w:bidi="he-IL"/>
        </w:rPr>
        <w:t xml:space="preserve">–  </w:t>
      </w:r>
      <w:r w:rsidR="00AA66C6">
        <w:rPr>
          <w:rFonts w:ascii="Arial" w:hAnsi="Arial" w:cs="Arial"/>
          <w:lang w:val="en-US" w:bidi="he-IL"/>
        </w:rPr>
        <w:t xml:space="preserve">over </w:t>
      </w:r>
      <w:r w:rsidR="00700687">
        <w:rPr>
          <w:rFonts w:ascii="Arial" w:hAnsi="Arial" w:cs="Arial"/>
          <w:lang w:val="en-US" w:bidi="he-IL"/>
        </w:rPr>
        <w:t xml:space="preserve">a </w:t>
      </w:r>
      <w:r w:rsidR="002D13A2">
        <w:rPr>
          <w:rFonts w:ascii="Arial" w:hAnsi="Arial" w:cs="Arial"/>
          <w:lang w:val="en-US" w:bidi="he-IL"/>
        </w:rPr>
        <w:t xml:space="preserve">more than </w:t>
      </w:r>
      <w:r w:rsidR="00700687">
        <w:rPr>
          <w:rFonts w:ascii="Arial" w:hAnsi="Arial" w:cs="Arial"/>
          <w:lang w:val="en-US" w:bidi="he-IL"/>
        </w:rPr>
        <w:t>20-year</w:t>
      </w:r>
      <w:r w:rsidR="00AA66C6">
        <w:rPr>
          <w:rFonts w:ascii="Arial" w:hAnsi="Arial" w:cs="Arial"/>
          <w:lang w:val="en-US" w:bidi="he-IL"/>
        </w:rPr>
        <w:t xml:space="preserve"> period </w:t>
      </w:r>
      <w:r w:rsidR="00AA66C6">
        <w:rPr>
          <w:rFonts w:ascii="Arial" w:hAnsi="Arial" w:cs="Arial"/>
          <w:lang w:bidi="he-IL"/>
        </w:rPr>
        <w:t xml:space="preserve">– </w:t>
      </w:r>
      <w:r w:rsidR="00AA66C6">
        <w:rPr>
          <w:rFonts w:ascii="Arial" w:hAnsi="Arial" w:cs="Arial"/>
          <w:lang w:val="en-US" w:bidi="he-IL"/>
        </w:rPr>
        <w:t xml:space="preserve"> </w:t>
      </w:r>
      <w:r w:rsidR="003516CB" w:rsidRPr="00700687">
        <w:rPr>
          <w:rFonts w:ascii="Arial" w:hAnsi="Arial" w:cs="Arial"/>
          <w:lang w:val="en-US" w:bidi="he-IL"/>
        </w:rPr>
        <w:t xml:space="preserve">may reflect a general conclusion by counsel that </w:t>
      </w:r>
      <w:r w:rsidR="00700687">
        <w:rPr>
          <w:rFonts w:ascii="Arial" w:hAnsi="Arial" w:cs="Arial"/>
          <w:lang w:val="en-US" w:bidi="he-IL"/>
        </w:rPr>
        <w:t xml:space="preserve">the </w:t>
      </w:r>
      <w:r w:rsidR="003516CB" w:rsidRPr="00700687">
        <w:rPr>
          <w:rFonts w:ascii="Arial" w:hAnsi="Arial" w:cs="Arial"/>
          <w:i/>
          <w:iCs/>
          <w:lang w:val="en-US" w:bidi="he-IL"/>
        </w:rPr>
        <w:t>PIPAs</w:t>
      </w:r>
      <w:r w:rsidR="003516CB" w:rsidRPr="00700687">
        <w:rPr>
          <w:rFonts w:ascii="Arial" w:hAnsi="Arial" w:cs="Arial"/>
          <w:lang w:val="en-US" w:bidi="he-IL"/>
        </w:rPr>
        <w:t xml:space="preserve"> require pecuniary and/or non-pecuniary loss as the foundation for recovery.</w:t>
      </w:r>
      <w:r w:rsidR="00AA66C6">
        <w:rPr>
          <w:rFonts w:ascii="Arial" w:hAnsi="Arial" w:cs="Arial"/>
          <w:lang w:val="en-US" w:bidi="he-IL"/>
        </w:rPr>
        <w:t xml:space="preserve"> If our conclusion is correct, the wording of </w:t>
      </w:r>
      <w:r w:rsidR="00AA66C6" w:rsidRPr="00700687">
        <w:rPr>
          <w:rFonts w:ascii="Arial" w:hAnsi="Arial" w:cs="Arial"/>
          <w:i/>
          <w:iCs/>
          <w:lang w:val="en-US" w:bidi="he-IL"/>
        </w:rPr>
        <w:t>PIPA</w:t>
      </w:r>
      <w:r w:rsidR="00AA66C6">
        <w:rPr>
          <w:rFonts w:ascii="Arial" w:hAnsi="Arial" w:cs="Arial"/>
          <w:lang w:val="en-US" w:bidi="he-IL"/>
        </w:rPr>
        <w:t>s make them an even less attractive vehicle for litigation</w:t>
      </w:r>
      <w:r w:rsidR="00821016">
        <w:rPr>
          <w:rFonts w:ascii="Arial" w:hAnsi="Arial" w:cs="Arial"/>
          <w:lang w:val="en-US" w:bidi="he-IL"/>
        </w:rPr>
        <w:t xml:space="preserve"> than </w:t>
      </w:r>
      <w:r w:rsidR="00821016" w:rsidRPr="00700687">
        <w:rPr>
          <w:rFonts w:ascii="Arial" w:hAnsi="Arial" w:cs="Arial"/>
          <w:i/>
          <w:iCs/>
          <w:lang w:val="en-US" w:bidi="he-IL"/>
        </w:rPr>
        <w:t>PIPEDA</w:t>
      </w:r>
      <w:r w:rsidR="00AA66C6">
        <w:rPr>
          <w:rFonts w:ascii="Arial" w:hAnsi="Arial" w:cs="Arial"/>
          <w:lang w:val="en-US" w:bidi="he-IL"/>
        </w:rPr>
        <w:t xml:space="preserve">, a serious deficiency that future </w:t>
      </w:r>
      <w:r w:rsidR="00AA66C6" w:rsidRPr="00AA66C6">
        <w:rPr>
          <w:rFonts w:ascii="Arial" w:hAnsi="Arial" w:cs="Arial"/>
          <w:lang w:val="en-US" w:bidi="he-IL"/>
        </w:rPr>
        <w:t>federal legislation should very muc</w:t>
      </w:r>
      <w:r w:rsidR="00AA66C6" w:rsidRPr="00821016">
        <w:rPr>
          <w:rFonts w:ascii="Arial" w:hAnsi="Arial" w:cs="Arial"/>
          <w:lang w:val="en-US" w:bidi="he-IL"/>
        </w:rPr>
        <w:t xml:space="preserve">h avoid. </w:t>
      </w:r>
      <w:r w:rsidR="003516CB" w:rsidRPr="00700687">
        <w:rPr>
          <w:rFonts w:ascii="Arial" w:hAnsi="Arial" w:cs="Arial"/>
          <w:lang w:val="en-US" w:bidi="he-IL"/>
        </w:rPr>
        <w:t xml:space="preserve">  </w:t>
      </w:r>
      <w:bookmarkEnd w:id="15"/>
      <w:bookmarkEnd w:id="17"/>
    </w:p>
    <w:p w14:paraId="23D0A738" w14:textId="5FB1ADA9" w:rsidR="00A11A51" w:rsidRDefault="004F180A" w:rsidP="00C46DE1">
      <w:pPr>
        <w:contextualSpacing/>
        <w:rPr>
          <w:lang w:bidi="he-IL"/>
        </w:rPr>
      </w:pPr>
      <w:r>
        <w:rPr>
          <w:lang w:bidi="he-IL"/>
        </w:rPr>
        <w:tab/>
      </w:r>
      <w:r w:rsidR="00A11A51">
        <w:rPr>
          <w:lang w:val="en-US" w:bidi="he-IL"/>
        </w:rPr>
        <w:t xml:space="preserve">One final point with respect to </w:t>
      </w:r>
      <w:r w:rsidR="00A11A51" w:rsidRPr="002118A3">
        <w:rPr>
          <w:i/>
          <w:iCs/>
          <w:lang w:val="en-US" w:bidi="he-IL"/>
        </w:rPr>
        <w:t>PIPEDA’</w:t>
      </w:r>
      <w:r w:rsidR="00A11A51">
        <w:rPr>
          <w:lang w:val="en-US" w:bidi="he-IL"/>
        </w:rPr>
        <w:t xml:space="preserve">s statutory </w:t>
      </w:r>
      <w:r w:rsidR="006045F3">
        <w:rPr>
          <w:lang w:val="en-US" w:bidi="he-IL"/>
        </w:rPr>
        <w:t xml:space="preserve">application for damages </w:t>
      </w:r>
      <w:r w:rsidR="00A11A51">
        <w:rPr>
          <w:lang w:val="en-US" w:bidi="he-IL"/>
        </w:rPr>
        <w:t xml:space="preserve">is that it does not preclude </w:t>
      </w:r>
      <w:r w:rsidR="00A11A51">
        <w:rPr>
          <w:lang w:bidi="he-IL"/>
        </w:rPr>
        <w:t>private actions, including under one of the common law privacy torts</w:t>
      </w:r>
      <w:bookmarkStart w:id="18" w:name="_Ref78152727"/>
      <w:r w:rsidR="00A11A51">
        <w:rPr>
          <w:rStyle w:val="FootnoteReference"/>
          <w:i/>
          <w:iCs/>
        </w:rPr>
        <w:footnoteReference w:id="54"/>
      </w:r>
      <w:bookmarkEnd w:id="18"/>
      <w:r w:rsidR="00A11A51">
        <w:rPr>
          <w:lang w:bidi="he-IL"/>
        </w:rPr>
        <w:t xml:space="preserve"> depending on the facts</w:t>
      </w:r>
      <w:r w:rsidR="00F42170">
        <w:rPr>
          <w:lang w:bidi="he-IL"/>
        </w:rPr>
        <w:t xml:space="preserve"> and subject to the principle against double recovery and duplicative proceedings</w:t>
      </w:r>
      <w:r w:rsidR="000D40CE">
        <w:rPr>
          <w:lang w:bidi="he-IL"/>
        </w:rPr>
        <w:t>.</w:t>
      </w:r>
      <w:r w:rsidR="00F42170">
        <w:rPr>
          <w:rStyle w:val="FootnoteReference"/>
          <w:lang w:bidi="he-IL"/>
        </w:rPr>
        <w:footnoteReference w:id="55"/>
      </w:r>
      <w:r w:rsidR="00A11A51">
        <w:rPr>
          <w:i/>
          <w:iCs/>
        </w:rPr>
        <w:t xml:space="preserve"> </w:t>
      </w:r>
      <w:r w:rsidR="000D40CE">
        <w:rPr>
          <w:lang w:bidi="he-IL"/>
        </w:rPr>
        <w:t xml:space="preserve">Private </w:t>
      </w:r>
      <w:r w:rsidR="00A11A51">
        <w:rPr>
          <w:lang w:bidi="he-IL"/>
        </w:rPr>
        <w:t>action</w:t>
      </w:r>
      <w:r w:rsidR="000D40CE">
        <w:rPr>
          <w:lang w:bidi="he-IL"/>
        </w:rPr>
        <w:t>s</w:t>
      </w:r>
      <w:r w:rsidR="00A11A51">
        <w:rPr>
          <w:lang w:bidi="he-IL"/>
        </w:rPr>
        <w:t xml:space="preserve"> might potentially be more expeditious</w:t>
      </w:r>
      <w:r w:rsidR="00A11A51">
        <w:rPr>
          <w:rStyle w:val="FootnoteReference"/>
          <w:lang w:bidi="he-IL"/>
        </w:rPr>
        <w:footnoteReference w:id="56"/>
      </w:r>
      <w:r w:rsidR="00A11A51">
        <w:rPr>
          <w:lang w:bidi="he-IL"/>
        </w:rPr>
        <w:t xml:space="preserve"> but the plaintiff would also have the burden of proving that an organization is liable for the relevant tort, which might be more onerous than simply proving a violation of </w:t>
      </w:r>
      <w:r w:rsidR="00A11A51">
        <w:rPr>
          <w:i/>
          <w:iCs/>
          <w:lang w:bidi="he-IL"/>
        </w:rPr>
        <w:t>PIPEDA.</w:t>
      </w:r>
      <w:r w:rsidR="00A11A51">
        <w:rPr>
          <w:rStyle w:val="FootnoteReference"/>
          <w:lang w:bidi="he-IL"/>
        </w:rPr>
        <w:footnoteReference w:id="57"/>
      </w:r>
      <w:r w:rsidR="00A11A51" w:rsidRPr="00A11A51">
        <w:t xml:space="preserve"> </w:t>
      </w:r>
      <w:r w:rsidR="00A11A51">
        <w:t>T</w:t>
      </w:r>
      <w:r w:rsidR="00A11A51">
        <w:rPr>
          <w:lang w:bidi="he-IL"/>
        </w:rPr>
        <w:t>here are also statutory privacy torts in several provinces that could be a basis for immediate action. These common law and statutory options are discussed in more detail below</w:t>
      </w:r>
      <w:r w:rsidR="006414AF">
        <w:rPr>
          <w:lang w:bidi="he-IL"/>
        </w:rPr>
        <w:t>. T</w:t>
      </w:r>
      <w:r w:rsidR="00A11A51">
        <w:rPr>
          <w:lang w:bidi="he-IL"/>
        </w:rPr>
        <w:t xml:space="preserve">he point is that such options are important because access to the statutory right of action under </w:t>
      </w:r>
      <w:r w:rsidR="00A11A51">
        <w:rPr>
          <w:i/>
          <w:iCs/>
          <w:lang w:bidi="he-IL"/>
        </w:rPr>
        <w:t>PI</w:t>
      </w:r>
      <w:r w:rsidR="00A11A51" w:rsidRPr="00470E2B">
        <w:rPr>
          <w:i/>
          <w:iCs/>
          <w:lang w:bidi="he-IL"/>
        </w:rPr>
        <w:t>PEDA</w:t>
      </w:r>
      <w:r w:rsidR="00A11A51">
        <w:rPr>
          <w:lang w:bidi="he-IL"/>
        </w:rPr>
        <w:t xml:space="preserve"> is postponed until there is a report by the Commissioner.</w:t>
      </w:r>
      <w:r w:rsidR="00A11A51">
        <w:rPr>
          <w:rStyle w:val="FootnoteReference"/>
          <w:lang w:bidi="he-IL"/>
        </w:rPr>
        <w:footnoteReference w:id="58"/>
      </w:r>
    </w:p>
    <w:p w14:paraId="2E04E192" w14:textId="77777777" w:rsidR="005873E2" w:rsidRDefault="005873E2" w:rsidP="002C4EF2">
      <w:pPr>
        <w:ind w:firstLine="720"/>
        <w:contextualSpacing/>
        <w:rPr>
          <w:lang w:bidi="he-IL"/>
        </w:rPr>
      </w:pPr>
    </w:p>
    <w:p w14:paraId="2C6F505D" w14:textId="3CE322CD" w:rsidR="00D528D2" w:rsidRDefault="00955F6E" w:rsidP="008526E6">
      <w:pPr>
        <w:ind w:firstLine="720"/>
        <w:contextualSpacing/>
      </w:pPr>
      <w:bookmarkStart w:id="19" w:name="Para6626284"/>
      <w:bookmarkStart w:id="20" w:name="Para6626285"/>
      <w:bookmarkEnd w:id="19"/>
      <w:bookmarkEnd w:id="20"/>
      <w:r>
        <w:t xml:space="preserve">What drives analysis in this </w:t>
      </w:r>
      <w:r w:rsidR="00130DE3">
        <w:t>two-part</w:t>
      </w:r>
      <w:r>
        <w:t xml:space="preserve"> article </w:t>
      </w:r>
      <w:r w:rsidR="00AC2910">
        <w:t xml:space="preserve">is whether precedents </w:t>
      </w:r>
      <w:r w:rsidR="0011408D">
        <w:t xml:space="preserve">under </w:t>
      </w:r>
      <w:r w:rsidR="003061DB" w:rsidRPr="003061DB">
        <w:rPr>
          <w:i/>
          <w:iCs/>
        </w:rPr>
        <w:t>PIPEDA</w:t>
      </w:r>
      <w:r w:rsidR="0011408D">
        <w:t xml:space="preserve"> </w:t>
      </w:r>
      <w:r w:rsidR="00AC2910">
        <w:t xml:space="preserve">have been true to </w:t>
      </w:r>
      <w:r w:rsidR="002B2851">
        <w:t xml:space="preserve">their </w:t>
      </w:r>
      <w:r w:rsidR="00102BB4">
        <w:t xml:space="preserve">purpose </w:t>
      </w:r>
      <w:r w:rsidR="00AC2910">
        <w:t xml:space="preserve">in </w:t>
      </w:r>
      <w:r w:rsidR="00102BB4">
        <w:t xml:space="preserve">relation to damage quantification. </w:t>
      </w:r>
      <w:r w:rsidR="003240CD">
        <w:t xml:space="preserve">This is an important enquiry given the role of Canada’s private legal action framework and in anticipation of </w:t>
      </w:r>
      <w:r w:rsidR="003240CD">
        <w:lastRenderedPageBreak/>
        <w:t xml:space="preserve">successor legislation which presumably will </w:t>
      </w:r>
      <w:r w:rsidR="002A7C6E">
        <w:t xml:space="preserve">be required to </w:t>
      </w:r>
      <w:r w:rsidR="003240CD">
        <w:t xml:space="preserve">cover similar terrain. </w:t>
      </w:r>
      <w:r w:rsidR="00AC2910">
        <w:t>Clearly, if the</w:t>
      </w:r>
      <w:r w:rsidR="00102BB4">
        <w:t xml:space="preserve"> precedents</w:t>
      </w:r>
      <w:r w:rsidR="00AC2910">
        <w:t xml:space="preserve"> have not been</w:t>
      </w:r>
      <w:r w:rsidR="003240CD">
        <w:t xml:space="preserve"> true to their purpose</w:t>
      </w:r>
      <w:r w:rsidR="00AC2910">
        <w:t xml:space="preserve"> – and we contend that in important ways, they have not – then future </w:t>
      </w:r>
      <w:r w:rsidR="00B91A0C">
        <w:t>courts</w:t>
      </w:r>
      <w:r w:rsidR="003738E9">
        <w:t xml:space="preserve"> </w:t>
      </w:r>
      <w:r w:rsidR="00AC2910">
        <w:t xml:space="preserve">should </w:t>
      </w:r>
      <w:r w:rsidR="00102BB4">
        <w:t>decline to follow them to that extent</w:t>
      </w:r>
      <w:r w:rsidR="008526E6">
        <w:t>,</w:t>
      </w:r>
      <w:r w:rsidR="008526E6">
        <w:rPr>
          <w:rStyle w:val="FootnoteReference"/>
        </w:rPr>
        <w:footnoteReference w:id="59"/>
      </w:r>
      <w:r w:rsidR="008526E6">
        <w:t xml:space="preserve"> and successor legislation should ensure that its purpose is properly reflected in the right of action that it creates.</w:t>
      </w:r>
    </w:p>
    <w:p w14:paraId="20163A2A" w14:textId="77777777" w:rsidR="00B0722A" w:rsidRDefault="00B0722A" w:rsidP="00551551">
      <w:pPr>
        <w:ind w:firstLine="720"/>
      </w:pPr>
    </w:p>
    <w:p w14:paraId="27D54582" w14:textId="39CC6067" w:rsidR="00834BC1" w:rsidRDefault="00856CE3" w:rsidP="00781CD7">
      <w:pPr>
        <w:jc w:val="center"/>
        <w:rPr>
          <w:b/>
          <w:bCs/>
        </w:rPr>
      </w:pPr>
      <w:r>
        <w:rPr>
          <w:b/>
          <w:bCs/>
        </w:rPr>
        <w:t xml:space="preserve">Section </w:t>
      </w:r>
      <w:r w:rsidR="00834BC1">
        <w:rPr>
          <w:b/>
          <w:bCs/>
        </w:rPr>
        <w:t>II: Enforcing the Privacy Interest</w:t>
      </w:r>
    </w:p>
    <w:p w14:paraId="70B2CD54" w14:textId="7330FAA9" w:rsidR="00164EAE" w:rsidRPr="00781CD7" w:rsidRDefault="00441C4A" w:rsidP="00781CD7">
      <w:pPr>
        <w:pStyle w:val="ListParagraph"/>
        <w:numPr>
          <w:ilvl w:val="0"/>
          <w:numId w:val="16"/>
        </w:numPr>
        <w:rPr>
          <w:b/>
          <w:bCs/>
        </w:rPr>
      </w:pPr>
      <w:r>
        <w:rPr>
          <w:b/>
          <w:bCs/>
        </w:rPr>
        <w:t xml:space="preserve">The </w:t>
      </w:r>
      <w:r w:rsidR="00C90693" w:rsidRPr="00781CD7">
        <w:rPr>
          <w:b/>
          <w:bCs/>
        </w:rPr>
        <w:t>F</w:t>
      </w:r>
      <w:r w:rsidR="00164EAE" w:rsidRPr="00781CD7">
        <w:rPr>
          <w:b/>
          <w:bCs/>
        </w:rPr>
        <w:t xml:space="preserve">unctional </w:t>
      </w:r>
      <w:r w:rsidR="00C90693" w:rsidRPr="00781CD7">
        <w:rPr>
          <w:b/>
          <w:bCs/>
        </w:rPr>
        <w:t>A</w:t>
      </w:r>
      <w:r w:rsidR="00164EAE" w:rsidRPr="00781CD7">
        <w:rPr>
          <w:b/>
          <w:bCs/>
        </w:rPr>
        <w:t>pproach</w:t>
      </w:r>
      <w:r w:rsidR="00161586">
        <w:rPr>
          <w:b/>
          <w:bCs/>
        </w:rPr>
        <w:t xml:space="preserve"> to Damages</w:t>
      </w:r>
      <w:r w:rsidR="00164EAE" w:rsidRPr="00781CD7">
        <w:rPr>
          <w:b/>
          <w:bCs/>
        </w:rPr>
        <w:t xml:space="preserve"> and the </w:t>
      </w:r>
      <w:r w:rsidR="00C90693" w:rsidRPr="00781CD7">
        <w:rPr>
          <w:b/>
          <w:bCs/>
        </w:rPr>
        <w:t>I</w:t>
      </w:r>
      <w:r w:rsidR="00164EAE" w:rsidRPr="00781CD7">
        <w:rPr>
          <w:b/>
          <w:bCs/>
        </w:rPr>
        <w:t xml:space="preserve">nterests </w:t>
      </w:r>
      <w:r w:rsidR="00C90693" w:rsidRPr="00781CD7">
        <w:rPr>
          <w:b/>
          <w:bCs/>
        </w:rPr>
        <w:t>P</w:t>
      </w:r>
      <w:r w:rsidR="00164EAE" w:rsidRPr="00781CD7">
        <w:rPr>
          <w:b/>
          <w:bCs/>
        </w:rPr>
        <w:t xml:space="preserve">rotected by </w:t>
      </w:r>
      <w:r w:rsidR="003061DB" w:rsidRPr="00781CD7">
        <w:rPr>
          <w:b/>
          <w:bCs/>
          <w:i/>
          <w:iCs/>
        </w:rPr>
        <w:t>PIPEDA</w:t>
      </w:r>
    </w:p>
    <w:p w14:paraId="57A31241" w14:textId="67B4C1B2" w:rsidR="00C24289" w:rsidRDefault="003F455A" w:rsidP="002118A3">
      <w:pPr>
        <w:spacing w:after="0"/>
      </w:pPr>
      <w:r>
        <w:t>Writing extra-judicially in 2010, Justice Cromwell described a “functional” approach to awarding money remedies.</w:t>
      </w:r>
      <w:r>
        <w:rPr>
          <w:rStyle w:val="FootnoteReference"/>
        </w:rPr>
        <w:footnoteReference w:id="60"/>
      </w:r>
      <w:r w:rsidR="003B71BC">
        <w:t xml:space="preserve"> </w:t>
      </w:r>
      <w:r w:rsidR="004A1C82">
        <w:t xml:space="preserve">Following this </w:t>
      </w:r>
      <w:r w:rsidR="00666D1C">
        <w:t>method</w:t>
      </w:r>
      <w:r w:rsidR="004A1C82">
        <w:t>, the court is required to examine the nature of the harm at issue</w:t>
      </w:r>
      <w:r w:rsidR="004B0027">
        <w:rPr>
          <w:rStyle w:val="FootnoteReference"/>
        </w:rPr>
        <w:footnoteReference w:id="61"/>
      </w:r>
      <w:r w:rsidR="004A1C82">
        <w:t xml:space="preserve"> as well as the interest which the substantive law protects.</w:t>
      </w:r>
      <w:r w:rsidR="004B0027">
        <w:rPr>
          <w:rStyle w:val="FootnoteReference"/>
        </w:rPr>
        <w:footnoteReference w:id="62"/>
      </w:r>
      <w:r w:rsidR="004A1C82">
        <w:t xml:space="preserve"> It is then to provide a monetary remedy that address these matters “in a way that furthers the purposes of the underlying substantive law.”</w:t>
      </w:r>
      <w:r w:rsidR="004A1C82">
        <w:rPr>
          <w:rStyle w:val="FootnoteReference"/>
        </w:rPr>
        <w:footnoteReference w:id="63"/>
      </w:r>
      <w:r w:rsidR="004A1C82">
        <w:t xml:space="preserve"> </w:t>
      </w:r>
      <w:r w:rsidR="00C24289">
        <w:t xml:space="preserve">This is both a salutary and non-controversial </w:t>
      </w:r>
      <w:r w:rsidR="00666D1C">
        <w:t>strategy</w:t>
      </w:r>
      <w:r w:rsidR="00C24289">
        <w:t>.</w:t>
      </w:r>
      <w:bookmarkStart w:id="21" w:name="_Ref78153280"/>
      <w:r w:rsidR="00C24289">
        <w:rPr>
          <w:rStyle w:val="FootnoteReference"/>
        </w:rPr>
        <w:footnoteReference w:id="64"/>
      </w:r>
      <w:bookmarkEnd w:id="21"/>
      <w:r w:rsidR="00C24289">
        <w:t xml:space="preserve"> </w:t>
      </w:r>
    </w:p>
    <w:p w14:paraId="4DDFC966" w14:textId="77777777" w:rsidR="00C24289" w:rsidRDefault="00C24289" w:rsidP="003F455A">
      <w:pPr>
        <w:spacing w:after="0"/>
      </w:pPr>
    </w:p>
    <w:p w14:paraId="5B832407" w14:textId="522000C0" w:rsidR="003F32ED" w:rsidRDefault="0012088E" w:rsidP="00C1570D">
      <w:pPr>
        <w:spacing w:after="0"/>
        <w:ind w:firstLine="720"/>
      </w:pPr>
      <w:r>
        <w:t>As one example of the functional approach in action, Cromwell J relie</w:t>
      </w:r>
      <w:r w:rsidR="00C24289">
        <w:t>d</w:t>
      </w:r>
      <w:r>
        <w:t xml:space="preserve"> on </w:t>
      </w:r>
      <w:r w:rsidRPr="002118A3">
        <w:rPr>
          <w:i/>
          <w:iCs/>
        </w:rPr>
        <w:t>Ward v City of Vancouver</w:t>
      </w:r>
      <w:r>
        <w:t>,</w:t>
      </w:r>
      <w:bookmarkStart w:id="22" w:name="_Ref78153215"/>
      <w:r w:rsidR="00C24289">
        <w:rPr>
          <w:rStyle w:val="FootnoteReference"/>
        </w:rPr>
        <w:footnoteReference w:id="65"/>
      </w:r>
      <w:bookmarkEnd w:id="22"/>
      <w:r>
        <w:t xml:space="preserve"> </w:t>
      </w:r>
      <w:r w:rsidR="00E96C66">
        <w:t>a case which</w:t>
      </w:r>
      <w:r>
        <w:t xml:space="preserve"> offers a deta</w:t>
      </w:r>
      <w:r w:rsidR="00E160D4">
        <w:t>iled analysis of damages under S</w:t>
      </w:r>
      <w:r>
        <w:t>ection 24</w:t>
      </w:r>
      <w:r w:rsidR="004B0027">
        <w:t xml:space="preserve"> of the </w:t>
      </w:r>
      <w:r w:rsidR="004B0027">
        <w:rPr>
          <w:i/>
          <w:iCs/>
        </w:rPr>
        <w:t>Canadian Charter of Rights and Freedoms.</w:t>
      </w:r>
      <w:bookmarkStart w:id="23" w:name="_Ref78152963"/>
      <w:r w:rsidR="00666D1C">
        <w:rPr>
          <w:rStyle w:val="FootnoteReference"/>
        </w:rPr>
        <w:footnoteReference w:id="66"/>
      </w:r>
      <w:bookmarkEnd w:id="23"/>
      <w:r>
        <w:t xml:space="preserve"> </w:t>
      </w:r>
      <w:r w:rsidR="003F32ED" w:rsidRPr="002118A3">
        <w:rPr>
          <w:i/>
          <w:iCs/>
        </w:rPr>
        <w:t>Ward</w:t>
      </w:r>
      <w:r w:rsidR="003F32ED">
        <w:t xml:space="preserve"> is </w:t>
      </w:r>
      <w:r w:rsidR="00E96C66">
        <w:t xml:space="preserve">particularly significant to </w:t>
      </w:r>
      <w:r w:rsidR="003F32ED">
        <w:t>the law of privacy protection and</w:t>
      </w:r>
      <w:r w:rsidR="00E96C66">
        <w:t xml:space="preserve"> is a case</w:t>
      </w:r>
      <w:r w:rsidR="003F32ED">
        <w:t xml:space="preserve"> to which this </w:t>
      </w:r>
      <w:r w:rsidR="00852151">
        <w:t>article</w:t>
      </w:r>
      <w:r w:rsidR="003F32ED">
        <w:t xml:space="preserve"> returns in </w:t>
      </w:r>
      <w:r w:rsidR="00856CE3">
        <w:t xml:space="preserve">Part </w:t>
      </w:r>
      <w:r w:rsidR="00FA034B">
        <w:t>Two</w:t>
      </w:r>
      <w:r w:rsidR="00FA6A8B">
        <w:t xml:space="preserve">, </w:t>
      </w:r>
      <w:r w:rsidR="00FA6A8B" w:rsidRPr="00C1570D">
        <w:t>forthcoming in</w:t>
      </w:r>
      <w:r w:rsidR="00FA034B" w:rsidRPr="00C1570D">
        <w:t xml:space="preserve"> </w:t>
      </w:r>
      <w:r w:rsidR="00C1570D" w:rsidRPr="00C1570D">
        <w:t xml:space="preserve">the June </w:t>
      </w:r>
      <w:r w:rsidR="00B00624">
        <w:t xml:space="preserve">2022 </w:t>
      </w:r>
      <w:r w:rsidR="00C1570D" w:rsidRPr="00C1570D">
        <w:t>issue of The Advocates’ Quarterly</w:t>
      </w:r>
      <w:r w:rsidR="00FA034B" w:rsidRPr="00C1570D">
        <w:t>.</w:t>
      </w:r>
      <w:r w:rsidR="00FA034B">
        <w:t xml:space="preserve"> </w:t>
      </w:r>
      <w:r w:rsidR="003F32ED">
        <w:t>For now it is sufficient to observe that</w:t>
      </w:r>
      <w:r w:rsidR="00E96C66">
        <w:t xml:space="preserve">, as summarized by Cromwell J, </w:t>
      </w:r>
      <w:r w:rsidR="00E96C66" w:rsidRPr="002118A3">
        <w:rPr>
          <w:i/>
          <w:iCs/>
        </w:rPr>
        <w:t xml:space="preserve">Ward </w:t>
      </w:r>
      <w:r w:rsidR="00E96C66">
        <w:t>in</w:t>
      </w:r>
      <w:r>
        <w:t>cludes the insight that</w:t>
      </w:r>
      <w:r w:rsidR="00E96C66">
        <w:t xml:space="preserve"> the claimant seeking </w:t>
      </w:r>
      <w:r w:rsidR="00F51266">
        <w:rPr>
          <w:i/>
          <w:iCs/>
        </w:rPr>
        <w:t xml:space="preserve">Charter </w:t>
      </w:r>
      <w:r w:rsidR="00E96C66">
        <w:t>damages must show that they would "s</w:t>
      </w:r>
      <w:r>
        <w:t xml:space="preserve">erve a useful function </w:t>
      </w:r>
      <w:r>
        <w:lastRenderedPageBreak/>
        <w:t>or pu</w:t>
      </w:r>
      <w:r w:rsidR="003F32ED">
        <w:t>r</w:t>
      </w:r>
      <w:r>
        <w:t>p</w:t>
      </w:r>
      <w:r w:rsidR="003F32ED">
        <w:t>os</w:t>
      </w:r>
      <w:r>
        <w:t xml:space="preserve">e </w:t>
      </w:r>
      <w:r w:rsidR="00E96C66">
        <w:t>…</w:t>
      </w:r>
      <w:r>
        <w:t xml:space="preserve"> and in particular that they further the general objects of the </w:t>
      </w:r>
      <w:r w:rsidRPr="00E050ED">
        <w:rPr>
          <w:i/>
          <w:iCs/>
        </w:rPr>
        <w:t>Char</w:t>
      </w:r>
      <w:r w:rsidR="003F32ED" w:rsidRPr="002118A3">
        <w:rPr>
          <w:i/>
          <w:iCs/>
        </w:rPr>
        <w:t>t</w:t>
      </w:r>
      <w:r w:rsidRPr="00E050ED">
        <w:rPr>
          <w:i/>
          <w:iCs/>
        </w:rPr>
        <w:t>er</w:t>
      </w:r>
      <w:r w:rsidR="00E96C66">
        <w:t>.</w:t>
      </w:r>
      <w:r>
        <w:t>”</w:t>
      </w:r>
      <w:r w:rsidR="00E96C66">
        <w:rPr>
          <w:rStyle w:val="FootnoteReference"/>
        </w:rPr>
        <w:footnoteReference w:id="67"/>
      </w:r>
      <w:r w:rsidR="003F32ED">
        <w:t xml:space="preserve"> </w:t>
      </w:r>
      <w:r w:rsidR="00666D1C">
        <w:t xml:space="preserve">In this way, </w:t>
      </w:r>
      <w:r w:rsidR="003F32ED">
        <w:t xml:space="preserve">the </w:t>
      </w:r>
      <w:r w:rsidR="00666D1C">
        <w:t xml:space="preserve">judicial </w:t>
      </w:r>
      <w:r w:rsidR="003F32ED">
        <w:t>focus is “first on the nature of the harm suffered or the inter</w:t>
      </w:r>
      <w:r w:rsidR="00E96C66">
        <w:t>e</w:t>
      </w:r>
      <w:r w:rsidR="003F32ED">
        <w:t>st sought to be protected, and then on the ways in which a money remedy may respond to that harm to serve to protect that inte</w:t>
      </w:r>
      <w:r w:rsidR="00E96C66">
        <w:t>re</w:t>
      </w:r>
      <w:r w:rsidR="003F32ED">
        <w:t>st.</w:t>
      </w:r>
      <w:r w:rsidR="00E96C66">
        <w:t>”</w:t>
      </w:r>
      <w:r w:rsidR="00E96C66">
        <w:rPr>
          <w:rStyle w:val="FootnoteReference"/>
        </w:rPr>
        <w:footnoteReference w:id="68"/>
      </w:r>
      <w:r w:rsidR="003F32ED">
        <w:t xml:space="preserve"> </w:t>
      </w:r>
    </w:p>
    <w:p w14:paraId="5FF82B61" w14:textId="6318A22F" w:rsidR="003F32ED" w:rsidRDefault="003F32ED" w:rsidP="003F455A">
      <w:pPr>
        <w:spacing w:after="0"/>
      </w:pPr>
    </w:p>
    <w:p w14:paraId="71E83979" w14:textId="0B7DAA6B" w:rsidR="00851324" w:rsidRDefault="00E96C66" w:rsidP="00030101">
      <w:pPr>
        <w:spacing w:after="0"/>
        <w:ind w:firstLine="720"/>
      </w:pPr>
      <w:r>
        <w:t xml:space="preserve">The functional approach to damages is an outgrowth of several legal developments including </w:t>
      </w:r>
      <w:r w:rsidR="003B71BC">
        <w:t xml:space="preserve">that compensatory damages </w:t>
      </w:r>
      <w:r w:rsidR="004A1C82">
        <w:t>can also have broad purposes in relation to deterrence and punishment</w:t>
      </w:r>
      <w:r w:rsidR="00C24289">
        <w:t>.</w:t>
      </w:r>
      <w:r w:rsidR="00C24289">
        <w:rPr>
          <w:rStyle w:val="FootnoteReference"/>
        </w:rPr>
        <w:footnoteReference w:id="69"/>
      </w:r>
      <w:r w:rsidR="004A1C82">
        <w:t xml:space="preserve"> </w:t>
      </w:r>
      <w:r w:rsidR="004B0027">
        <w:t xml:space="preserve">On a related front, it absorbs the </w:t>
      </w:r>
      <w:r w:rsidR="00C24289">
        <w:t xml:space="preserve">insight that, </w:t>
      </w:r>
      <w:r w:rsidR="004B0027">
        <w:t xml:space="preserve">as summarized by </w:t>
      </w:r>
      <w:r w:rsidR="003F455A">
        <w:t>Cromwell J, courts are to take a “broad and flexible view of the capacity of the monetary award to do more than simply restore the plaintiff to his or her pre-breach economic position”</w:t>
      </w:r>
      <w:r w:rsidR="003F455A">
        <w:rPr>
          <w:rStyle w:val="FootnoteReference"/>
        </w:rPr>
        <w:footnoteReference w:id="70"/>
      </w:r>
      <w:r w:rsidR="003F455A">
        <w:t xml:space="preserve"> </w:t>
      </w:r>
      <w:r w:rsidR="00C24289">
        <w:t>and that monetary damages “may be appropriate even where it does not, in any meaningful sense, related to an economic loss suffered by the plaintiff.”</w:t>
      </w:r>
      <w:r w:rsidR="00C24289">
        <w:rPr>
          <w:rStyle w:val="FootnoteReference"/>
        </w:rPr>
        <w:footnoteReference w:id="71"/>
      </w:r>
      <w:r w:rsidR="00C24289">
        <w:t xml:space="preserve"> </w:t>
      </w:r>
      <w:r w:rsidR="004B0027">
        <w:t xml:space="preserve">Deploying </w:t>
      </w:r>
      <w:r w:rsidR="00F51266">
        <w:t xml:space="preserve">such insights in the context of </w:t>
      </w:r>
      <w:r w:rsidR="003F455A">
        <w:t xml:space="preserve">non-pecuniary claims in defamation as an example, Cromwell J observes that a general damages award should attempt to restore “the victim’s personal privacy </w:t>
      </w:r>
      <w:r w:rsidR="008B620A" w:rsidRPr="007E5C6F">
        <w:t>and dignity, demonstrating at least symbolically, that those rights are deeply valued by the community and have been vindicated.”</w:t>
      </w:r>
      <w:r w:rsidR="008B620A" w:rsidRPr="007E5C6F">
        <w:rPr>
          <w:rStyle w:val="FootnoteReference"/>
        </w:rPr>
        <w:footnoteReference w:id="72"/>
      </w:r>
      <w:r w:rsidR="008B620A" w:rsidRPr="00F16DFF">
        <w:t xml:space="preserve"> </w:t>
      </w:r>
      <w:r w:rsidR="00161586">
        <w:t xml:space="preserve"> </w:t>
      </w:r>
    </w:p>
    <w:p w14:paraId="7EB2D563" w14:textId="77777777" w:rsidR="00BE03E0" w:rsidRDefault="00EF32B5" w:rsidP="00030101">
      <w:pPr>
        <w:pStyle w:val="paranondepar-altn"/>
        <w:ind w:firstLine="720"/>
        <w:rPr>
          <w:rFonts w:ascii="Arial" w:hAnsi="Arial" w:cs="Arial"/>
        </w:rPr>
      </w:pPr>
      <w:r>
        <w:rPr>
          <w:rFonts w:ascii="Arial" w:hAnsi="Arial" w:cs="Arial"/>
        </w:rPr>
        <w:t xml:space="preserve">Applying </w:t>
      </w:r>
      <w:r w:rsidR="00E3034C">
        <w:rPr>
          <w:rFonts w:ascii="Arial" w:hAnsi="Arial" w:cs="Arial"/>
        </w:rPr>
        <w:t xml:space="preserve">the model described by </w:t>
      </w:r>
      <w:r>
        <w:rPr>
          <w:rFonts w:ascii="Arial" w:hAnsi="Arial" w:cs="Arial"/>
        </w:rPr>
        <w:t>Cromwell J</w:t>
      </w:r>
      <w:r w:rsidR="00E3034C">
        <w:rPr>
          <w:rFonts w:ascii="Arial" w:hAnsi="Arial" w:cs="Arial"/>
        </w:rPr>
        <w:t xml:space="preserve">, </w:t>
      </w:r>
      <w:r w:rsidR="00E20973">
        <w:rPr>
          <w:rFonts w:ascii="Arial" w:hAnsi="Arial" w:cs="Arial"/>
        </w:rPr>
        <w:t xml:space="preserve">one can easily </w:t>
      </w:r>
      <w:r w:rsidR="009B07EA">
        <w:rPr>
          <w:rFonts w:ascii="Arial" w:hAnsi="Arial" w:cs="Arial"/>
        </w:rPr>
        <w:t>identify</w:t>
      </w:r>
      <w:r w:rsidR="00E20973">
        <w:rPr>
          <w:rFonts w:ascii="Arial" w:hAnsi="Arial" w:cs="Arial"/>
        </w:rPr>
        <w:t xml:space="preserve"> the </w:t>
      </w:r>
      <w:r w:rsidR="0026257B">
        <w:rPr>
          <w:rFonts w:ascii="Arial" w:hAnsi="Arial" w:cs="Arial"/>
        </w:rPr>
        <w:t xml:space="preserve">bifurcated </w:t>
      </w:r>
      <w:r w:rsidR="00E3034C">
        <w:rPr>
          <w:rFonts w:ascii="Arial" w:hAnsi="Arial" w:cs="Arial"/>
        </w:rPr>
        <w:t>goals</w:t>
      </w:r>
      <w:r w:rsidR="00E20973">
        <w:rPr>
          <w:rFonts w:ascii="Arial" w:hAnsi="Arial" w:cs="Arial"/>
        </w:rPr>
        <w:t xml:space="preserve"> that </w:t>
      </w:r>
      <w:r w:rsidR="000865D7">
        <w:rPr>
          <w:rFonts w:ascii="Arial" w:hAnsi="Arial" w:cs="Arial"/>
        </w:rPr>
        <w:t xml:space="preserve">are </w:t>
      </w:r>
      <w:r w:rsidR="009B07EA">
        <w:rPr>
          <w:rFonts w:ascii="Arial" w:hAnsi="Arial" w:cs="Arial"/>
        </w:rPr>
        <w:t>safeguard</w:t>
      </w:r>
      <w:r w:rsidR="00E20973">
        <w:rPr>
          <w:rFonts w:ascii="Arial" w:hAnsi="Arial" w:cs="Arial"/>
        </w:rPr>
        <w:t xml:space="preserve">ed by </w:t>
      </w:r>
      <w:r w:rsidR="003061DB" w:rsidRPr="003061DB">
        <w:rPr>
          <w:rFonts w:ascii="Arial" w:hAnsi="Arial" w:cs="Arial"/>
          <w:i/>
          <w:iCs/>
        </w:rPr>
        <w:t>PIPEDA</w:t>
      </w:r>
      <w:r w:rsidR="00FA1545">
        <w:rPr>
          <w:rFonts w:ascii="Arial" w:hAnsi="Arial" w:cs="Arial"/>
        </w:rPr>
        <w:t xml:space="preserve"> </w:t>
      </w:r>
      <w:r w:rsidR="00E20973">
        <w:rPr>
          <w:rFonts w:ascii="Arial" w:hAnsi="Arial" w:cs="Arial"/>
        </w:rPr>
        <w:t xml:space="preserve">because they are self-declared: </w:t>
      </w:r>
      <w:r w:rsidR="00E3034C">
        <w:rPr>
          <w:rFonts w:ascii="Arial" w:hAnsi="Arial" w:cs="Arial"/>
        </w:rPr>
        <w:t xml:space="preserve">protection of the </w:t>
      </w:r>
      <w:r w:rsidR="00AC0AA9">
        <w:rPr>
          <w:rFonts w:ascii="Arial" w:hAnsi="Arial" w:cs="Arial"/>
        </w:rPr>
        <w:t xml:space="preserve">individual’s </w:t>
      </w:r>
      <w:r>
        <w:rPr>
          <w:rFonts w:ascii="Arial" w:hAnsi="Arial" w:cs="Arial"/>
        </w:rPr>
        <w:t>privacy rights</w:t>
      </w:r>
      <w:r w:rsidR="00870C72">
        <w:rPr>
          <w:rFonts w:ascii="Arial" w:hAnsi="Arial" w:cs="Arial"/>
        </w:rPr>
        <w:t xml:space="preserve"> in relation to personal information</w:t>
      </w:r>
      <w:r>
        <w:rPr>
          <w:rFonts w:ascii="Arial" w:hAnsi="Arial" w:cs="Arial"/>
        </w:rPr>
        <w:t>, on the one hand, and the organization’s need to collect, use</w:t>
      </w:r>
      <w:r w:rsidR="00870C72">
        <w:rPr>
          <w:rFonts w:ascii="Arial" w:hAnsi="Arial" w:cs="Arial"/>
        </w:rPr>
        <w:t>,</w:t>
      </w:r>
      <w:r>
        <w:rPr>
          <w:rFonts w:ascii="Arial" w:hAnsi="Arial" w:cs="Arial"/>
        </w:rPr>
        <w:t xml:space="preserve"> or disclose the individual’s personal information</w:t>
      </w:r>
      <w:r w:rsidR="00DA135A">
        <w:rPr>
          <w:rFonts w:ascii="Arial" w:hAnsi="Arial" w:cs="Arial"/>
        </w:rPr>
        <w:t>, on the other.</w:t>
      </w:r>
      <w:r>
        <w:rPr>
          <w:rStyle w:val="FootnoteReference"/>
          <w:rFonts w:ascii="Arial" w:hAnsi="Arial" w:cs="Arial"/>
        </w:rPr>
        <w:footnoteReference w:id="73"/>
      </w:r>
      <w:r>
        <w:rPr>
          <w:rFonts w:ascii="Arial" w:hAnsi="Arial" w:cs="Arial"/>
        </w:rPr>
        <w:t xml:space="preserve"> </w:t>
      </w:r>
      <w:r w:rsidR="00D05292">
        <w:rPr>
          <w:rFonts w:ascii="Arial" w:hAnsi="Arial" w:cs="Arial"/>
        </w:rPr>
        <w:t>In this regard, t</w:t>
      </w:r>
      <w:r w:rsidR="007E22E9">
        <w:rPr>
          <w:rFonts w:ascii="Arial" w:hAnsi="Arial" w:cs="Arial"/>
        </w:rPr>
        <w:t xml:space="preserve">he Act </w:t>
      </w:r>
      <w:r w:rsidR="00CD05FE">
        <w:rPr>
          <w:rFonts w:ascii="Arial" w:hAnsi="Arial" w:cs="Arial"/>
        </w:rPr>
        <w:t>recognize</w:t>
      </w:r>
      <w:r w:rsidR="00FB6CEF">
        <w:rPr>
          <w:rFonts w:ascii="Arial" w:hAnsi="Arial" w:cs="Arial"/>
        </w:rPr>
        <w:t xml:space="preserve">s </w:t>
      </w:r>
      <w:r w:rsidR="00626C55">
        <w:rPr>
          <w:rFonts w:ascii="Arial" w:hAnsi="Arial" w:cs="Arial"/>
        </w:rPr>
        <w:t xml:space="preserve">the </w:t>
      </w:r>
      <w:r w:rsidR="00164EAE">
        <w:rPr>
          <w:rFonts w:ascii="Arial" w:hAnsi="Arial" w:cs="Arial"/>
        </w:rPr>
        <w:t>organization</w:t>
      </w:r>
      <w:r w:rsidR="00FB6CEF">
        <w:rPr>
          <w:rFonts w:ascii="Arial" w:hAnsi="Arial" w:cs="Arial"/>
        </w:rPr>
        <w:t>’s</w:t>
      </w:r>
      <w:r w:rsidR="00626C55">
        <w:rPr>
          <w:rFonts w:ascii="Arial" w:hAnsi="Arial" w:cs="Arial"/>
        </w:rPr>
        <w:t xml:space="preserve"> interest to conduct itself freely while constraining </w:t>
      </w:r>
      <w:r w:rsidR="00FB6CEF">
        <w:rPr>
          <w:rFonts w:ascii="Arial" w:hAnsi="Arial" w:cs="Arial"/>
        </w:rPr>
        <w:t xml:space="preserve">that </w:t>
      </w:r>
      <w:r w:rsidR="00626C55">
        <w:rPr>
          <w:rFonts w:ascii="Arial" w:hAnsi="Arial" w:cs="Arial"/>
        </w:rPr>
        <w:t xml:space="preserve">conduct in relation to personal information </w:t>
      </w:r>
      <w:r w:rsidR="00FB6CEF">
        <w:rPr>
          <w:rFonts w:ascii="Arial" w:hAnsi="Arial" w:cs="Arial"/>
        </w:rPr>
        <w:t xml:space="preserve">by </w:t>
      </w:r>
      <w:r w:rsidR="00346EA4">
        <w:rPr>
          <w:rFonts w:ascii="Arial" w:hAnsi="Arial" w:cs="Arial"/>
        </w:rPr>
        <w:t>what</w:t>
      </w:r>
      <w:r w:rsidR="00870C72">
        <w:rPr>
          <w:rFonts w:ascii="Arial" w:hAnsi="Arial" w:cs="Arial"/>
        </w:rPr>
        <w:t xml:space="preserve"> “a reasona</w:t>
      </w:r>
      <w:r w:rsidR="00870C72" w:rsidRPr="00A918D5">
        <w:rPr>
          <w:rFonts w:ascii="Arial" w:hAnsi="Arial" w:cs="Arial"/>
        </w:rPr>
        <w:t>ble person would consider appropriate in the circumstances</w:t>
      </w:r>
      <w:r w:rsidR="007E22E9">
        <w:rPr>
          <w:rFonts w:ascii="Arial" w:hAnsi="Arial" w:cs="Arial"/>
        </w:rPr>
        <w:t>.</w:t>
      </w:r>
      <w:r w:rsidR="00870C72" w:rsidRPr="00A918D5">
        <w:rPr>
          <w:rFonts w:ascii="Arial" w:hAnsi="Arial" w:cs="Arial"/>
        </w:rPr>
        <w:t>”</w:t>
      </w:r>
      <w:r w:rsidR="00870C72" w:rsidRPr="00A918D5">
        <w:rPr>
          <w:rStyle w:val="FootnoteReference"/>
          <w:rFonts w:ascii="Arial" w:hAnsi="Arial" w:cs="Arial"/>
        </w:rPr>
        <w:footnoteReference w:id="74"/>
      </w:r>
      <w:r w:rsidR="00346EA4">
        <w:rPr>
          <w:rFonts w:ascii="Arial" w:hAnsi="Arial" w:cs="Arial"/>
        </w:rPr>
        <w:t xml:space="preserve"> </w:t>
      </w:r>
    </w:p>
    <w:p w14:paraId="2A2AC345" w14:textId="097593C6" w:rsidR="004F0A99" w:rsidRDefault="001F3857" w:rsidP="00030101">
      <w:pPr>
        <w:pStyle w:val="paranondepar-altn"/>
        <w:ind w:firstLine="720"/>
        <w:rPr>
          <w:rFonts w:ascii="Arial" w:hAnsi="Arial" w:cs="Arial"/>
        </w:rPr>
      </w:pPr>
      <w:r>
        <w:rPr>
          <w:rFonts w:ascii="Arial" w:hAnsi="Arial" w:cs="Arial"/>
        </w:rPr>
        <w:t xml:space="preserve">To define appropriate parameters, </w:t>
      </w:r>
      <w:r w:rsidR="00984293">
        <w:rPr>
          <w:rFonts w:ascii="Arial" w:hAnsi="Arial" w:cs="Arial"/>
        </w:rPr>
        <w:t xml:space="preserve">the court in </w:t>
      </w:r>
      <w:proofErr w:type="spellStart"/>
      <w:r w:rsidR="00291290" w:rsidRPr="00291290">
        <w:rPr>
          <w:rFonts w:ascii="Arial" w:hAnsi="Arial" w:cs="Arial"/>
          <w:i/>
          <w:iCs/>
        </w:rPr>
        <w:t>Nammo</w:t>
      </w:r>
      <w:proofErr w:type="spellEnd"/>
      <w:r w:rsidR="007E5C6F">
        <w:rPr>
          <w:rFonts w:ascii="Arial" w:hAnsi="Arial" w:cs="Arial"/>
          <w:i/>
          <w:iCs/>
        </w:rPr>
        <w:t xml:space="preserve"> v</w:t>
      </w:r>
      <w:r w:rsidR="007E5C6F" w:rsidRPr="0012678A">
        <w:rPr>
          <w:rFonts w:ascii="Arial" w:hAnsi="Arial" w:cs="Arial"/>
          <w:i/>
          <w:iCs/>
        </w:rPr>
        <w:t xml:space="preserve"> Trans</w:t>
      </w:r>
      <w:r w:rsidR="00021329">
        <w:rPr>
          <w:rFonts w:ascii="Arial" w:hAnsi="Arial" w:cs="Arial"/>
          <w:i/>
          <w:iCs/>
        </w:rPr>
        <w:t>U</w:t>
      </w:r>
      <w:r w:rsidR="007E5C6F" w:rsidRPr="0012678A">
        <w:rPr>
          <w:rFonts w:ascii="Arial" w:hAnsi="Arial" w:cs="Arial"/>
          <w:i/>
          <w:iCs/>
        </w:rPr>
        <w:t>nion of Canada Inc</w:t>
      </w:r>
      <w:r w:rsidR="00984293" w:rsidRPr="0012678A">
        <w:rPr>
          <w:rFonts w:ascii="Arial" w:hAnsi="Arial" w:cs="Arial"/>
          <w:i/>
          <w:iCs/>
        </w:rPr>
        <w:t xml:space="preserve"> </w:t>
      </w:r>
      <w:r w:rsidR="009B07EA">
        <w:rPr>
          <w:rFonts w:ascii="Arial" w:hAnsi="Arial" w:cs="Arial"/>
        </w:rPr>
        <w:t xml:space="preserve">held that </w:t>
      </w:r>
      <w:r w:rsidR="003061DB" w:rsidRPr="003061DB">
        <w:rPr>
          <w:rFonts w:ascii="Arial" w:hAnsi="Arial" w:cs="Arial"/>
          <w:i/>
          <w:iCs/>
        </w:rPr>
        <w:t>PIPEDA</w:t>
      </w:r>
      <w:r>
        <w:rPr>
          <w:rFonts w:ascii="Arial" w:hAnsi="Arial" w:cs="Arial"/>
        </w:rPr>
        <w:t>’s</w:t>
      </w:r>
      <w:r w:rsidR="009B07EA">
        <w:rPr>
          <w:rFonts w:ascii="Arial" w:hAnsi="Arial" w:cs="Arial"/>
        </w:rPr>
        <w:t xml:space="preserve"> </w:t>
      </w:r>
      <w:r>
        <w:rPr>
          <w:rFonts w:ascii="Arial" w:hAnsi="Arial" w:cs="Arial"/>
        </w:rPr>
        <w:t xml:space="preserve">reasonableness </w:t>
      </w:r>
      <w:r w:rsidR="009B07EA">
        <w:rPr>
          <w:rFonts w:ascii="Arial" w:hAnsi="Arial" w:cs="Arial"/>
        </w:rPr>
        <w:t xml:space="preserve">obligations </w:t>
      </w:r>
      <w:r w:rsidR="000D489E">
        <w:rPr>
          <w:rFonts w:ascii="Arial" w:hAnsi="Arial" w:cs="Arial"/>
        </w:rPr>
        <w:t>are “independent obligations”</w:t>
      </w:r>
      <w:bookmarkStart w:id="24" w:name="_Ref78152819"/>
      <w:r w:rsidR="000D489E">
        <w:rPr>
          <w:rStyle w:val="FootnoteReference"/>
          <w:rFonts w:ascii="Arial" w:hAnsi="Arial" w:cs="Arial"/>
        </w:rPr>
        <w:footnoteReference w:id="75"/>
      </w:r>
      <w:bookmarkEnd w:id="24"/>
      <w:r w:rsidR="000D489E">
        <w:rPr>
          <w:rFonts w:ascii="Arial" w:hAnsi="Arial" w:cs="Arial"/>
        </w:rPr>
        <w:t xml:space="preserve"> which cannot be </w:t>
      </w:r>
      <w:r>
        <w:rPr>
          <w:rFonts w:ascii="Arial" w:hAnsi="Arial" w:cs="Arial"/>
        </w:rPr>
        <w:t>discharged</w:t>
      </w:r>
      <w:r w:rsidR="000D489E">
        <w:rPr>
          <w:rFonts w:ascii="Arial" w:hAnsi="Arial" w:cs="Arial"/>
        </w:rPr>
        <w:t xml:space="preserve"> by the enterprise simply complying with </w:t>
      </w:r>
      <w:r>
        <w:rPr>
          <w:rFonts w:ascii="Arial" w:hAnsi="Arial" w:cs="Arial"/>
        </w:rPr>
        <w:t xml:space="preserve">relevant </w:t>
      </w:r>
      <w:r w:rsidR="000D489E">
        <w:rPr>
          <w:rFonts w:ascii="Arial" w:hAnsi="Arial" w:cs="Arial"/>
        </w:rPr>
        <w:t>industry standards</w:t>
      </w:r>
      <w:r w:rsidR="000D489E">
        <w:rPr>
          <w:rStyle w:val="FootnoteReference"/>
          <w:rFonts w:ascii="Arial" w:hAnsi="Arial" w:cs="Arial"/>
        </w:rPr>
        <w:footnoteReference w:id="76"/>
      </w:r>
      <w:r w:rsidR="000D489E">
        <w:rPr>
          <w:rFonts w:ascii="Arial" w:hAnsi="Arial" w:cs="Arial"/>
        </w:rPr>
        <w:t xml:space="preserve"> or consumer protection legislation</w:t>
      </w:r>
      <w:r w:rsidR="005521A9">
        <w:rPr>
          <w:rFonts w:ascii="Arial" w:hAnsi="Arial" w:cs="Arial"/>
        </w:rPr>
        <w:t>,</w:t>
      </w:r>
      <w:r w:rsidR="000D489E">
        <w:rPr>
          <w:rStyle w:val="FootnoteReference"/>
          <w:rFonts w:ascii="Arial" w:hAnsi="Arial" w:cs="Arial"/>
        </w:rPr>
        <w:footnoteReference w:id="77"/>
      </w:r>
      <w:r>
        <w:rPr>
          <w:rFonts w:ascii="Arial" w:hAnsi="Arial" w:cs="Arial"/>
        </w:rPr>
        <w:t xml:space="preserve"> </w:t>
      </w:r>
      <w:r w:rsidR="005521A9">
        <w:rPr>
          <w:rFonts w:ascii="Arial" w:hAnsi="Arial" w:cs="Arial"/>
        </w:rPr>
        <w:t>to name two ex</w:t>
      </w:r>
      <w:r w:rsidR="00D73177">
        <w:rPr>
          <w:rFonts w:ascii="Arial" w:hAnsi="Arial" w:cs="Arial"/>
        </w:rPr>
        <w:softHyphen/>
      </w:r>
      <w:r w:rsidR="00D73177">
        <w:rPr>
          <w:rFonts w:ascii="Arial" w:hAnsi="Arial" w:cs="Arial"/>
        </w:rPr>
        <w:softHyphen/>
      </w:r>
      <w:r w:rsidR="00D73177">
        <w:rPr>
          <w:rFonts w:ascii="Arial" w:hAnsi="Arial" w:cs="Arial"/>
        </w:rPr>
        <w:softHyphen/>
      </w:r>
      <w:r w:rsidR="00D73177">
        <w:rPr>
          <w:rFonts w:ascii="Arial" w:hAnsi="Arial" w:cs="Arial"/>
        </w:rPr>
        <w:softHyphen/>
      </w:r>
      <w:r w:rsidR="005521A9">
        <w:rPr>
          <w:rFonts w:ascii="Arial" w:hAnsi="Arial" w:cs="Arial"/>
        </w:rPr>
        <w:t>amples.</w:t>
      </w:r>
      <w:r>
        <w:rPr>
          <w:rFonts w:ascii="Arial" w:hAnsi="Arial" w:cs="Arial"/>
        </w:rPr>
        <w:t xml:space="preserve"> In this way, the court protects how an organization chooses to govern itself while </w:t>
      </w:r>
      <w:r w:rsidR="00C416FA">
        <w:rPr>
          <w:rFonts w:ascii="Arial" w:hAnsi="Arial" w:cs="Arial"/>
        </w:rPr>
        <w:t xml:space="preserve">shutting down defenses that would undermine </w:t>
      </w:r>
      <w:r>
        <w:rPr>
          <w:rFonts w:ascii="Arial" w:hAnsi="Arial" w:cs="Arial"/>
        </w:rPr>
        <w:t xml:space="preserve">the Act’s </w:t>
      </w:r>
      <w:r w:rsidR="00814BC2">
        <w:rPr>
          <w:rFonts w:ascii="Arial" w:hAnsi="Arial" w:cs="Arial"/>
        </w:rPr>
        <w:t>purview</w:t>
      </w:r>
      <w:r>
        <w:rPr>
          <w:rFonts w:ascii="Arial" w:hAnsi="Arial" w:cs="Arial"/>
        </w:rPr>
        <w:t>. I</w:t>
      </w:r>
      <w:r w:rsidR="00AF7AB8">
        <w:rPr>
          <w:rFonts w:ascii="Arial" w:hAnsi="Arial" w:cs="Arial"/>
        </w:rPr>
        <w:t xml:space="preserve">n </w:t>
      </w:r>
      <w:r w:rsidR="0012678A" w:rsidRPr="0012678A">
        <w:rPr>
          <w:rStyle w:val="colorfulgrid-accent1char"/>
          <w:rFonts w:ascii="Arial" w:hAnsi="Arial" w:cs="Arial"/>
          <w:i/>
          <w:iCs/>
        </w:rPr>
        <w:t xml:space="preserve">Townsend v Sun Life Financial, </w:t>
      </w:r>
      <w:r w:rsidR="00D85180">
        <w:rPr>
          <w:rFonts w:ascii="Arial" w:hAnsi="Arial" w:cs="Arial"/>
        </w:rPr>
        <w:t xml:space="preserve">the </w:t>
      </w:r>
      <w:r w:rsidR="00D85180">
        <w:rPr>
          <w:rFonts w:ascii="Arial" w:hAnsi="Arial" w:cs="Arial"/>
        </w:rPr>
        <w:lastRenderedPageBreak/>
        <w:t>court</w:t>
      </w:r>
      <w:r>
        <w:rPr>
          <w:rFonts w:ascii="Arial" w:hAnsi="Arial" w:cs="Arial"/>
        </w:rPr>
        <w:t xml:space="preserve"> also protect</w:t>
      </w:r>
      <w:r w:rsidR="00AF7AB8">
        <w:rPr>
          <w:rFonts w:ascii="Arial" w:hAnsi="Arial" w:cs="Arial"/>
        </w:rPr>
        <w:t>ed</w:t>
      </w:r>
      <w:r>
        <w:rPr>
          <w:rFonts w:ascii="Arial" w:hAnsi="Arial" w:cs="Arial"/>
        </w:rPr>
        <w:t xml:space="preserve"> </w:t>
      </w:r>
      <w:r w:rsidR="00AF7AB8">
        <w:rPr>
          <w:rFonts w:ascii="Arial" w:hAnsi="Arial" w:cs="Arial"/>
        </w:rPr>
        <w:t xml:space="preserve">organizational </w:t>
      </w:r>
      <w:r>
        <w:rPr>
          <w:rFonts w:ascii="Arial" w:hAnsi="Arial" w:cs="Arial"/>
        </w:rPr>
        <w:t>self-governance by refusing to hold a</w:t>
      </w:r>
      <w:r w:rsidR="00AF7AB8">
        <w:rPr>
          <w:rFonts w:ascii="Arial" w:hAnsi="Arial" w:cs="Arial"/>
        </w:rPr>
        <w:t xml:space="preserve"> business</w:t>
      </w:r>
      <w:r>
        <w:rPr>
          <w:rFonts w:ascii="Arial" w:hAnsi="Arial" w:cs="Arial"/>
        </w:rPr>
        <w:t xml:space="preserve"> “to the standard of perfection</w:t>
      </w:r>
      <w:r w:rsidR="00AF7AB8">
        <w:rPr>
          <w:rFonts w:ascii="Arial" w:hAnsi="Arial" w:cs="Arial"/>
        </w:rPr>
        <w:t>,</w:t>
      </w:r>
      <w:r>
        <w:rPr>
          <w:rFonts w:ascii="Arial" w:hAnsi="Arial" w:cs="Arial"/>
        </w:rPr>
        <w:t>”</w:t>
      </w:r>
      <w:bookmarkStart w:id="25" w:name="_Ref78153666"/>
      <w:r w:rsidR="00BD3029">
        <w:rPr>
          <w:rStyle w:val="FootnoteReference"/>
          <w:rFonts w:ascii="Arial" w:hAnsi="Arial" w:cs="Arial"/>
        </w:rPr>
        <w:footnoteReference w:id="78"/>
      </w:r>
      <w:bookmarkEnd w:id="25"/>
      <w:r>
        <w:rPr>
          <w:rFonts w:ascii="Arial" w:hAnsi="Arial" w:cs="Arial"/>
        </w:rPr>
        <w:t xml:space="preserve"> </w:t>
      </w:r>
      <w:r w:rsidR="00AF7AB8">
        <w:rPr>
          <w:rFonts w:ascii="Arial" w:hAnsi="Arial" w:cs="Arial"/>
        </w:rPr>
        <w:t xml:space="preserve">particularly </w:t>
      </w:r>
      <w:r w:rsidR="00950CDF">
        <w:rPr>
          <w:rFonts w:ascii="Arial" w:hAnsi="Arial" w:cs="Arial"/>
        </w:rPr>
        <w:t>where</w:t>
      </w:r>
      <w:r w:rsidR="00E96A5B">
        <w:rPr>
          <w:rFonts w:ascii="Arial" w:hAnsi="Arial" w:cs="Arial"/>
        </w:rPr>
        <w:t>, on the facts,</w:t>
      </w:r>
      <w:r w:rsidR="00950CDF">
        <w:rPr>
          <w:rFonts w:ascii="Arial" w:hAnsi="Arial" w:cs="Arial"/>
        </w:rPr>
        <w:t xml:space="preserve"> </w:t>
      </w:r>
      <w:r w:rsidR="00BD3029">
        <w:rPr>
          <w:rFonts w:ascii="Arial" w:hAnsi="Arial" w:cs="Arial"/>
        </w:rPr>
        <w:t xml:space="preserve">the </w:t>
      </w:r>
      <w:r w:rsidR="005521A9">
        <w:rPr>
          <w:rFonts w:ascii="Arial" w:hAnsi="Arial" w:cs="Arial"/>
        </w:rPr>
        <w:t>mis</w:t>
      </w:r>
      <w:r w:rsidR="00AF7AB8">
        <w:rPr>
          <w:rFonts w:ascii="Arial" w:hAnsi="Arial" w:cs="Arial"/>
        </w:rPr>
        <w:t xml:space="preserve">handling </w:t>
      </w:r>
      <w:r w:rsidR="00BD3029">
        <w:rPr>
          <w:rFonts w:ascii="Arial" w:hAnsi="Arial" w:cs="Arial"/>
        </w:rPr>
        <w:t>of the complainant’s information resulted in only minimal unauthoriz</w:t>
      </w:r>
      <w:r w:rsidR="00BD3029" w:rsidRPr="005521A9">
        <w:rPr>
          <w:rFonts w:ascii="Arial" w:hAnsi="Arial" w:cs="Arial"/>
        </w:rPr>
        <w:t>ed disclosure</w:t>
      </w:r>
      <w:r w:rsidR="00BD3029" w:rsidRPr="005521A9">
        <w:rPr>
          <w:rStyle w:val="FootnoteReference"/>
          <w:rFonts w:ascii="Arial" w:hAnsi="Arial" w:cs="Arial"/>
        </w:rPr>
        <w:footnoteReference w:id="79"/>
      </w:r>
      <w:r w:rsidR="00984293" w:rsidRPr="005521A9">
        <w:rPr>
          <w:rFonts w:ascii="Arial" w:hAnsi="Arial" w:cs="Arial"/>
        </w:rPr>
        <w:t xml:space="preserve"> and the business “already had a detailed protocol before the occurrence of what can only be considered as a human error.”</w:t>
      </w:r>
      <w:r w:rsidR="005521A9">
        <w:rPr>
          <w:rStyle w:val="FootnoteReference"/>
          <w:rFonts w:ascii="Arial" w:hAnsi="Arial" w:cs="Arial"/>
        </w:rPr>
        <w:footnoteReference w:id="80"/>
      </w:r>
      <w:r w:rsidR="00984293" w:rsidRPr="005521A9">
        <w:rPr>
          <w:rFonts w:ascii="Arial" w:hAnsi="Arial" w:cs="Arial"/>
        </w:rPr>
        <w:t xml:space="preserve"> </w:t>
      </w:r>
      <w:r w:rsidR="007E7636">
        <w:rPr>
          <w:rFonts w:ascii="Arial" w:hAnsi="Arial" w:cs="Arial"/>
        </w:rPr>
        <w:t xml:space="preserve">At the same time, </w:t>
      </w:r>
      <w:r w:rsidR="003061DB" w:rsidRPr="003061DB">
        <w:rPr>
          <w:rFonts w:ascii="Arial" w:hAnsi="Arial" w:cs="Arial"/>
          <w:i/>
          <w:iCs/>
        </w:rPr>
        <w:t>PIPEDA</w:t>
      </w:r>
      <w:r w:rsidR="007E7636">
        <w:rPr>
          <w:rFonts w:ascii="Arial" w:hAnsi="Arial" w:cs="Arial"/>
        </w:rPr>
        <w:t xml:space="preserve"> exacts accountability from organizations</w:t>
      </w:r>
      <w:r w:rsidR="004F0A99">
        <w:rPr>
          <w:rFonts w:ascii="Arial" w:hAnsi="Arial" w:cs="Arial"/>
        </w:rPr>
        <w:t xml:space="preserve"> on several fronts</w:t>
      </w:r>
      <w:r w:rsidR="007E7636">
        <w:rPr>
          <w:rFonts w:ascii="Arial" w:hAnsi="Arial" w:cs="Arial"/>
        </w:rPr>
        <w:t>, including through one of its “central objects”</w:t>
      </w:r>
      <w:r w:rsidR="007E7636">
        <w:rPr>
          <w:rStyle w:val="FootnoteReference"/>
          <w:rFonts w:ascii="Arial" w:hAnsi="Arial" w:cs="Arial"/>
        </w:rPr>
        <w:footnoteReference w:id="81"/>
      </w:r>
      <w:r w:rsidR="007E7636">
        <w:rPr>
          <w:rFonts w:ascii="Arial" w:hAnsi="Arial" w:cs="Arial"/>
        </w:rPr>
        <w:t xml:space="preserve"> which is to “</w:t>
      </w:r>
      <w:r w:rsidR="007E7636" w:rsidRPr="007E7636">
        <w:rPr>
          <w:rFonts w:ascii="Arial" w:hAnsi="Arial" w:cs="Arial"/>
        </w:rPr>
        <w:t>encourage those who collect, use and disclose personal information to do so with a degree of accuracy appropriate to the use to which the information is to be put and to correct errors quickly and effectively.”</w:t>
      </w:r>
      <w:r w:rsidR="007E7636" w:rsidRPr="007E7636">
        <w:rPr>
          <w:rStyle w:val="FootnoteReference"/>
          <w:rFonts w:ascii="Arial" w:hAnsi="Arial" w:cs="Arial"/>
        </w:rPr>
        <w:footnoteReference w:id="82"/>
      </w:r>
      <w:r w:rsidR="0032428E">
        <w:rPr>
          <w:rFonts w:ascii="Arial" w:hAnsi="Arial" w:cs="Arial"/>
        </w:rPr>
        <w:t xml:space="preserve"> </w:t>
      </w:r>
      <w:r w:rsidR="001F2419">
        <w:rPr>
          <w:rFonts w:ascii="Arial" w:hAnsi="Arial" w:cs="Arial"/>
        </w:rPr>
        <w:t xml:space="preserve">Another </w:t>
      </w:r>
      <w:r w:rsidR="001D26BA">
        <w:rPr>
          <w:rFonts w:ascii="Arial" w:hAnsi="Arial" w:cs="Arial"/>
        </w:rPr>
        <w:t xml:space="preserve">judicially observed </w:t>
      </w:r>
      <w:r w:rsidR="001F2419">
        <w:rPr>
          <w:rFonts w:ascii="Arial" w:hAnsi="Arial" w:cs="Arial"/>
        </w:rPr>
        <w:t xml:space="preserve">objective of </w:t>
      </w:r>
      <w:r w:rsidR="003061DB" w:rsidRPr="003061DB">
        <w:rPr>
          <w:rFonts w:ascii="Arial" w:hAnsi="Arial" w:cs="Arial"/>
          <w:i/>
          <w:iCs/>
        </w:rPr>
        <w:t>PIPEDA</w:t>
      </w:r>
      <w:r w:rsidR="001F2419">
        <w:rPr>
          <w:rFonts w:ascii="Arial" w:hAnsi="Arial" w:cs="Arial"/>
        </w:rPr>
        <w:t xml:space="preserve"> is that organizations “are diligent in retaining, as secure, personal information.”</w:t>
      </w:r>
      <w:r w:rsidR="001F2419">
        <w:rPr>
          <w:rStyle w:val="FootnoteReference"/>
          <w:rFonts w:ascii="Arial" w:hAnsi="Arial" w:cs="Arial"/>
        </w:rPr>
        <w:footnoteReference w:id="83"/>
      </w:r>
      <w:r w:rsidR="001F2419">
        <w:rPr>
          <w:rFonts w:ascii="Arial" w:hAnsi="Arial" w:cs="Arial"/>
        </w:rPr>
        <w:t xml:space="preserve"> </w:t>
      </w:r>
      <w:r w:rsidR="000F1345">
        <w:rPr>
          <w:rFonts w:ascii="Arial" w:hAnsi="Arial" w:cs="Arial"/>
        </w:rPr>
        <w:t xml:space="preserve"> </w:t>
      </w:r>
    </w:p>
    <w:p w14:paraId="572A613B" w14:textId="65F615F7" w:rsidR="000C5547" w:rsidRDefault="00FC7181" w:rsidP="00030101">
      <w:pPr>
        <w:pStyle w:val="citation-altc"/>
        <w:ind w:firstLine="720"/>
        <w:rPr>
          <w:rFonts w:ascii="Arial" w:hAnsi="Arial" w:cs="Arial"/>
        </w:rPr>
      </w:pPr>
      <w:r>
        <w:rPr>
          <w:rFonts w:ascii="Arial" w:hAnsi="Arial" w:cs="Arial"/>
        </w:rPr>
        <w:t>There is considerable case law to assist in defining the</w:t>
      </w:r>
      <w:r w:rsidR="00F50FA5">
        <w:rPr>
          <w:rFonts w:ascii="Arial" w:hAnsi="Arial" w:cs="Arial"/>
        </w:rPr>
        <w:t xml:space="preserve"> </w:t>
      </w:r>
      <w:r w:rsidR="00D45236">
        <w:rPr>
          <w:rFonts w:ascii="Arial" w:hAnsi="Arial" w:cs="Arial"/>
        </w:rPr>
        <w:t xml:space="preserve">protection </w:t>
      </w:r>
      <w:r w:rsidR="00800EC8">
        <w:rPr>
          <w:rFonts w:ascii="Arial" w:hAnsi="Arial" w:cs="Arial"/>
        </w:rPr>
        <w:t xml:space="preserve">of </w:t>
      </w:r>
      <w:r w:rsidR="00870C72">
        <w:rPr>
          <w:rFonts w:ascii="Arial" w:hAnsi="Arial" w:cs="Arial"/>
        </w:rPr>
        <w:t>privacy right</w:t>
      </w:r>
      <w:r w:rsidR="00443C92">
        <w:rPr>
          <w:rFonts w:ascii="Arial" w:hAnsi="Arial" w:cs="Arial"/>
        </w:rPr>
        <w:t>s</w:t>
      </w:r>
      <w:r w:rsidR="00F50FA5">
        <w:rPr>
          <w:rFonts w:ascii="Arial" w:hAnsi="Arial" w:cs="Arial"/>
        </w:rPr>
        <w:t xml:space="preserve"> in the private law sphere</w:t>
      </w:r>
      <w:r w:rsidR="001D4A73">
        <w:rPr>
          <w:rFonts w:ascii="Arial" w:hAnsi="Arial" w:cs="Arial"/>
        </w:rPr>
        <w:t xml:space="preserve">, </w:t>
      </w:r>
      <w:r w:rsidR="00F71861">
        <w:rPr>
          <w:rFonts w:ascii="Arial" w:hAnsi="Arial" w:cs="Arial"/>
        </w:rPr>
        <w:t xml:space="preserve">including under </w:t>
      </w:r>
      <w:r w:rsidR="003061DB" w:rsidRPr="003061DB">
        <w:rPr>
          <w:rFonts w:ascii="Arial" w:hAnsi="Arial" w:cs="Arial"/>
          <w:i/>
          <w:iCs/>
        </w:rPr>
        <w:t>PIPEDA</w:t>
      </w:r>
      <w:r w:rsidR="000C509D">
        <w:rPr>
          <w:rFonts w:ascii="Arial" w:hAnsi="Arial" w:cs="Arial"/>
        </w:rPr>
        <w:t xml:space="preserve">. </w:t>
      </w:r>
      <w:r w:rsidR="00800EC8">
        <w:rPr>
          <w:rFonts w:ascii="Arial" w:hAnsi="Arial" w:cs="Arial"/>
        </w:rPr>
        <w:t xml:space="preserve">At bottom, the rights are </w:t>
      </w:r>
      <w:r>
        <w:rPr>
          <w:rFonts w:ascii="Arial" w:hAnsi="Arial" w:cs="Arial"/>
        </w:rPr>
        <w:t>quasi-</w:t>
      </w:r>
      <w:r w:rsidR="00800EC8">
        <w:rPr>
          <w:rFonts w:ascii="Arial" w:hAnsi="Arial" w:cs="Arial"/>
        </w:rPr>
        <w:t>constitutional, as postulated i</w:t>
      </w:r>
      <w:r w:rsidR="00800EC8" w:rsidRPr="00BF0F39">
        <w:rPr>
          <w:rFonts w:ascii="Arial" w:hAnsi="Arial" w:cs="Arial"/>
        </w:rPr>
        <w:t>n th</w:t>
      </w:r>
      <w:r w:rsidR="00800EC8" w:rsidRPr="00800EC8">
        <w:rPr>
          <w:rFonts w:ascii="Arial" w:hAnsi="Arial" w:cs="Arial"/>
        </w:rPr>
        <w:t xml:space="preserve">e 2006 ground-breaking decision of </w:t>
      </w:r>
      <w:proofErr w:type="spellStart"/>
      <w:r w:rsidR="00800EC8" w:rsidRPr="00800EC8">
        <w:rPr>
          <w:rFonts w:ascii="Arial" w:hAnsi="Arial" w:cs="Arial"/>
          <w:i/>
          <w:iCs/>
        </w:rPr>
        <w:t>Somwar</w:t>
      </w:r>
      <w:proofErr w:type="spellEnd"/>
      <w:r w:rsidR="00800EC8" w:rsidRPr="00800EC8">
        <w:rPr>
          <w:rFonts w:ascii="Arial" w:hAnsi="Arial" w:cs="Arial"/>
          <w:i/>
          <w:iCs/>
        </w:rPr>
        <w:t xml:space="preserve"> v McDonald’s Restaurants of Canada Ltd</w:t>
      </w:r>
      <w:r w:rsidR="00800EC8" w:rsidRPr="00800EC8">
        <w:rPr>
          <w:rFonts w:ascii="Arial" w:hAnsi="Arial" w:cs="Arial"/>
        </w:rPr>
        <w:t>.</w:t>
      </w:r>
      <w:bookmarkStart w:id="26" w:name="_Ref78152878"/>
      <w:r w:rsidR="00800EC8" w:rsidRPr="00800EC8">
        <w:rPr>
          <w:rStyle w:val="FootnoteReference"/>
          <w:rFonts w:ascii="Arial" w:hAnsi="Arial" w:cs="Arial"/>
        </w:rPr>
        <w:footnoteReference w:id="84"/>
      </w:r>
      <w:bookmarkEnd w:id="26"/>
      <w:r w:rsidR="00800EC8" w:rsidRPr="00800EC8">
        <w:rPr>
          <w:rFonts w:ascii="Arial" w:hAnsi="Arial" w:cs="Arial"/>
        </w:rPr>
        <w:t xml:space="preserve"> </w:t>
      </w:r>
      <w:r w:rsidR="00775E40" w:rsidRPr="00800EC8">
        <w:rPr>
          <w:rFonts w:ascii="Arial" w:hAnsi="Arial" w:cs="Arial"/>
        </w:rPr>
        <w:t xml:space="preserve">While there are many cases which discuss the nature of </w:t>
      </w:r>
      <w:r w:rsidR="008F2167">
        <w:rPr>
          <w:rFonts w:ascii="Arial" w:hAnsi="Arial" w:cs="Arial"/>
        </w:rPr>
        <w:t xml:space="preserve">the </w:t>
      </w:r>
      <w:r w:rsidR="00775E40" w:rsidRPr="00800EC8">
        <w:rPr>
          <w:rFonts w:ascii="Arial" w:hAnsi="Arial" w:cs="Arial"/>
        </w:rPr>
        <w:t>privacy</w:t>
      </w:r>
      <w:r w:rsidR="008F2167">
        <w:rPr>
          <w:rFonts w:ascii="Arial" w:hAnsi="Arial" w:cs="Arial"/>
        </w:rPr>
        <w:t xml:space="preserve"> interest at large</w:t>
      </w:r>
      <w:r w:rsidR="00775E40" w:rsidRPr="00800EC8">
        <w:rPr>
          <w:rFonts w:ascii="Arial" w:hAnsi="Arial" w:cs="Arial"/>
        </w:rPr>
        <w:t xml:space="preserve">, </w:t>
      </w:r>
      <w:proofErr w:type="spellStart"/>
      <w:r w:rsidR="00775E40" w:rsidRPr="00E133C5">
        <w:rPr>
          <w:rFonts w:ascii="Arial" w:hAnsi="Arial" w:cs="Arial"/>
          <w:i/>
          <w:iCs/>
        </w:rPr>
        <w:t>Somwar</w:t>
      </w:r>
      <w:proofErr w:type="spellEnd"/>
      <w:r w:rsidR="00775E40" w:rsidRPr="00800EC8">
        <w:rPr>
          <w:rFonts w:ascii="Arial" w:hAnsi="Arial" w:cs="Arial"/>
        </w:rPr>
        <w:t xml:space="preserve"> </w:t>
      </w:r>
      <w:r w:rsidR="00A744D7">
        <w:rPr>
          <w:rFonts w:ascii="Arial" w:hAnsi="Arial" w:cs="Arial"/>
        </w:rPr>
        <w:t xml:space="preserve">is particularly relevant to this </w:t>
      </w:r>
      <w:r w:rsidR="00852151">
        <w:rPr>
          <w:rFonts w:ascii="Arial" w:hAnsi="Arial" w:cs="Arial"/>
        </w:rPr>
        <w:t>article</w:t>
      </w:r>
      <w:r w:rsidR="00A744D7">
        <w:rPr>
          <w:rFonts w:ascii="Arial" w:hAnsi="Arial" w:cs="Arial"/>
        </w:rPr>
        <w:t xml:space="preserve"> because it considers privacy in the context of a </w:t>
      </w:r>
      <w:r w:rsidR="008F2167">
        <w:rPr>
          <w:rFonts w:ascii="Arial" w:hAnsi="Arial" w:cs="Arial"/>
        </w:rPr>
        <w:t>complaint that bears ma</w:t>
      </w:r>
      <w:r w:rsidR="00281C96">
        <w:rPr>
          <w:rFonts w:ascii="Arial" w:hAnsi="Arial" w:cs="Arial"/>
        </w:rPr>
        <w:t>n</w:t>
      </w:r>
      <w:r w:rsidR="008F2167">
        <w:rPr>
          <w:rFonts w:ascii="Arial" w:hAnsi="Arial" w:cs="Arial"/>
        </w:rPr>
        <w:t xml:space="preserve">y of the hallmarks of </w:t>
      </w:r>
      <w:r w:rsidR="000171A1">
        <w:rPr>
          <w:rFonts w:ascii="Arial" w:hAnsi="Arial" w:cs="Arial"/>
        </w:rPr>
        <w:t xml:space="preserve">a </w:t>
      </w:r>
      <w:r w:rsidR="003061DB" w:rsidRPr="003061DB">
        <w:rPr>
          <w:rFonts w:ascii="Arial" w:hAnsi="Arial" w:cs="Arial"/>
          <w:i/>
          <w:iCs/>
        </w:rPr>
        <w:t>PIPEDA</w:t>
      </w:r>
      <w:r w:rsidR="008F2167">
        <w:rPr>
          <w:rFonts w:ascii="Arial" w:hAnsi="Arial" w:cs="Arial"/>
        </w:rPr>
        <w:t xml:space="preserve"> breach. </w:t>
      </w:r>
      <w:r w:rsidR="00A744D7">
        <w:rPr>
          <w:rFonts w:ascii="Arial" w:hAnsi="Arial" w:cs="Arial"/>
        </w:rPr>
        <w:t>Indeed, at</w:t>
      </w:r>
      <w:r w:rsidR="005A0C94">
        <w:rPr>
          <w:rFonts w:ascii="Arial" w:hAnsi="Arial" w:cs="Arial"/>
        </w:rPr>
        <w:t xml:space="preserve"> issue </w:t>
      </w:r>
      <w:r w:rsidR="00A744D7">
        <w:rPr>
          <w:rFonts w:ascii="Arial" w:hAnsi="Arial" w:cs="Arial"/>
        </w:rPr>
        <w:t xml:space="preserve">in </w:t>
      </w:r>
      <w:proofErr w:type="spellStart"/>
      <w:r w:rsidR="00A744D7" w:rsidRPr="00A744D7">
        <w:rPr>
          <w:rFonts w:ascii="Arial" w:hAnsi="Arial" w:cs="Arial"/>
          <w:i/>
          <w:iCs/>
        </w:rPr>
        <w:t>Somwar</w:t>
      </w:r>
      <w:proofErr w:type="spellEnd"/>
      <w:r w:rsidR="00A744D7">
        <w:rPr>
          <w:rFonts w:ascii="Arial" w:hAnsi="Arial" w:cs="Arial"/>
        </w:rPr>
        <w:t xml:space="preserve"> </w:t>
      </w:r>
      <w:r w:rsidR="005A0C94">
        <w:rPr>
          <w:rFonts w:ascii="Arial" w:hAnsi="Arial" w:cs="Arial"/>
        </w:rPr>
        <w:t xml:space="preserve">was </w:t>
      </w:r>
      <w:r w:rsidR="006F6728">
        <w:rPr>
          <w:rFonts w:ascii="Arial" w:hAnsi="Arial" w:cs="Arial"/>
        </w:rPr>
        <w:t xml:space="preserve">an </w:t>
      </w:r>
      <w:r w:rsidR="005A0C94">
        <w:rPr>
          <w:rFonts w:ascii="Arial" w:hAnsi="Arial" w:cs="Arial"/>
        </w:rPr>
        <w:t xml:space="preserve">unauthorized credit </w:t>
      </w:r>
      <w:r w:rsidR="00F17576">
        <w:rPr>
          <w:rFonts w:ascii="Arial" w:hAnsi="Arial" w:cs="Arial"/>
        </w:rPr>
        <w:t xml:space="preserve">bureau </w:t>
      </w:r>
      <w:r w:rsidR="005A0C94">
        <w:rPr>
          <w:rFonts w:ascii="Arial" w:hAnsi="Arial" w:cs="Arial"/>
        </w:rPr>
        <w:t>check</w:t>
      </w:r>
      <w:r w:rsidR="0011408D">
        <w:rPr>
          <w:rFonts w:ascii="Arial" w:hAnsi="Arial" w:cs="Arial"/>
        </w:rPr>
        <w:t>,</w:t>
      </w:r>
      <w:r w:rsidR="005A0C94">
        <w:rPr>
          <w:rStyle w:val="FootnoteReference"/>
          <w:rFonts w:ascii="Arial" w:hAnsi="Arial" w:cs="Arial"/>
        </w:rPr>
        <w:footnoteReference w:id="85"/>
      </w:r>
      <w:r w:rsidR="002946CA">
        <w:rPr>
          <w:rFonts w:ascii="Arial" w:hAnsi="Arial" w:cs="Arial"/>
        </w:rPr>
        <w:t xml:space="preserve"> similar </w:t>
      </w:r>
      <w:r w:rsidR="00D7706F">
        <w:rPr>
          <w:rFonts w:ascii="Arial" w:hAnsi="Arial" w:cs="Arial"/>
        </w:rPr>
        <w:t xml:space="preserve">or identical </w:t>
      </w:r>
      <w:r w:rsidR="002946CA">
        <w:rPr>
          <w:rFonts w:ascii="Arial" w:hAnsi="Arial" w:cs="Arial"/>
        </w:rPr>
        <w:t xml:space="preserve">to complaints about credit checks that </w:t>
      </w:r>
      <w:r w:rsidR="0017703C">
        <w:rPr>
          <w:rFonts w:ascii="Arial" w:hAnsi="Arial" w:cs="Arial"/>
        </w:rPr>
        <w:t xml:space="preserve">have since </w:t>
      </w:r>
      <w:r w:rsidR="00E133C5">
        <w:rPr>
          <w:rFonts w:ascii="Arial" w:hAnsi="Arial" w:cs="Arial"/>
        </w:rPr>
        <w:t xml:space="preserve">formed the basis of successful </w:t>
      </w:r>
      <w:r w:rsidR="00E701D5">
        <w:rPr>
          <w:rFonts w:ascii="Arial" w:hAnsi="Arial" w:cs="Arial"/>
        </w:rPr>
        <w:t>application</w:t>
      </w:r>
      <w:r w:rsidR="00073946">
        <w:rPr>
          <w:rFonts w:ascii="Arial" w:hAnsi="Arial" w:cs="Arial"/>
        </w:rPr>
        <w:t>s</w:t>
      </w:r>
      <w:r w:rsidR="00E133C5">
        <w:rPr>
          <w:rFonts w:ascii="Arial" w:hAnsi="Arial" w:cs="Arial"/>
        </w:rPr>
        <w:t xml:space="preserve"> under </w:t>
      </w:r>
      <w:r w:rsidR="003061DB" w:rsidRPr="003061DB">
        <w:rPr>
          <w:rFonts w:ascii="Arial" w:hAnsi="Arial" w:cs="Arial"/>
          <w:i/>
          <w:iCs/>
        </w:rPr>
        <w:t>PIPEDA</w:t>
      </w:r>
      <w:r w:rsidR="0012678A">
        <w:rPr>
          <w:rFonts w:ascii="Arial" w:hAnsi="Arial" w:cs="Arial"/>
          <w:i/>
          <w:iCs/>
        </w:rPr>
        <w:t>,</w:t>
      </w:r>
      <w:r w:rsidR="000C5547">
        <w:rPr>
          <w:rFonts w:ascii="Arial" w:hAnsi="Arial" w:cs="Arial"/>
        </w:rPr>
        <w:t xml:space="preserve"> in</w:t>
      </w:r>
      <w:r w:rsidR="0012678A">
        <w:rPr>
          <w:rFonts w:ascii="Arial" w:hAnsi="Arial" w:cs="Arial"/>
        </w:rPr>
        <w:t>cluding in</w:t>
      </w:r>
      <w:r w:rsidR="000C5547">
        <w:rPr>
          <w:rFonts w:ascii="Arial" w:hAnsi="Arial" w:cs="Arial"/>
        </w:rPr>
        <w:t xml:space="preserve"> </w:t>
      </w:r>
      <w:proofErr w:type="spellStart"/>
      <w:r>
        <w:rPr>
          <w:rFonts w:ascii="Arial" w:hAnsi="Arial" w:cs="Arial"/>
          <w:i/>
          <w:iCs/>
        </w:rPr>
        <w:t>Nammo</w:t>
      </w:r>
      <w:proofErr w:type="spellEnd"/>
      <w:r>
        <w:rPr>
          <w:rFonts w:ascii="Arial" w:hAnsi="Arial" w:cs="Arial"/>
          <w:i/>
          <w:iCs/>
        </w:rPr>
        <w:t xml:space="preserve"> </w:t>
      </w:r>
      <w:r>
        <w:rPr>
          <w:rFonts w:ascii="Arial" w:hAnsi="Arial" w:cs="Arial"/>
        </w:rPr>
        <w:t xml:space="preserve">and in </w:t>
      </w:r>
      <w:proofErr w:type="spellStart"/>
      <w:r w:rsidR="000C5547">
        <w:rPr>
          <w:rFonts w:ascii="Arial" w:hAnsi="Arial" w:cs="Arial"/>
          <w:i/>
          <w:iCs/>
        </w:rPr>
        <w:t>Chitrakar</w:t>
      </w:r>
      <w:proofErr w:type="spellEnd"/>
      <w:r w:rsidR="000C5547">
        <w:rPr>
          <w:rFonts w:ascii="Arial" w:hAnsi="Arial" w:cs="Arial"/>
          <w:i/>
          <w:iCs/>
        </w:rPr>
        <w:t xml:space="preserve"> v Bell TV</w:t>
      </w:r>
      <w:r w:rsidR="00B97BD5">
        <w:rPr>
          <w:rFonts w:ascii="Arial" w:hAnsi="Arial" w:cs="Arial"/>
        </w:rPr>
        <w:t>.</w:t>
      </w:r>
      <w:bookmarkStart w:id="27" w:name="_Ref78153626"/>
      <w:r w:rsidR="00E133C5">
        <w:rPr>
          <w:rStyle w:val="FootnoteReference"/>
          <w:rFonts w:ascii="Arial" w:hAnsi="Arial" w:cs="Arial"/>
        </w:rPr>
        <w:footnoteReference w:id="86"/>
      </w:r>
      <w:bookmarkEnd w:id="27"/>
      <w:r w:rsidR="000171A1">
        <w:rPr>
          <w:rFonts w:ascii="Arial" w:hAnsi="Arial" w:cs="Arial"/>
          <w:i/>
          <w:iCs/>
        </w:rPr>
        <w:t xml:space="preserve"> </w:t>
      </w:r>
      <w:r w:rsidR="00B97BD5">
        <w:rPr>
          <w:rFonts w:ascii="Arial" w:hAnsi="Arial" w:cs="Arial"/>
        </w:rPr>
        <w:t>T</w:t>
      </w:r>
      <w:r w:rsidR="00F9531D">
        <w:rPr>
          <w:rFonts w:ascii="Arial" w:hAnsi="Arial" w:cs="Arial"/>
        </w:rPr>
        <w:t xml:space="preserve">he </w:t>
      </w:r>
      <w:r w:rsidR="008F2167">
        <w:rPr>
          <w:rFonts w:ascii="Arial" w:hAnsi="Arial" w:cs="Arial"/>
        </w:rPr>
        <w:t xml:space="preserve">key </w:t>
      </w:r>
      <w:r w:rsidR="00F9531D">
        <w:rPr>
          <w:rFonts w:ascii="Arial" w:hAnsi="Arial" w:cs="Arial"/>
        </w:rPr>
        <w:t>difference</w:t>
      </w:r>
      <w:r w:rsidR="00B97BD5">
        <w:rPr>
          <w:rFonts w:ascii="Arial" w:hAnsi="Arial" w:cs="Arial"/>
        </w:rPr>
        <w:t>, however,</w:t>
      </w:r>
      <w:r w:rsidR="00A744D7">
        <w:rPr>
          <w:rFonts w:ascii="Arial" w:hAnsi="Arial" w:cs="Arial"/>
        </w:rPr>
        <w:t xml:space="preserve"> which took the </w:t>
      </w:r>
      <w:proofErr w:type="spellStart"/>
      <w:r w:rsidR="00A744D7">
        <w:rPr>
          <w:rFonts w:ascii="Arial" w:hAnsi="Arial" w:cs="Arial"/>
          <w:i/>
          <w:iCs/>
        </w:rPr>
        <w:t>Somwar</w:t>
      </w:r>
      <w:proofErr w:type="spellEnd"/>
      <w:r w:rsidR="00A744D7">
        <w:rPr>
          <w:rFonts w:ascii="Arial" w:hAnsi="Arial" w:cs="Arial"/>
          <w:i/>
          <w:iCs/>
        </w:rPr>
        <w:t xml:space="preserve"> </w:t>
      </w:r>
      <w:r w:rsidR="00A744D7">
        <w:rPr>
          <w:rFonts w:ascii="Arial" w:hAnsi="Arial" w:cs="Arial"/>
        </w:rPr>
        <w:t xml:space="preserve">matter out of </w:t>
      </w:r>
      <w:r w:rsidR="003061DB" w:rsidRPr="003061DB">
        <w:rPr>
          <w:rFonts w:ascii="Arial" w:hAnsi="Arial" w:cs="Arial"/>
          <w:i/>
          <w:iCs/>
        </w:rPr>
        <w:t>PIPEDA</w:t>
      </w:r>
      <w:r w:rsidR="00A744D7">
        <w:rPr>
          <w:rFonts w:ascii="Arial" w:hAnsi="Arial" w:cs="Arial"/>
        </w:rPr>
        <w:t xml:space="preserve"> </w:t>
      </w:r>
      <w:r w:rsidR="000171A1">
        <w:rPr>
          <w:rFonts w:ascii="Arial" w:hAnsi="Arial" w:cs="Arial"/>
        </w:rPr>
        <w:t xml:space="preserve">is this: </w:t>
      </w:r>
      <w:r w:rsidR="000C5547">
        <w:rPr>
          <w:rFonts w:ascii="Arial" w:hAnsi="Arial" w:cs="Arial"/>
        </w:rPr>
        <w:t xml:space="preserve">Whereas </w:t>
      </w:r>
      <w:proofErr w:type="spellStart"/>
      <w:r w:rsidR="00E133C5">
        <w:rPr>
          <w:rFonts w:ascii="Arial" w:hAnsi="Arial" w:cs="Arial"/>
        </w:rPr>
        <w:t>Chitrakar’s</w:t>
      </w:r>
      <w:proofErr w:type="spellEnd"/>
      <w:r w:rsidR="00E133C5">
        <w:rPr>
          <w:rFonts w:ascii="Arial" w:hAnsi="Arial" w:cs="Arial"/>
        </w:rPr>
        <w:t xml:space="preserve"> complaint </w:t>
      </w:r>
      <w:r w:rsidR="00281C96">
        <w:rPr>
          <w:rFonts w:ascii="Arial" w:hAnsi="Arial" w:cs="Arial"/>
        </w:rPr>
        <w:t>i</w:t>
      </w:r>
      <w:r w:rsidR="00E133C5">
        <w:rPr>
          <w:rFonts w:ascii="Arial" w:hAnsi="Arial" w:cs="Arial"/>
        </w:rPr>
        <w:t>nvolved a customer</w:t>
      </w:r>
      <w:r w:rsidR="005A0C94">
        <w:rPr>
          <w:rFonts w:ascii="Arial" w:hAnsi="Arial" w:cs="Arial"/>
        </w:rPr>
        <w:t>-</w:t>
      </w:r>
      <w:r w:rsidR="00E133C5">
        <w:rPr>
          <w:rFonts w:ascii="Arial" w:hAnsi="Arial" w:cs="Arial"/>
        </w:rPr>
        <w:t>business relationship</w:t>
      </w:r>
      <w:r w:rsidR="000C5547">
        <w:rPr>
          <w:rFonts w:ascii="Arial" w:hAnsi="Arial" w:cs="Arial"/>
        </w:rPr>
        <w:t xml:space="preserve">, the relationship in </w:t>
      </w:r>
      <w:proofErr w:type="spellStart"/>
      <w:r w:rsidR="000C5547" w:rsidRPr="000C5547">
        <w:rPr>
          <w:rFonts w:ascii="Arial" w:hAnsi="Arial" w:cs="Arial"/>
          <w:i/>
          <w:iCs/>
        </w:rPr>
        <w:t>Somwar</w:t>
      </w:r>
      <w:proofErr w:type="spellEnd"/>
      <w:r w:rsidR="000C5547">
        <w:rPr>
          <w:rFonts w:ascii="Arial" w:hAnsi="Arial" w:cs="Arial"/>
        </w:rPr>
        <w:t xml:space="preserve"> </w:t>
      </w:r>
      <w:r w:rsidR="005A0C94">
        <w:rPr>
          <w:rFonts w:ascii="Arial" w:hAnsi="Arial" w:cs="Arial"/>
        </w:rPr>
        <w:t xml:space="preserve">was </w:t>
      </w:r>
      <w:r w:rsidR="00E133C5">
        <w:rPr>
          <w:rFonts w:ascii="Arial" w:hAnsi="Arial" w:cs="Arial"/>
        </w:rPr>
        <w:t>employer-employee</w:t>
      </w:r>
      <w:r w:rsidR="005A0C94">
        <w:rPr>
          <w:rFonts w:ascii="Arial" w:hAnsi="Arial" w:cs="Arial"/>
        </w:rPr>
        <w:t xml:space="preserve">. </w:t>
      </w:r>
      <w:r w:rsidR="000C5547">
        <w:rPr>
          <w:rFonts w:ascii="Arial" w:hAnsi="Arial" w:cs="Arial"/>
        </w:rPr>
        <w:t>Breaches of privacy in e</w:t>
      </w:r>
      <w:r w:rsidR="005A0C94">
        <w:rPr>
          <w:rFonts w:ascii="Arial" w:hAnsi="Arial" w:cs="Arial"/>
        </w:rPr>
        <w:t xml:space="preserve">mployment relationships are </w:t>
      </w:r>
      <w:r w:rsidR="00F17576">
        <w:rPr>
          <w:rFonts w:ascii="Arial" w:hAnsi="Arial" w:cs="Arial"/>
        </w:rPr>
        <w:t xml:space="preserve">also </w:t>
      </w:r>
      <w:r w:rsidR="005A0C94">
        <w:rPr>
          <w:rFonts w:ascii="Arial" w:hAnsi="Arial" w:cs="Arial"/>
        </w:rPr>
        <w:t xml:space="preserve">caught by </w:t>
      </w:r>
      <w:r w:rsidR="003061DB" w:rsidRPr="003061DB">
        <w:rPr>
          <w:rFonts w:ascii="Arial" w:hAnsi="Arial" w:cs="Arial"/>
          <w:i/>
          <w:iCs/>
        </w:rPr>
        <w:t>PIPEDA</w:t>
      </w:r>
      <w:r w:rsidR="005A0C94">
        <w:rPr>
          <w:rFonts w:ascii="Arial" w:hAnsi="Arial" w:cs="Arial"/>
        </w:rPr>
        <w:t xml:space="preserve"> </w:t>
      </w:r>
      <w:r w:rsidR="00E133C5">
        <w:rPr>
          <w:rFonts w:ascii="Arial" w:hAnsi="Arial" w:cs="Arial"/>
        </w:rPr>
        <w:t>but only when the employer is in a federally regulated industry</w:t>
      </w:r>
      <w:r w:rsidR="0012337B">
        <w:rPr>
          <w:rFonts w:ascii="Arial" w:hAnsi="Arial" w:cs="Arial"/>
        </w:rPr>
        <w:t>,</w:t>
      </w:r>
      <w:r w:rsidR="005A0C94">
        <w:rPr>
          <w:rStyle w:val="FootnoteReference"/>
          <w:rFonts w:ascii="Arial" w:hAnsi="Arial" w:cs="Arial"/>
        </w:rPr>
        <w:footnoteReference w:id="87"/>
      </w:r>
      <w:r w:rsidR="0012337B">
        <w:rPr>
          <w:rFonts w:ascii="Arial" w:hAnsi="Arial" w:cs="Arial"/>
        </w:rPr>
        <w:t xml:space="preserve"> which was not the case here.</w:t>
      </w:r>
      <w:r w:rsidR="005A0C94">
        <w:rPr>
          <w:rFonts w:ascii="Arial" w:hAnsi="Arial" w:cs="Arial"/>
        </w:rPr>
        <w:t xml:space="preserve">   </w:t>
      </w:r>
      <w:r w:rsidR="00E133C5">
        <w:rPr>
          <w:rFonts w:ascii="Arial" w:hAnsi="Arial" w:cs="Arial"/>
        </w:rPr>
        <w:t xml:space="preserve"> </w:t>
      </w:r>
    </w:p>
    <w:p w14:paraId="79A110AB" w14:textId="1049A7A9" w:rsidR="00A63866" w:rsidRDefault="00F9531D" w:rsidP="00D753C4">
      <w:pPr>
        <w:pStyle w:val="citation-altc"/>
        <w:ind w:firstLine="720"/>
        <w:rPr>
          <w:rFonts w:ascii="Arial" w:hAnsi="Arial" w:cs="Arial"/>
        </w:rPr>
      </w:pPr>
      <w:r>
        <w:rPr>
          <w:rFonts w:ascii="Arial" w:hAnsi="Arial" w:cs="Arial"/>
        </w:rPr>
        <w:t xml:space="preserve">With </w:t>
      </w:r>
      <w:r w:rsidR="003061DB" w:rsidRPr="003061DB">
        <w:rPr>
          <w:rFonts w:ascii="Arial" w:hAnsi="Arial" w:cs="Arial"/>
          <w:i/>
          <w:iCs/>
        </w:rPr>
        <w:t>PIPEDA</w:t>
      </w:r>
      <w:r>
        <w:rPr>
          <w:rFonts w:ascii="Arial" w:hAnsi="Arial" w:cs="Arial"/>
        </w:rPr>
        <w:t xml:space="preserve"> off the table, </w:t>
      </w:r>
      <w:r w:rsidR="000C5547">
        <w:rPr>
          <w:rFonts w:ascii="Arial" w:hAnsi="Arial" w:cs="Arial"/>
        </w:rPr>
        <w:t xml:space="preserve">the plaintiff in </w:t>
      </w:r>
      <w:proofErr w:type="spellStart"/>
      <w:r w:rsidR="000C5547" w:rsidRPr="00C85740">
        <w:rPr>
          <w:rFonts w:ascii="Arial" w:hAnsi="Arial" w:cs="Arial"/>
          <w:i/>
          <w:iCs/>
        </w:rPr>
        <w:t>Somwar</w:t>
      </w:r>
      <w:proofErr w:type="spellEnd"/>
      <w:r w:rsidR="000C5547">
        <w:rPr>
          <w:rFonts w:ascii="Arial" w:hAnsi="Arial" w:cs="Arial"/>
        </w:rPr>
        <w:t xml:space="preserve"> </w:t>
      </w:r>
      <w:r w:rsidR="00F705BB">
        <w:rPr>
          <w:rFonts w:ascii="Arial" w:hAnsi="Arial" w:cs="Arial"/>
        </w:rPr>
        <w:t xml:space="preserve">presumably </w:t>
      </w:r>
      <w:r w:rsidR="000C5547">
        <w:rPr>
          <w:rFonts w:ascii="Arial" w:hAnsi="Arial" w:cs="Arial"/>
        </w:rPr>
        <w:t>had to follow a different tack</w:t>
      </w:r>
      <w:r w:rsidR="0012337B">
        <w:rPr>
          <w:rFonts w:ascii="Arial" w:hAnsi="Arial" w:cs="Arial"/>
        </w:rPr>
        <w:t xml:space="preserve"> and sought </w:t>
      </w:r>
      <w:r w:rsidR="00BA2144">
        <w:rPr>
          <w:rFonts w:ascii="Arial" w:hAnsi="Arial" w:cs="Arial"/>
        </w:rPr>
        <w:t>to establish a</w:t>
      </w:r>
      <w:r w:rsidR="00775E40">
        <w:rPr>
          <w:rFonts w:ascii="Arial" w:hAnsi="Arial" w:cs="Arial"/>
        </w:rPr>
        <w:t xml:space="preserve"> new tort of </w:t>
      </w:r>
      <w:r w:rsidR="007F4BA9">
        <w:rPr>
          <w:rFonts w:ascii="Arial" w:hAnsi="Arial" w:cs="Arial"/>
        </w:rPr>
        <w:t>invasion</w:t>
      </w:r>
      <w:r w:rsidR="00775E40">
        <w:rPr>
          <w:rFonts w:ascii="Arial" w:hAnsi="Arial" w:cs="Arial"/>
        </w:rPr>
        <w:t xml:space="preserve"> of privacy to ground his complaint.</w:t>
      </w:r>
      <w:r w:rsidR="007F4BA9">
        <w:rPr>
          <w:rFonts w:ascii="Arial" w:hAnsi="Arial" w:cs="Arial"/>
        </w:rPr>
        <w:t xml:space="preserve"> </w:t>
      </w:r>
      <w:r w:rsidR="003D5834">
        <w:rPr>
          <w:rFonts w:ascii="Arial" w:hAnsi="Arial" w:cs="Arial"/>
        </w:rPr>
        <w:t xml:space="preserve">Justice Stinson denied the defendant’s </w:t>
      </w:r>
      <w:r w:rsidR="004E1F22">
        <w:rPr>
          <w:rFonts w:ascii="Arial" w:hAnsi="Arial" w:cs="Arial"/>
        </w:rPr>
        <w:t>application to strike</w:t>
      </w:r>
      <w:r w:rsidR="003D5834">
        <w:rPr>
          <w:rFonts w:ascii="Arial" w:hAnsi="Arial" w:cs="Arial"/>
        </w:rPr>
        <w:t xml:space="preserve"> the statement of claim as disclosing no reasonable cause of action, concluding that it was not plain and </w:t>
      </w:r>
      <w:r w:rsidR="003D5834">
        <w:rPr>
          <w:rFonts w:ascii="Arial" w:hAnsi="Arial" w:cs="Arial"/>
        </w:rPr>
        <w:lastRenderedPageBreak/>
        <w:t>obvious it would fail.</w:t>
      </w:r>
      <w:r w:rsidR="00CC4BD4">
        <w:rPr>
          <w:rStyle w:val="FootnoteReference"/>
          <w:rFonts w:ascii="Arial" w:hAnsi="Arial" w:cs="Arial"/>
        </w:rPr>
        <w:footnoteReference w:id="88"/>
      </w:r>
      <w:r w:rsidR="003D5834">
        <w:rPr>
          <w:rFonts w:ascii="Arial" w:hAnsi="Arial" w:cs="Arial"/>
        </w:rPr>
        <w:t xml:space="preserve"> In discussing the contours of the </w:t>
      </w:r>
      <w:r w:rsidR="00B11899">
        <w:rPr>
          <w:rFonts w:ascii="Arial" w:hAnsi="Arial" w:cs="Arial"/>
        </w:rPr>
        <w:t>as-yet-unrecognized</w:t>
      </w:r>
      <w:r w:rsidR="003D5834">
        <w:rPr>
          <w:rFonts w:ascii="Arial" w:hAnsi="Arial" w:cs="Arial"/>
        </w:rPr>
        <w:t xml:space="preserve"> action for </w:t>
      </w:r>
      <w:r w:rsidR="007F4BA9">
        <w:rPr>
          <w:rFonts w:ascii="Arial" w:hAnsi="Arial" w:cs="Arial"/>
        </w:rPr>
        <w:t>invasion</w:t>
      </w:r>
      <w:r w:rsidR="003D5834">
        <w:rPr>
          <w:rFonts w:ascii="Arial" w:hAnsi="Arial" w:cs="Arial"/>
        </w:rPr>
        <w:t xml:space="preserve"> of privacy</w:t>
      </w:r>
      <w:r w:rsidR="0035470E">
        <w:rPr>
          <w:rFonts w:ascii="Arial" w:hAnsi="Arial" w:cs="Arial"/>
        </w:rPr>
        <w:t xml:space="preserve"> in a </w:t>
      </w:r>
      <w:r w:rsidR="008360FB">
        <w:rPr>
          <w:rFonts w:ascii="Arial" w:hAnsi="Arial" w:cs="Arial"/>
        </w:rPr>
        <w:t>commercial c</w:t>
      </w:r>
      <w:r w:rsidR="0035470E">
        <w:rPr>
          <w:rFonts w:ascii="Arial" w:hAnsi="Arial" w:cs="Arial"/>
        </w:rPr>
        <w:t>ontext</w:t>
      </w:r>
      <w:r w:rsidR="003D5834">
        <w:rPr>
          <w:rFonts w:ascii="Arial" w:hAnsi="Arial" w:cs="Arial"/>
        </w:rPr>
        <w:t xml:space="preserve">, the court </w:t>
      </w:r>
      <w:r w:rsidR="00735EF4">
        <w:rPr>
          <w:rFonts w:ascii="Arial" w:hAnsi="Arial" w:cs="Arial"/>
        </w:rPr>
        <w:t xml:space="preserve">relied </w:t>
      </w:r>
      <w:r w:rsidR="000C509D">
        <w:rPr>
          <w:rFonts w:ascii="Arial" w:hAnsi="Arial" w:cs="Arial"/>
        </w:rPr>
        <w:t>on constitutional law pronouncements from the Supreme Court of Canada</w:t>
      </w:r>
      <w:r w:rsidR="00CA79F0">
        <w:rPr>
          <w:rFonts w:ascii="Arial" w:hAnsi="Arial" w:cs="Arial"/>
        </w:rPr>
        <w:t xml:space="preserve">. </w:t>
      </w:r>
      <w:r w:rsidR="00735EF4">
        <w:rPr>
          <w:rFonts w:ascii="Arial" w:hAnsi="Arial" w:cs="Arial"/>
        </w:rPr>
        <w:t>Significantl</w:t>
      </w:r>
      <w:r w:rsidR="003D5834">
        <w:rPr>
          <w:rFonts w:ascii="Arial" w:hAnsi="Arial" w:cs="Arial"/>
        </w:rPr>
        <w:t>y</w:t>
      </w:r>
      <w:r w:rsidR="00D45236">
        <w:rPr>
          <w:rFonts w:ascii="Arial" w:hAnsi="Arial" w:cs="Arial"/>
        </w:rPr>
        <w:t xml:space="preserve">, </w:t>
      </w:r>
      <w:r w:rsidR="003D5834">
        <w:rPr>
          <w:rFonts w:ascii="Arial" w:hAnsi="Arial" w:cs="Arial"/>
        </w:rPr>
        <w:t>Justice Stinson</w:t>
      </w:r>
      <w:r w:rsidR="006C3954">
        <w:rPr>
          <w:rFonts w:ascii="Arial" w:hAnsi="Arial" w:cs="Arial"/>
        </w:rPr>
        <w:t xml:space="preserve"> </w:t>
      </w:r>
      <w:r w:rsidR="000F4A23">
        <w:rPr>
          <w:rFonts w:ascii="Arial" w:hAnsi="Arial" w:cs="Arial"/>
        </w:rPr>
        <w:t>relied on</w:t>
      </w:r>
      <w:r w:rsidR="00A63866">
        <w:rPr>
          <w:rFonts w:ascii="Arial" w:hAnsi="Arial" w:cs="Arial"/>
        </w:rPr>
        <w:t xml:space="preserve"> </w:t>
      </w:r>
      <w:r w:rsidR="006C3954">
        <w:rPr>
          <w:rFonts w:ascii="Arial" w:hAnsi="Arial" w:cs="Arial"/>
        </w:rPr>
        <w:t xml:space="preserve">the </w:t>
      </w:r>
      <w:r w:rsidR="006C3954" w:rsidRPr="005446DA">
        <w:rPr>
          <w:rFonts w:ascii="Arial" w:hAnsi="Arial" w:cs="Arial"/>
        </w:rPr>
        <w:t>Supreme Court decision</w:t>
      </w:r>
      <w:r w:rsidR="006C3954">
        <w:rPr>
          <w:rFonts w:ascii="Arial" w:hAnsi="Arial" w:cs="Arial"/>
        </w:rPr>
        <w:t xml:space="preserve"> </w:t>
      </w:r>
      <w:r w:rsidR="00F1397B">
        <w:rPr>
          <w:rFonts w:ascii="Arial" w:hAnsi="Arial" w:cs="Arial"/>
        </w:rPr>
        <w:t>in</w:t>
      </w:r>
      <w:r w:rsidR="006C3954" w:rsidRPr="005446DA">
        <w:rPr>
          <w:rFonts w:ascii="Arial" w:hAnsi="Arial" w:cs="Arial"/>
        </w:rPr>
        <w:t xml:space="preserve"> </w:t>
      </w:r>
      <w:r w:rsidR="006C3954" w:rsidRPr="00735EF4">
        <w:rPr>
          <w:rFonts w:ascii="Arial" w:hAnsi="Arial" w:cs="Arial"/>
          <w:i/>
          <w:iCs/>
        </w:rPr>
        <w:t xml:space="preserve">R v </w:t>
      </w:r>
      <w:proofErr w:type="spellStart"/>
      <w:r w:rsidR="006C3954" w:rsidRPr="00735EF4">
        <w:rPr>
          <w:rFonts w:ascii="Arial" w:hAnsi="Arial" w:cs="Arial"/>
          <w:i/>
          <w:iCs/>
        </w:rPr>
        <w:t>Dyment</w:t>
      </w:r>
      <w:proofErr w:type="spellEnd"/>
      <w:r w:rsidR="006C3954">
        <w:rPr>
          <w:rStyle w:val="FootnoteReference"/>
          <w:rFonts w:ascii="Arial" w:hAnsi="Arial" w:cs="Arial"/>
        </w:rPr>
        <w:footnoteReference w:id="89"/>
      </w:r>
      <w:r w:rsidR="006C3954">
        <w:rPr>
          <w:rFonts w:ascii="Arial" w:hAnsi="Arial" w:cs="Arial"/>
        </w:rPr>
        <w:t xml:space="preserve"> </w:t>
      </w:r>
      <w:r w:rsidR="000F4A23">
        <w:rPr>
          <w:rFonts w:ascii="Arial" w:hAnsi="Arial" w:cs="Arial"/>
        </w:rPr>
        <w:t>as affirming</w:t>
      </w:r>
      <w:r w:rsidR="006C3954">
        <w:rPr>
          <w:rFonts w:ascii="Arial" w:hAnsi="Arial" w:cs="Arial"/>
        </w:rPr>
        <w:t xml:space="preserve"> t</w:t>
      </w:r>
      <w:r w:rsidR="005446DA">
        <w:rPr>
          <w:rFonts w:ascii="Arial" w:hAnsi="Arial" w:cs="Arial"/>
        </w:rPr>
        <w:t>h</w:t>
      </w:r>
      <w:r w:rsidR="00185967">
        <w:rPr>
          <w:rFonts w:ascii="Arial" w:hAnsi="Arial" w:cs="Arial"/>
        </w:rPr>
        <w:t>e</w:t>
      </w:r>
      <w:r w:rsidR="005446DA">
        <w:rPr>
          <w:rFonts w:ascii="Arial" w:hAnsi="Arial" w:cs="Arial"/>
        </w:rPr>
        <w:t xml:space="preserve"> “</w:t>
      </w:r>
      <w:r w:rsidR="005446DA" w:rsidRPr="005446DA">
        <w:rPr>
          <w:rFonts w:ascii="Arial" w:hAnsi="Arial" w:cs="Arial"/>
        </w:rPr>
        <w:t>importance of privacy as a value worthy of constitutional protection</w:t>
      </w:r>
      <w:r w:rsidR="005446DA">
        <w:rPr>
          <w:rFonts w:ascii="Arial" w:hAnsi="Arial" w:cs="Arial"/>
        </w:rPr>
        <w:t>”</w:t>
      </w:r>
      <w:r w:rsidR="00185967">
        <w:rPr>
          <w:rStyle w:val="FootnoteReference"/>
          <w:rFonts w:ascii="Arial" w:hAnsi="Arial" w:cs="Arial"/>
        </w:rPr>
        <w:footnoteReference w:id="90"/>
      </w:r>
      <w:r w:rsidR="005446DA">
        <w:rPr>
          <w:rFonts w:ascii="Arial" w:hAnsi="Arial" w:cs="Arial"/>
        </w:rPr>
        <w:t xml:space="preserve"> </w:t>
      </w:r>
      <w:r w:rsidR="00041220">
        <w:rPr>
          <w:rFonts w:ascii="Arial" w:hAnsi="Arial" w:cs="Arial"/>
        </w:rPr>
        <w:t>and</w:t>
      </w:r>
      <w:r w:rsidR="00BE1B6B">
        <w:rPr>
          <w:rFonts w:ascii="Arial" w:hAnsi="Arial" w:cs="Arial"/>
        </w:rPr>
        <w:t xml:space="preserve"> that privacy</w:t>
      </w:r>
      <w:r w:rsidR="00041220">
        <w:rPr>
          <w:rFonts w:ascii="Arial" w:hAnsi="Arial" w:cs="Arial"/>
        </w:rPr>
        <w:t xml:space="preserve"> is based “on the notion of dignity and integrity of the individual</w:t>
      </w:r>
      <w:r w:rsidR="00CC4BD4">
        <w:rPr>
          <w:rFonts w:ascii="Arial" w:hAnsi="Arial" w:cs="Arial"/>
        </w:rPr>
        <w:t>.</w:t>
      </w:r>
      <w:r w:rsidR="00041220">
        <w:rPr>
          <w:rFonts w:ascii="Arial" w:hAnsi="Arial" w:cs="Arial"/>
        </w:rPr>
        <w:t>”</w:t>
      </w:r>
      <w:r w:rsidR="00185967">
        <w:rPr>
          <w:rStyle w:val="FootnoteReference"/>
          <w:rFonts w:ascii="Arial" w:hAnsi="Arial" w:cs="Arial"/>
        </w:rPr>
        <w:footnoteReference w:id="91"/>
      </w:r>
      <w:r w:rsidR="00BE1B6B">
        <w:rPr>
          <w:rFonts w:ascii="Arial" w:hAnsi="Arial" w:cs="Arial"/>
        </w:rPr>
        <w:t xml:space="preserve"> </w:t>
      </w:r>
      <w:r w:rsidR="00041220">
        <w:rPr>
          <w:rFonts w:ascii="Arial" w:hAnsi="Arial" w:cs="Arial"/>
        </w:rPr>
        <w:t xml:space="preserve">He also relied on </w:t>
      </w:r>
      <w:r w:rsidR="00CC4BD4">
        <w:rPr>
          <w:rFonts w:ascii="Arial" w:hAnsi="Arial" w:cs="Arial"/>
        </w:rPr>
        <w:t xml:space="preserve">the </w:t>
      </w:r>
      <w:r w:rsidR="00B11899">
        <w:rPr>
          <w:rFonts w:ascii="Arial" w:hAnsi="Arial" w:cs="Arial"/>
        </w:rPr>
        <w:t>Supreme Court of Canada</w:t>
      </w:r>
      <w:r w:rsidR="00CC4BD4">
        <w:rPr>
          <w:rFonts w:ascii="Arial" w:hAnsi="Arial" w:cs="Arial"/>
        </w:rPr>
        <w:t xml:space="preserve"> in </w:t>
      </w:r>
      <w:r w:rsidR="00CC4BD4" w:rsidRPr="00CA79F0">
        <w:rPr>
          <w:rFonts w:ascii="Arial" w:hAnsi="Arial" w:cs="Arial"/>
          <w:i/>
          <w:iCs/>
        </w:rPr>
        <w:t xml:space="preserve">Hunter v </w:t>
      </w:r>
      <w:proofErr w:type="spellStart"/>
      <w:r w:rsidR="00CC4BD4" w:rsidRPr="00CA79F0">
        <w:rPr>
          <w:rFonts w:ascii="Arial" w:hAnsi="Arial" w:cs="Arial"/>
          <w:i/>
          <w:iCs/>
        </w:rPr>
        <w:t>Southam</w:t>
      </w:r>
      <w:proofErr w:type="spellEnd"/>
      <w:r w:rsidR="00CA79F0">
        <w:rPr>
          <w:rStyle w:val="FootnoteReference"/>
          <w:rFonts w:ascii="Arial" w:hAnsi="Arial" w:cs="Arial"/>
          <w:i/>
          <w:iCs/>
        </w:rPr>
        <w:footnoteReference w:id="92"/>
      </w:r>
      <w:r w:rsidR="00D753C4">
        <w:rPr>
          <w:rFonts w:ascii="Arial" w:hAnsi="Arial" w:cs="Arial"/>
        </w:rPr>
        <w:t xml:space="preserve"> regarding S</w:t>
      </w:r>
      <w:r w:rsidR="00BA2144">
        <w:rPr>
          <w:rFonts w:ascii="Arial" w:hAnsi="Arial" w:cs="Arial"/>
        </w:rPr>
        <w:t>ection</w:t>
      </w:r>
      <w:r w:rsidR="00CC4BD4">
        <w:rPr>
          <w:rFonts w:ascii="Arial" w:hAnsi="Arial" w:cs="Arial"/>
        </w:rPr>
        <w:t xml:space="preserve"> 8 of </w:t>
      </w:r>
      <w:r w:rsidR="00D753C4">
        <w:rPr>
          <w:rFonts w:ascii="Arial" w:hAnsi="Arial" w:cs="Arial"/>
        </w:rPr>
        <w:t xml:space="preserve">the </w:t>
      </w:r>
      <w:r w:rsidR="003061DB" w:rsidRPr="003061DB">
        <w:rPr>
          <w:rFonts w:ascii="Arial" w:hAnsi="Arial" w:cs="Arial"/>
          <w:i/>
          <w:iCs/>
        </w:rPr>
        <w:t>Charter</w:t>
      </w:r>
      <w:r w:rsidR="0059694E">
        <w:rPr>
          <w:rStyle w:val="FootnoteReference"/>
          <w:rFonts w:ascii="Arial" w:hAnsi="Arial" w:cs="Arial"/>
          <w:i/>
          <w:iCs/>
        </w:rPr>
        <w:footnoteReference w:id="93"/>
      </w:r>
      <w:r w:rsidR="00CC4BD4">
        <w:rPr>
          <w:rFonts w:ascii="Arial" w:hAnsi="Arial" w:cs="Arial"/>
        </w:rPr>
        <w:t xml:space="preserve"> (</w:t>
      </w:r>
      <w:r w:rsidR="00B11899">
        <w:rPr>
          <w:rFonts w:ascii="Arial" w:hAnsi="Arial" w:cs="Arial"/>
        </w:rPr>
        <w:t xml:space="preserve">the </w:t>
      </w:r>
      <w:r w:rsidR="00CC4BD4">
        <w:rPr>
          <w:rFonts w:ascii="Arial" w:hAnsi="Arial" w:cs="Arial"/>
        </w:rPr>
        <w:t>right against unreasonable search and seizure)</w:t>
      </w:r>
      <w:r w:rsidR="00127638">
        <w:rPr>
          <w:rFonts w:ascii="Arial" w:hAnsi="Arial" w:cs="Arial"/>
        </w:rPr>
        <w:t xml:space="preserve"> as </w:t>
      </w:r>
      <w:r w:rsidR="000F4A23">
        <w:rPr>
          <w:rFonts w:ascii="Arial" w:hAnsi="Arial" w:cs="Arial"/>
        </w:rPr>
        <w:t xml:space="preserve">constitutionally </w:t>
      </w:r>
      <w:r w:rsidR="00127638">
        <w:rPr>
          <w:rFonts w:ascii="Arial" w:hAnsi="Arial" w:cs="Arial"/>
        </w:rPr>
        <w:t xml:space="preserve">embodying </w:t>
      </w:r>
      <w:r w:rsidR="000F4A23">
        <w:rPr>
          <w:rFonts w:ascii="Arial" w:hAnsi="Arial" w:cs="Arial"/>
        </w:rPr>
        <w:t>“</w:t>
      </w:r>
      <w:r w:rsidR="00CA79F0">
        <w:rPr>
          <w:rFonts w:ascii="Arial" w:hAnsi="Arial" w:cs="Arial"/>
        </w:rPr>
        <w:t>the right to be let alone by other people.”</w:t>
      </w:r>
      <w:r w:rsidR="00CA79F0">
        <w:rPr>
          <w:rStyle w:val="FootnoteReference"/>
          <w:rFonts w:ascii="Arial" w:hAnsi="Arial" w:cs="Arial"/>
        </w:rPr>
        <w:footnoteReference w:id="94"/>
      </w:r>
      <w:r w:rsidR="00CA79F0">
        <w:rPr>
          <w:rFonts w:ascii="Arial" w:hAnsi="Arial" w:cs="Arial"/>
        </w:rPr>
        <w:t xml:space="preserve"> </w:t>
      </w:r>
    </w:p>
    <w:p w14:paraId="06A310AE" w14:textId="73497751" w:rsidR="00E71C53" w:rsidRDefault="000C5547" w:rsidP="00BA2144">
      <w:pPr>
        <w:pStyle w:val="citation-altc"/>
        <w:ind w:firstLine="720"/>
        <w:rPr>
          <w:rFonts w:ascii="Arial" w:hAnsi="Arial" w:cs="Arial"/>
        </w:rPr>
      </w:pPr>
      <w:r>
        <w:rPr>
          <w:rFonts w:ascii="Arial" w:hAnsi="Arial" w:cs="Arial"/>
        </w:rPr>
        <w:t>T</w:t>
      </w:r>
      <w:r w:rsidR="00CA79F0">
        <w:rPr>
          <w:rFonts w:ascii="Arial" w:hAnsi="Arial" w:cs="Arial"/>
        </w:rPr>
        <w:t xml:space="preserve">he Ontario Court of Appeal in </w:t>
      </w:r>
      <w:r w:rsidR="00B11899">
        <w:rPr>
          <w:rFonts w:ascii="Arial" w:hAnsi="Arial" w:cs="Arial"/>
        </w:rPr>
        <w:t xml:space="preserve">the 2012 decision of </w:t>
      </w:r>
      <w:r w:rsidR="00CA79F0" w:rsidRPr="00127638">
        <w:rPr>
          <w:rFonts w:ascii="Arial" w:hAnsi="Arial" w:cs="Arial"/>
          <w:i/>
          <w:iCs/>
        </w:rPr>
        <w:t>Jones v Tsige</w:t>
      </w:r>
      <w:r w:rsidR="00CA79F0">
        <w:rPr>
          <w:rFonts w:ascii="Arial" w:hAnsi="Arial" w:cs="Arial"/>
        </w:rPr>
        <w:t xml:space="preserve"> has justifiably </w:t>
      </w:r>
      <w:r w:rsidR="00CA79F0" w:rsidRPr="00CA79F0">
        <w:rPr>
          <w:rFonts w:ascii="Arial" w:hAnsi="Arial" w:cs="Arial"/>
        </w:rPr>
        <w:t xml:space="preserve">singled out </w:t>
      </w:r>
      <w:proofErr w:type="spellStart"/>
      <w:r w:rsidR="00CA79F0" w:rsidRPr="00CA79F0">
        <w:rPr>
          <w:rFonts w:ascii="Arial" w:hAnsi="Arial" w:cs="Arial"/>
          <w:i/>
          <w:iCs/>
        </w:rPr>
        <w:t>Somwar</w:t>
      </w:r>
      <w:proofErr w:type="spellEnd"/>
      <w:r w:rsidR="00CA79F0" w:rsidRPr="00CA79F0">
        <w:rPr>
          <w:rFonts w:ascii="Arial" w:hAnsi="Arial" w:cs="Arial"/>
        </w:rPr>
        <w:t xml:space="preserve"> as containing “perhaps the most coherent and definitive pronouncement in Ontario jurisprudence of the existence of a common law tort of invasion of privacy</w:t>
      </w:r>
      <w:r w:rsidR="005D55E0">
        <w:rPr>
          <w:rFonts w:ascii="Arial" w:hAnsi="Arial" w:cs="Arial"/>
        </w:rPr>
        <w:t>….</w:t>
      </w:r>
      <w:r w:rsidR="00CA79F0" w:rsidRPr="00B11899">
        <w:rPr>
          <w:rFonts w:ascii="Arial" w:hAnsi="Arial" w:cs="Arial"/>
        </w:rPr>
        <w:t>”</w:t>
      </w:r>
      <w:r w:rsidR="00127638" w:rsidRPr="00B11899">
        <w:rPr>
          <w:rStyle w:val="FootnoteReference"/>
          <w:rFonts w:ascii="Arial" w:hAnsi="Arial" w:cs="Arial"/>
        </w:rPr>
        <w:footnoteReference w:id="95"/>
      </w:r>
      <w:r w:rsidR="00B11899" w:rsidRPr="00B11899">
        <w:rPr>
          <w:rFonts w:ascii="Arial" w:hAnsi="Arial" w:cs="Arial"/>
        </w:rPr>
        <w:t xml:space="preserve"> And</w:t>
      </w:r>
      <w:r w:rsidR="00CA79F0" w:rsidRPr="00B11899">
        <w:rPr>
          <w:rFonts w:ascii="Arial" w:hAnsi="Arial" w:cs="Arial"/>
        </w:rPr>
        <w:t xml:space="preserve"> </w:t>
      </w:r>
      <w:r w:rsidR="00CA79F0" w:rsidRPr="00B11899">
        <w:rPr>
          <w:rFonts w:ascii="Arial" w:hAnsi="Arial" w:cs="Arial"/>
          <w:i/>
          <w:iCs/>
        </w:rPr>
        <w:t>Tsige</w:t>
      </w:r>
      <w:r w:rsidR="00CA79F0" w:rsidRPr="00B11899">
        <w:rPr>
          <w:rFonts w:ascii="Arial" w:hAnsi="Arial" w:cs="Arial"/>
        </w:rPr>
        <w:t xml:space="preserve"> </w:t>
      </w:r>
      <w:r w:rsidR="005820F5">
        <w:rPr>
          <w:rFonts w:ascii="Arial" w:hAnsi="Arial" w:cs="Arial"/>
        </w:rPr>
        <w:t xml:space="preserve">– </w:t>
      </w:r>
      <w:r w:rsidR="00F1397B">
        <w:rPr>
          <w:rFonts w:ascii="Arial" w:hAnsi="Arial" w:cs="Arial"/>
        </w:rPr>
        <w:t>which recognized for the first time in Canada the privacy tort of intrusion on seclusion</w:t>
      </w:r>
      <w:r w:rsidR="00F1397B">
        <w:rPr>
          <w:rStyle w:val="FootnoteReference"/>
          <w:rFonts w:ascii="Arial" w:hAnsi="Arial" w:cs="Arial"/>
        </w:rPr>
        <w:footnoteReference w:id="96"/>
      </w:r>
      <w:r w:rsidR="005820F5" w:rsidRPr="00B11899">
        <w:rPr>
          <w:rFonts w:ascii="Arial" w:hAnsi="Arial" w:cs="Arial"/>
        </w:rPr>
        <w:t xml:space="preserve"> </w:t>
      </w:r>
      <w:r w:rsidR="005820F5">
        <w:rPr>
          <w:rFonts w:ascii="Arial" w:hAnsi="Arial" w:cs="Arial"/>
        </w:rPr>
        <w:t xml:space="preserve">– </w:t>
      </w:r>
      <w:r w:rsidR="00353BFB">
        <w:rPr>
          <w:rFonts w:ascii="Arial" w:hAnsi="Arial" w:cs="Arial"/>
        </w:rPr>
        <w:t xml:space="preserve">is </w:t>
      </w:r>
      <w:r w:rsidR="00F1397B">
        <w:rPr>
          <w:rFonts w:ascii="Arial" w:hAnsi="Arial" w:cs="Arial"/>
        </w:rPr>
        <w:t xml:space="preserve">itself </w:t>
      </w:r>
      <w:r w:rsidR="00353BFB">
        <w:rPr>
          <w:rFonts w:ascii="Arial" w:hAnsi="Arial" w:cs="Arial"/>
        </w:rPr>
        <w:t xml:space="preserve">illuminating </w:t>
      </w:r>
      <w:r w:rsidR="00F1397B">
        <w:rPr>
          <w:rFonts w:ascii="Arial" w:hAnsi="Arial" w:cs="Arial"/>
        </w:rPr>
        <w:t xml:space="preserve">in describing </w:t>
      </w:r>
      <w:r w:rsidR="00CA79F0" w:rsidRPr="00B11899">
        <w:rPr>
          <w:rFonts w:ascii="Arial" w:hAnsi="Arial" w:cs="Arial"/>
        </w:rPr>
        <w:t xml:space="preserve">the </w:t>
      </w:r>
      <w:r w:rsidR="005D55E0">
        <w:rPr>
          <w:rFonts w:ascii="Arial" w:hAnsi="Arial" w:cs="Arial"/>
        </w:rPr>
        <w:t xml:space="preserve">nature of </w:t>
      </w:r>
      <w:r w:rsidR="00CA79F0" w:rsidRPr="00B11899">
        <w:rPr>
          <w:rFonts w:ascii="Arial" w:hAnsi="Arial" w:cs="Arial"/>
        </w:rPr>
        <w:t>privacy</w:t>
      </w:r>
      <w:r w:rsidR="00F1397B">
        <w:rPr>
          <w:rFonts w:ascii="Arial" w:hAnsi="Arial" w:cs="Arial"/>
        </w:rPr>
        <w:t xml:space="preserve"> in the private s</w:t>
      </w:r>
      <w:r w:rsidR="00E701D5">
        <w:rPr>
          <w:rFonts w:ascii="Arial" w:hAnsi="Arial" w:cs="Arial"/>
        </w:rPr>
        <w:t xml:space="preserve">ector. </w:t>
      </w:r>
      <w:r w:rsidR="00F1397B">
        <w:rPr>
          <w:rFonts w:ascii="Arial" w:hAnsi="Arial" w:cs="Arial"/>
        </w:rPr>
        <w:t xml:space="preserve">It observed </w:t>
      </w:r>
      <w:r w:rsidR="00CA79F0" w:rsidRPr="00B11899">
        <w:rPr>
          <w:rFonts w:ascii="Arial" w:hAnsi="Arial" w:cs="Arial"/>
        </w:rPr>
        <w:t xml:space="preserve">that </w:t>
      </w:r>
      <w:r w:rsidR="00370766" w:rsidRPr="00B11899">
        <w:rPr>
          <w:rFonts w:ascii="Arial" w:hAnsi="Arial" w:cs="Arial"/>
        </w:rPr>
        <w:t>“</w:t>
      </w:r>
      <w:r w:rsidR="003061DB" w:rsidRPr="003061DB">
        <w:rPr>
          <w:rFonts w:ascii="Arial" w:hAnsi="Arial" w:cs="Arial"/>
          <w:i/>
          <w:iCs/>
        </w:rPr>
        <w:t>Charter</w:t>
      </w:r>
      <w:r w:rsidR="00370766" w:rsidRPr="00B11899">
        <w:rPr>
          <w:rFonts w:ascii="Arial" w:hAnsi="Arial" w:cs="Arial"/>
        </w:rPr>
        <w:t xml:space="preserve"> </w:t>
      </w:r>
      <w:r w:rsidR="00370766" w:rsidRPr="008360FB">
        <w:rPr>
          <w:rFonts w:ascii="Arial" w:hAnsi="Arial" w:cs="Arial"/>
        </w:rPr>
        <w:t>jurisprudence identifies privacy as being worthy of constitutional protection and integral to an individual's relationship with the rest of society and the state</w:t>
      </w:r>
      <w:r w:rsidR="00B11899" w:rsidRPr="008360FB">
        <w:rPr>
          <w:rFonts w:ascii="Arial" w:hAnsi="Arial" w:cs="Arial"/>
        </w:rPr>
        <w:t>.</w:t>
      </w:r>
      <w:r w:rsidR="00370766" w:rsidRPr="008360FB">
        <w:rPr>
          <w:rFonts w:ascii="Arial" w:hAnsi="Arial" w:cs="Arial"/>
        </w:rPr>
        <w:t>”</w:t>
      </w:r>
      <w:r w:rsidR="00B11899" w:rsidRPr="008360FB">
        <w:rPr>
          <w:rStyle w:val="FootnoteReference"/>
          <w:rFonts w:ascii="Arial" w:hAnsi="Arial" w:cs="Arial"/>
        </w:rPr>
        <w:footnoteReference w:id="97"/>
      </w:r>
      <w:r w:rsidR="0035470E" w:rsidRPr="008360FB">
        <w:rPr>
          <w:rFonts w:ascii="Arial" w:hAnsi="Arial" w:cs="Arial"/>
        </w:rPr>
        <w:t xml:space="preserve"> </w:t>
      </w:r>
      <w:r w:rsidR="005D55E0">
        <w:rPr>
          <w:rFonts w:ascii="Arial" w:hAnsi="Arial" w:cs="Arial"/>
        </w:rPr>
        <w:t xml:space="preserve">It also </w:t>
      </w:r>
      <w:r w:rsidR="008360FB" w:rsidRPr="008360FB">
        <w:rPr>
          <w:rFonts w:ascii="Arial" w:hAnsi="Arial" w:cs="Arial"/>
        </w:rPr>
        <w:t>quoted with approval Justice Binnie’s definition of informational privacy</w:t>
      </w:r>
      <w:r w:rsidR="005820F5" w:rsidRPr="00B11899">
        <w:rPr>
          <w:rFonts w:ascii="Arial" w:hAnsi="Arial" w:cs="Arial"/>
        </w:rPr>
        <w:t xml:space="preserve"> </w:t>
      </w:r>
      <w:r w:rsidR="005820F5">
        <w:rPr>
          <w:rFonts w:ascii="Arial" w:hAnsi="Arial" w:cs="Arial"/>
        </w:rPr>
        <w:t xml:space="preserve">– </w:t>
      </w:r>
      <w:r w:rsidR="005D55E0">
        <w:rPr>
          <w:rFonts w:ascii="Arial" w:hAnsi="Arial" w:cs="Arial"/>
        </w:rPr>
        <w:t xml:space="preserve">which forms </w:t>
      </w:r>
      <w:r w:rsidR="00823170">
        <w:rPr>
          <w:rFonts w:ascii="Arial" w:hAnsi="Arial" w:cs="Arial"/>
        </w:rPr>
        <w:t>an important</w:t>
      </w:r>
      <w:r w:rsidR="005D55E0">
        <w:rPr>
          <w:rFonts w:ascii="Arial" w:hAnsi="Arial" w:cs="Arial"/>
        </w:rPr>
        <w:t xml:space="preserve"> core of </w:t>
      </w:r>
      <w:r w:rsidR="003061DB" w:rsidRPr="003061DB">
        <w:rPr>
          <w:rFonts w:ascii="Arial" w:hAnsi="Arial" w:cs="Arial"/>
          <w:i/>
          <w:iCs/>
        </w:rPr>
        <w:t>PIPEDA</w:t>
      </w:r>
      <w:r w:rsidR="005D55E0">
        <w:rPr>
          <w:rFonts w:ascii="Arial" w:hAnsi="Arial" w:cs="Arial"/>
        </w:rPr>
        <w:t xml:space="preserve"> </w:t>
      </w:r>
      <w:r w:rsidR="005820F5">
        <w:rPr>
          <w:rFonts w:ascii="Arial" w:hAnsi="Arial" w:cs="Arial"/>
        </w:rPr>
        <w:t xml:space="preserve">– </w:t>
      </w:r>
      <w:r w:rsidR="008360FB" w:rsidRPr="008360FB">
        <w:rPr>
          <w:rFonts w:ascii="Arial" w:hAnsi="Arial" w:cs="Arial"/>
        </w:rPr>
        <w:t>as "the claim of individuals, groups, or institutions to determine for themselves when, how, and to what extent information about them is communicated to others</w:t>
      </w:r>
      <w:r w:rsidR="005D7BB4">
        <w:rPr>
          <w:rFonts w:ascii="Arial" w:hAnsi="Arial" w:cs="Arial"/>
        </w:rPr>
        <w:t>.</w:t>
      </w:r>
      <w:r w:rsidR="008360FB" w:rsidRPr="008360FB">
        <w:rPr>
          <w:rFonts w:ascii="Arial" w:hAnsi="Arial" w:cs="Arial"/>
        </w:rPr>
        <w:t>"</w:t>
      </w:r>
      <w:r w:rsidR="008360FB" w:rsidRPr="008360FB">
        <w:rPr>
          <w:rStyle w:val="FootnoteReference"/>
          <w:rFonts w:ascii="Arial" w:hAnsi="Arial" w:cs="Arial"/>
        </w:rPr>
        <w:footnoteReference w:id="98"/>
      </w:r>
      <w:r w:rsidR="005D7BB4">
        <w:rPr>
          <w:rFonts w:ascii="Arial" w:hAnsi="Arial" w:cs="Arial"/>
        </w:rPr>
        <w:t xml:space="preserve"> </w:t>
      </w:r>
      <w:r w:rsidR="00BA2144">
        <w:rPr>
          <w:rFonts w:ascii="Arial" w:hAnsi="Arial" w:cs="Arial"/>
          <w:i/>
          <w:iCs/>
        </w:rPr>
        <w:t>Tsige</w:t>
      </w:r>
      <w:r w:rsidR="005D7BB4">
        <w:rPr>
          <w:rFonts w:ascii="Arial" w:hAnsi="Arial" w:cs="Arial"/>
        </w:rPr>
        <w:t xml:space="preserve"> went on to observe how </w:t>
      </w:r>
      <w:r w:rsidR="003061DB" w:rsidRPr="003061DB">
        <w:rPr>
          <w:rFonts w:ascii="Arial" w:hAnsi="Arial" w:cs="Arial"/>
          <w:i/>
          <w:iCs/>
        </w:rPr>
        <w:t>Charter</w:t>
      </w:r>
      <w:r w:rsidR="005D7BB4">
        <w:rPr>
          <w:rFonts w:ascii="Arial" w:hAnsi="Arial" w:cs="Arial"/>
        </w:rPr>
        <w:t xml:space="preserve"> jurisprudence identifies a right to information privacy “as worthy of protection.”</w:t>
      </w:r>
      <w:r w:rsidR="005D7BB4">
        <w:rPr>
          <w:rStyle w:val="FootnoteReference"/>
          <w:rFonts w:ascii="Arial" w:hAnsi="Arial" w:cs="Arial"/>
        </w:rPr>
        <w:footnoteReference w:id="99"/>
      </w:r>
    </w:p>
    <w:p w14:paraId="0E3FCF7D" w14:textId="5FB9FF74" w:rsidR="006A7601" w:rsidRPr="005D55E0" w:rsidRDefault="00281C96" w:rsidP="00BA2144">
      <w:pPr>
        <w:pStyle w:val="paranondepar-altn"/>
        <w:ind w:firstLine="720"/>
        <w:rPr>
          <w:rFonts w:ascii="Arial" w:hAnsi="Arial" w:cs="Arial"/>
        </w:rPr>
      </w:pPr>
      <w:r>
        <w:rPr>
          <w:rFonts w:ascii="Arial" w:hAnsi="Arial" w:cs="Arial"/>
        </w:rPr>
        <w:t>More recently</w:t>
      </w:r>
      <w:r w:rsidR="005D55E0">
        <w:rPr>
          <w:rFonts w:ascii="Arial" w:hAnsi="Arial" w:cs="Arial"/>
        </w:rPr>
        <w:t xml:space="preserve">, </w:t>
      </w:r>
      <w:r w:rsidR="00357A85">
        <w:rPr>
          <w:rFonts w:ascii="Arial" w:hAnsi="Arial" w:cs="Arial"/>
        </w:rPr>
        <w:t xml:space="preserve">the </w:t>
      </w:r>
      <w:r w:rsidR="00CD11EC">
        <w:rPr>
          <w:rFonts w:ascii="Arial" w:hAnsi="Arial" w:cs="Arial"/>
        </w:rPr>
        <w:t xml:space="preserve">majority </w:t>
      </w:r>
      <w:r>
        <w:rPr>
          <w:rFonts w:ascii="Arial" w:hAnsi="Arial" w:cs="Arial"/>
        </w:rPr>
        <w:t xml:space="preserve">judgment </w:t>
      </w:r>
      <w:r w:rsidR="00CD11EC">
        <w:rPr>
          <w:rFonts w:ascii="Arial" w:hAnsi="Arial" w:cs="Arial"/>
        </w:rPr>
        <w:t xml:space="preserve">of </w:t>
      </w:r>
      <w:r>
        <w:rPr>
          <w:rFonts w:ascii="Arial" w:hAnsi="Arial" w:cs="Arial"/>
        </w:rPr>
        <w:t xml:space="preserve">the </w:t>
      </w:r>
      <w:r w:rsidR="00357A85">
        <w:rPr>
          <w:rFonts w:ascii="Arial" w:hAnsi="Arial" w:cs="Arial"/>
        </w:rPr>
        <w:t xml:space="preserve">Supreme Court of Canada in </w:t>
      </w:r>
      <w:r w:rsidR="00030101">
        <w:rPr>
          <w:rFonts w:ascii="Arial" w:hAnsi="Arial" w:cs="Arial"/>
        </w:rPr>
        <w:t xml:space="preserve">the </w:t>
      </w:r>
      <w:r w:rsidR="00DB6962">
        <w:rPr>
          <w:rFonts w:ascii="Arial" w:hAnsi="Arial" w:cs="Arial"/>
        </w:rPr>
        <w:t xml:space="preserve">2017 decision </w:t>
      </w:r>
      <w:r w:rsidR="00030101">
        <w:rPr>
          <w:rFonts w:ascii="Arial" w:hAnsi="Arial" w:cs="Arial"/>
        </w:rPr>
        <w:t xml:space="preserve">of </w:t>
      </w:r>
      <w:proofErr w:type="spellStart"/>
      <w:r w:rsidR="00357A85" w:rsidRPr="00131887">
        <w:rPr>
          <w:rFonts w:ascii="Arial" w:hAnsi="Arial" w:cs="Arial"/>
          <w:i/>
          <w:iCs/>
        </w:rPr>
        <w:t>Douez</w:t>
      </w:r>
      <w:proofErr w:type="spellEnd"/>
      <w:r w:rsidR="00BA2144">
        <w:rPr>
          <w:rFonts w:ascii="Arial" w:hAnsi="Arial" w:cs="Arial"/>
          <w:i/>
          <w:iCs/>
        </w:rPr>
        <w:t xml:space="preserve"> v Facebook </w:t>
      </w:r>
      <w:r>
        <w:rPr>
          <w:rFonts w:ascii="Arial" w:hAnsi="Arial" w:cs="Arial"/>
        </w:rPr>
        <w:t xml:space="preserve">confirmed that </w:t>
      </w:r>
      <w:r w:rsidR="008360FB">
        <w:rPr>
          <w:rFonts w:ascii="Arial" w:hAnsi="Arial" w:cs="Arial"/>
        </w:rPr>
        <w:t xml:space="preserve">statutory </w:t>
      </w:r>
      <w:r w:rsidR="00CD11EC">
        <w:rPr>
          <w:rFonts w:ascii="Arial" w:hAnsi="Arial" w:cs="Arial"/>
        </w:rPr>
        <w:t xml:space="preserve">privacy </w:t>
      </w:r>
      <w:r w:rsidR="008360FB">
        <w:rPr>
          <w:rFonts w:ascii="Arial" w:hAnsi="Arial" w:cs="Arial"/>
        </w:rPr>
        <w:t>rights have</w:t>
      </w:r>
      <w:r w:rsidR="00CD11EC">
        <w:rPr>
          <w:rFonts w:ascii="Arial" w:hAnsi="Arial" w:cs="Arial"/>
        </w:rPr>
        <w:t xml:space="preserve"> “been accorded quasi-constitutional status;”</w:t>
      </w:r>
      <w:bookmarkStart w:id="28" w:name="_Ref78153048"/>
      <w:r w:rsidR="00CD11EC">
        <w:rPr>
          <w:rStyle w:val="FootnoteReference"/>
          <w:rFonts w:ascii="Arial" w:hAnsi="Arial" w:cs="Arial"/>
        </w:rPr>
        <w:footnoteReference w:id="100"/>
      </w:r>
      <w:bookmarkEnd w:id="28"/>
      <w:r w:rsidR="00CD11EC">
        <w:rPr>
          <w:rFonts w:ascii="Arial" w:hAnsi="Arial" w:cs="Arial"/>
        </w:rPr>
        <w:t xml:space="preserve"> </w:t>
      </w:r>
      <w:r w:rsidR="00357A85">
        <w:rPr>
          <w:rFonts w:ascii="Arial" w:hAnsi="Arial" w:cs="Arial"/>
        </w:rPr>
        <w:t xml:space="preserve">reiterated </w:t>
      </w:r>
      <w:r w:rsidR="00CD11EC">
        <w:rPr>
          <w:rFonts w:ascii="Arial" w:hAnsi="Arial" w:cs="Arial"/>
        </w:rPr>
        <w:t>the</w:t>
      </w:r>
      <w:r w:rsidR="00357A85">
        <w:rPr>
          <w:rFonts w:ascii="Arial" w:hAnsi="Arial" w:cs="Arial"/>
        </w:rPr>
        <w:t xml:space="preserve"> importance</w:t>
      </w:r>
      <w:r w:rsidR="00CD11EC">
        <w:rPr>
          <w:rFonts w:ascii="Arial" w:hAnsi="Arial" w:cs="Arial"/>
        </w:rPr>
        <w:t xml:space="preserve"> of privacy and its “role</w:t>
      </w:r>
      <w:r w:rsidR="00357A85" w:rsidRPr="0084753F">
        <w:rPr>
          <w:rFonts w:ascii="Arial" w:hAnsi="Arial" w:cs="Arial"/>
        </w:rPr>
        <w:t xml:space="preserve"> </w:t>
      </w:r>
      <w:r w:rsidR="00357A85" w:rsidRPr="0084753F">
        <w:rPr>
          <w:rFonts w:ascii="Arial" w:hAnsi="Arial" w:cs="Arial"/>
        </w:rPr>
        <w:lastRenderedPageBreak/>
        <w:t>protecting one’s physical and moral autonomy”</w:t>
      </w:r>
      <w:r w:rsidR="00357A85" w:rsidRPr="0084753F">
        <w:rPr>
          <w:rStyle w:val="FootnoteReference"/>
          <w:rFonts w:ascii="Arial" w:hAnsi="Arial" w:cs="Arial"/>
        </w:rPr>
        <w:footnoteReference w:id="101"/>
      </w:r>
      <w:r w:rsidR="00357A85">
        <w:rPr>
          <w:rFonts w:ascii="Arial" w:hAnsi="Arial" w:cs="Arial"/>
        </w:rPr>
        <w:t xml:space="preserve"> and, in the context of a forum selection clause</w:t>
      </w:r>
      <w:r>
        <w:rPr>
          <w:rFonts w:ascii="Arial" w:hAnsi="Arial" w:cs="Arial"/>
        </w:rPr>
        <w:t>,</w:t>
      </w:r>
      <w:r w:rsidR="00357A85">
        <w:rPr>
          <w:rFonts w:ascii="Arial" w:hAnsi="Arial" w:cs="Arial"/>
        </w:rPr>
        <w:t xml:space="preserve"> emphasized its adjudication as a matter of public policy.</w:t>
      </w:r>
      <w:r w:rsidR="00357A85">
        <w:rPr>
          <w:rStyle w:val="FootnoteReference"/>
          <w:rFonts w:ascii="Arial" w:hAnsi="Arial" w:cs="Arial"/>
        </w:rPr>
        <w:footnoteReference w:id="102"/>
      </w:r>
      <w:r w:rsidR="00357A85">
        <w:rPr>
          <w:rFonts w:ascii="Arial" w:hAnsi="Arial" w:cs="Arial"/>
        </w:rPr>
        <w:t xml:space="preserve"> </w:t>
      </w:r>
      <w:r>
        <w:rPr>
          <w:rFonts w:ascii="Arial" w:hAnsi="Arial" w:cs="Arial"/>
        </w:rPr>
        <w:t>Following a similar tack,</w:t>
      </w:r>
      <w:r w:rsidR="008360FB">
        <w:rPr>
          <w:rFonts w:ascii="Arial" w:hAnsi="Arial" w:cs="Arial"/>
        </w:rPr>
        <w:t xml:space="preserve"> </w:t>
      </w:r>
      <w:r w:rsidR="00CD11EC">
        <w:rPr>
          <w:rFonts w:ascii="Arial" w:hAnsi="Arial" w:cs="Arial"/>
        </w:rPr>
        <w:t xml:space="preserve">Justice </w:t>
      </w:r>
      <w:proofErr w:type="spellStart"/>
      <w:r w:rsidR="00CD11EC">
        <w:rPr>
          <w:rFonts w:ascii="Arial" w:hAnsi="Arial" w:cs="Arial"/>
        </w:rPr>
        <w:t>Abella</w:t>
      </w:r>
      <w:r w:rsidR="00FD29BD">
        <w:rPr>
          <w:rFonts w:ascii="Arial" w:hAnsi="Arial" w:cs="Arial"/>
        </w:rPr>
        <w:t>’s</w:t>
      </w:r>
      <w:proofErr w:type="spellEnd"/>
      <w:r w:rsidR="00FD29BD">
        <w:rPr>
          <w:rFonts w:ascii="Arial" w:hAnsi="Arial" w:cs="Arial"/>
        </w:rPr>
        <w:t xml:space="preserve"> </w:t>
      </w:r>
      <w:r w:rsidR="00BD5039">
        <w:rPr>
          <w:rFonts w:ascii="Arial" w:hAnsi="Arial" w:cs="Arial"/>
        </w:rPr>
        <w:t xml:space="preserve">concurring </w:t>
      </w:r>
      <w:r w:rsidR="00FD29BD">
        <w:rPr>
          <w:rFonts w:ascii="Arial" w:hAnsi="Arial" w:cs="Arial"/>
        </w:rPr>
        <w:t>judgment</w:t>
      </w:r>
      <w:r w:rsidR="00CD11EC">
        <w:rPr>
          <w:rFonts w:ascii="Arial" w:hAnsi="Arial" w:cs="Arial"/>
        </w:rPr>
        <w:t xml:space="preserve"> </w:t>
      </w:r>
      <w:r w:rsidR="00DA135A">
        <w:rPr>
          <w:rFonts w:ascii="Arial" w:hAnsi="Arial" w:cs="Arial"/>
        </w:rPr>
        <w:t xml:space="preserve">in </w:t>
      </w:r>
      <w:proofErr w:type="spellStart"/>
      <w:r w:rsidR="00DA135A" w:rsidRPr="00DA135A">
        <w:rPr>
          <w:rFonts w:ascii="Arial" w:hAnsi="Arial" w:cs="Arial"/>
          <w:i/>
          <w:iCs/>
        </w:rPr>
        <w:t>Douez</w:t>
      </w:r>
      <w:proofErr w:type="spellEnd"/>
      <w:r w:rsidR="00357A85">
        <w:rPr>
          <w:rFonts w:ascii="Arial" w:hAnsi="Arial" w:cs="Arial"/>
        </w:rPr>
        <w:t xml:space="preserve"> </w:t>
      </w:r>
      <w:r>
        <w:rPr>
          <w:rFonts w:ascii="Arial" w:hAnsi="Arial" w:cs="Arial"/>
        </w:rPr>
        <w:t>stress</w:t>
      </w:r>
      <w:r w:rsidR="005D55E0">
        <w:rPr>
          <w:rFonts w:ascii="Arial" w:hAnsi="Arial" w:cs="Arial"/>
        </w:rPr>
        <w:t xml:space="preserve">ed </w:t>
      </w:r>
      <w:r w:rsidR="00790023">
        <w:rPr>
          <w:rFonts w:ascii="Arial" w:hAnsi="Arial" w:cs="Arial"/>
        </w:rPr>
        <w:t>the</w:t>
      </w:r>
      <w:r w:rsidR="008360FB">
        <w:rPr>
          <w:rFonts w:ascii="Arial" w:hAnsi="Arial" w:cs="Arial"/>
        </w:rPr>
        <w:t xml:space="preserve"> </w:t>
      </w:r>
      <w:r w:rsidR="00643FB6">
        <w:rPr>
          <w:rFonts w:ascii="Arial" w:hAnsi="Arial" w:cs="Arial"/>
        </w:rPr>
        <w:t xml:space="preserve">quasi-constitutional </w:t>
      </w:r>
      <w:r w:rsidR="00D45236">
        <w:rPr>
          <w:rFonts w:ascii="Arial" w:hAnsi="Arial" w:cs="Arial"/>
        </w:rPr>
        <w:t>quality</w:t>
      </w:r>
      <w:r w:rsidR="00790023">
        <w:rPr>
          <w:rFonts w:ascii="Arial" w:hAnsi="Arial" w:cs="Arial"/>
        </w:rPr>
        <w:t xml:space="preserve"> of privacy legislation </w:t>
      </w:r>
      <w:r>
        <w:rPr>
          <w:rFonts w:ascii="Arial" w:hAnsi="Arial" w:cs="Arial"/>
        </w:rPr>
        <w:t xml:space="preserve">which protects personal information </w:t>
      </w:r>
      <w:r w:rsidR="00790023">
        <w:rPr>
          <w:rFonts w:ascii="Arial" w:hAnsi="Arial" w:cs="Arial"/>
        </w:rPr>
        <w:t xml:space="preserve">by quoting with approval the following passage from </w:t>
      </w:r>
      <w:r w:rsidR="00790023" w:rsidRPr="005D55E0">
        <w:rPr>
          <w:rStyle w:val="reflex"/>
          <w:rFonts w:ascii="Arial" w:hAnsi="Arial" w:cs="Arial"/>
          <w:i/>
          <w:iCs/>
        </w:rPr>
        <w:t xml:space="preserve">Alberta (Information and </w:t>
      </w:r>
      <w:r w:rsidR="00790023" w:rsidRPr="005D55E0">
        <w:rPr>
          <w:rStyle w:val="solexhl"/>
          <w:rFonts w:ascii="Arial" w:hAnsi="Arial" w:cs="Arial"/>
          <w:i/>
          <w:iCs/>
        </w:rPr>
        <w:t>Privacy</w:t>
      </w:r>
      <w:r w:rsidR="00790023" w:rsidRPr="005D55E0">
        <w:rPr>
          <w:rStyle w:val="reflex"/>
          <w:rFonts w:ascii="Arial" w:hAnsi="Arial" w:cs="Arial"/>
          <w:i/>
          <w:iCs/>
        </w:rPr>
        <w:t xml:space="preserve"> Commissioner) v. United Food and Commercial Workers, Local 401</w:t>
      </w:r>
      <w:r w:rsidR="00BA2144">
        <w:rPr>
          <w:rStyle w:val="reflex"/>
          <w:rFonts w:ascii="Arial" w:hAnsi="Arial" w:cs="Arial"/>
        </w:rPr>
        <w:t>:</w:t>
      </w:r>
      <w:r w:rsidR="00906249" w:rsidRPr="00BA2144">
        <w:rPr>
          <w:rStyle w:val="FootnoteReference"/>
          <w:rFonts w:ascii="Arial" w:hAnsi="Arial" w:cs="Arial"/>
        </w:rPr>
        <w:footnoteReference w:id="103"/>
      </w:r>
      <w:r w:rsidR="00CD11EC" w:rsidRPr="005D55E0">
        <w:rPr>
          <w:rFonts w:ascii="Arial" w:hAnsi="Arial" w:cs="Arial"/>
        </w:rPr>
        <w:t xml:space="preserve"> </w:t>
      </w:r>
      <w:r w:rsidR="00357A85" w:rsidRPr="005D55E0">
        <w:rPr>
          <w:rFonts w:ascii="Arial" w:hAnsi="Arial" w:cs="Arial"/>
        </w:rPr>
        <w:t xml:space="preserve"> </w:t>
      </w:r>
    </w:p>
    <w:p w14:paraId="06D28B18" w14:textId="4BCA08B1" w:rsidR="00537739" w:rsidRDefault="006A7601" w:rsidP="006E05EB">
      <w:pPr>
        <w:pStyle w:val="citation-altc"/>
        <w:ind w:left="720"/>
        <w:rPr>
          <w:rFonts w:ascii="Arial" w:hAnsi="Arial" w:cs="Arial"/>
        </w:rPr>
      </w:pPr>
      <w:r w:rsidRPr="006A7601">
        <w:rPr>
          <w:rFonts w:ascii="Arial" w:hAnsi="Arial" w:cs="Arial"/>
        </w:rPr>
        <w:t xml:space="preserve">The ability of individuals to control their personal information is intimately connected to their individual autonomy, dignity and </w:t>
      </w:r>
      <w:r w:rsidRPr="006A7601">
        <w:rPr>
          <w:rStyle w:val="solexhl"/>
          <w:rFonts w:ascii="Arial" w:hAnsi="Arial" w:cs="Arial"/>
        </w:rPr>
        <w:t>privacy</w:t>
      </w:r>
      <w:r w:rsidRPr="006A7601">
        <w:rPr>
          <w:rFonts w:ascii="Arial" w:hAnsi="Arial" w:cs="Arial"/>
        </w:rPr>
        <w:t xml:space="preserve">. These are fundamental values that lie at the heart of a democracy. As this Court has previously recognized, legislation which aims to protect control over personal information should be characterized as “quasi-constitutional” because of the fundamental role </w:t>
      </w:r>
      <w:r w:rsidRPr="006A7601">
        <w:rPr>
          <w:rStyle w:val="solexhl"/>
          <w:rFonts w:ascii="Arial" w:hAnsi="Arial" w:cs="Arial"/>
        </w:rPr>
        <w:t>privacy</w:t>
      </w:r>
      <w:r w:rsidRPr="006A7601">
        <w:rPr>
          <w:rFonts w:ascii="Arial" w:hAnsi="Arial" w:cs="Arial"/>
        </w:rPr>
        <w:t xml:space="preserve"> plays in the preservation of a fre</w:t>
      </w:r>
      <w:r w:rsidR="00BA2144">
        <w:rPr>
          <w:rFonts w:ascii="Arial" w:hAnsi="Arial" w:cs="Arial"/>
        </w:rPr>
        <w:t>e and democratic society…</w:t>
      </w:r>
      <w:r w:rsidR="00DF6F92">
        <w:rPr>
          <w:rFonts w:ascii="Arial" w:hAnsi="Arial" w:cs="Arial"/>
        </w:rPr>
        <w:t>.</w:t>
      </w:r>
      <w:r w:rsidRPr="0084753F">
        <w:rPr>
          <w:rStyle w:val="FootnoteReference"/>
          <w:rFonts w:ascii="Arial" w:hAnsi="Arial" w:cs="Arial"/>
        </w:rPr>
        <w:footnoteReference w:id="104"/>
      </w:r>
    </w:p>
    <w:p w14:paraId="390B9D46" w14:textId="3BEB7491" w:rsidR="00F17576" w:rsidRPr="00F9531D" w:rsidRDefault="00F71861" w:rsidP="005D55E0">
      <w:pPr>
        <w:pStyle w:val="citation-altc"/>
        <w:ind w:firstLine="480"/>
        <w:rPr>
          <w:rFonts w:ascii="Arial" w:hAnsi="Arial" w:cs="Arial"/>
        </w:rPr>
      </w:pPr>
      <w:r>
        <w:rPr>
          <w:rFonts w:ascii="Arial" w:hAnsi="Arial" w:cs="Arial"/>
        </w:rPr>
        <w:t xml:space="preserve">In </w:t>
      </w:r>
      <w:r w:rsidR="005D55E0">
        <w:rPr>
          <w:rFonts w:ascii="Arial" w:hAnsi="Arial" w:cs="Arial"/>
        </w:rPr>
        <w:t xml:space="preserve">all these </w:t>
      </w:r>
      <w:r>
        <w:rPr>
          <w:rFonts w:ascii="Arial" w:hAnsi="Arial" w:cs="Arial"/>
        </w:rPr>
        <w:t>way</w:t>
      </w:r>
      <w:r w:rsidR="005D55E0">
        <w:rPr>
          <w:rFonts w:ascii="Arial" w:hAnsi="Arial" w:cs="Arial"/>
        </w:rPr>
        <w:t>s</w:t>
      </w:r>
      <w:r>
        <w:rPr>
          <w:rFonts w:ascii="Arial" w:hAnsi="Arial" w:cs="Arial"/>
        </w:rPr>
        <w:t xml:space="preserve">, privacy interests advanced in a purely private law context, including through </w:t>
      </w:r>
      <w:r w:rsidR="003061DB" w:rsidRPr="003061DB">
        <w:rPr>
          <w:rFonts w:ascii="Arial" w:hAnsi="Arial" w:cs="Arial"/>
          <w:i/>
          <w:iCs/>
        </w:rPr>
        <w:t>PIPEDA</w:t>
      </w:r>
      <w:r>
        <w:rPr>
          <w:rFonts w:ascii="Arial" w:hAnsi="Arial" w:cs="Arial"/>
        </w:rPr>
        <w:t>, invoke and reflect constitutional values even though</w:t>
      </w:r>
      <w:r w:rsidR="005D55E0">
        <w:rPr>
          <w:rFonts w:ascii="Arial" w:hAnsi="Arial" w:cs="Arial"/>
        </w:rPr>
        <w:t>, ironically,</w:t>
      </w:r>
      <w:r>
        <w:rPr>
          <w:rFonts w:ascii="Arial" w:hAnsi="Arial" w:cs="Arial"/>
        </w:rPr>
        <w:t xml:space="preserve"> the </w:t>
      </w:r>
      <w:r w:rsidR="003061DB" w:rsidRPr="003061DB">
        <w:rPr>
          <w:rFonts w:ascii="Arial" w:hAnsi="Arial" w:cs="Arial"/>
          <w:i/>
          <w:iCs/>
        </w:rPr>
        <w:t>Charter</w:t>
      </w:r>
      <w:r>
        <w:rPr>
          <w:rFonts w:ascii="Arial" w:hAnsi="Arial" w:cs="Arial"/>
        </w:rPr>
        <w:t xml:space="preserve"> does not directly apply to such disputes</w:t>
      </w:r>
      <w:r>
        <w:rPr>
          <w:rStyle w:val="FootnoteReference"/>
          <w:rFonts w:ascii="Arial" w:hAnsi="Arial" w:cs="Arial"/>
        </w:rPr>
        <w:footnoteReference w:id="105"/>
      </w:r>
      <w:r>
        <w:rPr>
          <w:rFonts w:ascii="Arial" w:hAnsi="Arial" w:cs="Arial"/>
        </w:rPr>
        <w:t xml:space="preserve"> </w:t>
      </w:r>
      <w:r w:rsidR="000662EA">
        <w:rPr>
          <w:rFonts w:ascii="Arial" w:hAnsi="Arial" w:cs="Arial"/>
        </w:rPr>
        <w:t xml:space="preserve">and </w:t>
      </w:r>
      <w:r w:rsidR="0011408D">
        <w:rPr>
          <w:rFonts w:ascii="Arial" w:hAnsi="Arial" w:cs="Arial"/>
        </w:rPr>
        <w:t>even though a</w:t>
      </w:r>
      <w:r w:rsidR="000662EA">
        <w:rPr>
          <w:rFonts w:ascii="Arial" w:hAnsi="Arial" w:cs="Arial"/>
        </w:rPr>
        <w:t xml:space="preserve"> </w:t>
      </w:r>
      <w:r w:rsidR="0011408D">
        <w:rPr>
          <w:rFonts w:ascii="Arial" w:hAnsi="Arial" w:cs="Arial"/>
        </w:rPr>
        <w:t xml:space="preserve">privacy </w:t>
      </w:r>
      <w:r w:rsidR="000662EA">
        <w:rPr>
          <w:rFonts w:ascii="Arial" w:hAnsi="Arial" w:cs="Arial"/>
        </w:rPr>
        <w:t xml:space="preserve">right is not expressly recognized by the </w:t>
      </w:r>
      <w:r w:rsidR="003061DB" w:rsidRPr="003061DB">
        <w:rPr>
          <w:rFonts w:ascii="Arial" w:hAnsi="Arial" w:cs="Arial"/>
          <w:i/>
          <w:iCs/>
        </w:rPr>
        <w:t>Charter</w:t>
      </w:r>
      <w:r w:rsidR="000662EA">
        <w:rPr>
          <w:rFonts w:ascii="Arial" w:hAnsi="Arial" w:cs="Arial"/>
        </w:rPr>
        <w:t>.</w:t>
      </w:r>
      <w:r w:rsidR="000662EA">
        <w:rPr>
          <w:rStyle w:val="FootnoteReference"/>
          <w:rFonts w:ascii="Arial" w:hAnsi="Arial" w:cs="Arial"/>
        </w:rPr>
        <w:footnoteReference w:id="106"/>
      </w:r>
      <w:r w:rsidR="000662EA">
        <w:rPr>
          <w:rFonts w:ascii="Arial" w:hAnsi="Arial" w:cs="Arial"/>
        </w:rPr>
        <w:t xml:space="preserve"> </w:t>
      </w:r>
      <w:r w:rsidR="00F17576">
        <w:rPr>
          <w:rFonts w:ascii="Arial" w:hAnsi="Arial" w:cs="Arial"/>
        </w:rPr>
        <w:t xml:space="preserve">On this front, </w:t>
      </w:r>
      <w:proofErr w:type="spellStart"/>
      <w:r w:rsidR="00F17576" w:rsidRPr="00F17576">
        <w:rPr>
          <w:rFonts w:ascii="Arial" w:hAnsi="Arial" w:cs="Arial"/>
          <w:i/>
          <w:iCs/>
        </w:rPr>
        <w:t>Somwar</w:t>
      </w:r>
      <w:proofErr w:type="spellEnd"/>
      <w:r w:rsidR="00F17576">
        <w:rPr>
          <w:rFonts w:ascii="Arial" w:hAnsi="Arial" w:cs="Arial"/>
        </w:rPr>
        <w:t xml:space="preserve"> aptly quote</w:t>
      </w:r>
      <w:r w:rsidR="0012337B">
        <w:rPr>
          <w:rFonts w:ascii="Arial" w:hAnsi="Arial" w:cs="Arial"/>
        </w:rPr>
        <w:t>d</w:t>
      </w:r>
      <w:r w:rsidR="00F17576">
        <w:rPr>
          <w:rFonts w:ascii="Arial" w:hAnsi="Arial" w:cs="Arial"/>
        </w:rPr>
        <w:t xml:space="preserve"> the following analysis</w:t>
      </w:r>
      <w:r w:rsidR="00F17576" w:rsidRPr="00F9531D">
        <w:rPr>
          <w:rFonts w:ascii="Arial" w:hAnsi="Arial" w:cs="Arial"/>
        </w:rPr>
        <w:t xml:space="preserve"> </w:t>
      </w:r>
      <w:r w:rsidR="0012337B">
        <w:rPr>
          <w:rFonts w:ascii="Arial" w:hAnsi="Arial" w:cs="Arial"/>
        </w:rPr>
        <w:t xml:space="preserve">penned by </w:t>
      </w:r>
      <w:r w:rsidR="00F9531D" w:rsidRPr="00F9531D">
        <w:rPr>
          <w:rFonts w:ascii="Arial" w:hAnsi="Arial" w:cs="Arial"/>
        </w:rPr>
        <w:t xml:space="preserve">Robyn Ryan Bell </w:t>
      </w:r>
      <w:r w:rsidR="0012337B">
        <w:rPr>
          <w:rFonts w:ascii="Arial" w:hAnsi="Arial" w:cs="Arial"/>
        </w:rPr>
        <w:t xml:space="preserve">(now a judge of the Superior Court of Justice) as follows: </w:t>
      </w:r>
      <w:r w:rsidR="00F17576" w:rsidRPr="00F9531D">
        <w:rPr>
          <w:rFonts w:ascii="Arial" w:hAnsi="Arial" w:cs="Arial"/>
        </w:rPr>
        <w:t xml:space="preserve"> </w:t>
      </w:r>
    </w:p>
    <w:p w14:paraId="4C3DC95D" w14:textId="73B8C153" w:rsidR="00D7287E" w:rsidRDefault="00B6418C" w:rsidP="00D7287E">
      <w:pPr>
        <w:pStyle w:val="citation-altc"/>
        <w:ind w:left="480"/>
        <w:rPr>
          <w:rFonts w:ascii="Arial" w:hAnsi="Arial" w:cs="Arial"/>
        </w:rPr>
      </w:pPr>
      <w:r w:rsidRPr="00F9531D">
        <w:rPr>
          <w:rFonts w:ascii="Arial" w:hAnsi="Arial" w:cs="Arial"/>
        </w:rPr>
        <w:t xml:space="preserve">The introduction of the </w:t>
      </w:r>
      <w:hyperlink r:id="rId9" w:history="1">
        <w:r w:rsidR="003061DB" w:rsidRPr="003061DB">
          <w:rPr>
            <w:rStyle w:val="Hyperlink"/>
            <w:rFonts w:ascii="Arial" w:hAnsi="Arial" w:cs="Arial"/>
            <w:i/>
            <w:iCs/>
            <w:color w:val="auto"/>
            <w:u w:val="none"/>
          </w:rPr>
          <w:t>Charter</w:t>
        </w:r>
      </w:hyperlink>
      <w:r w:rsidRPr="00F9531D">
        <w:rPr>
          <w:rFonts w:ascii="Arial" w:hAnsi="Arial" w:cs="Arial"/>
        </w:rPr>
        <w:t xml:space="preserve"> has impacted upon the development of the tort of invasion of privacy in two ways. First, the values underlying the </w:t>
      </w:r>
      <w:hyperlink r:id="rId10" w:history="1">
        <w:r w:rsidR="003061DB" w:rsidRPr="003061DB">
          <w:rPr>
            <w:rStyle w:val="Hyperlink"/>
            <w:rFonts w:ascii="Arial" w:hAnsi="Arial" w:cs="Arial"/>
            <w:i/>
            <w:iCs/>
            <w:color w:val="auto"/>
            <w:u w:val="none"/>
          </w:rPr>
          <w:t>Charter</w:t>
        </w:r>
      </w:hyperlink>
      <w:r w:rsidRPr="00F9531D">
        <w:rPr>
          <w:rFonts w:ascii="Arial" w:hAnsi="Arial" w:cs="Arial"/>
        </w:rPr>
        <w:t xml:space="preserve"> include respect for an individual's dignity and autonomy, values which are, in turn, closely tied to respect for and protection of an individual's privacy. Second, the Supreme Court has made it clear in cases</w:t>
      </w:r>
      <w:r w:rsidR="00731BA4">
        <w:rPr>
          <w:rFonts w:ascii="Arial" w:hAnsi="Arial" w:cs="Arial"/>
        </w:rPr>
        <w:t xml:space="preserve"> [such]</w:t>
      </w:r>
      <w:r w:rsidRPr="00F9531D">
        <w:rPr>
          <w:rFonts w:ascii="Arial" w:hAnsi="Arial" w:cs="Arial"/>
        </w:rPr>
        <w:t xml:space="preserve"> as M. (A.) v. Ryan, </w:t>
      </w:r>
      <w:hyperlink r:id="rId11" w:history="1">
        <w:r w:rsidRPr="00F9531D">
          <w:rPr>
            <w:rStyle w:val="Hyperlink"/>
            <w:rFonts w:ascii="Arial" w:hAnsi="Arial" w:cs="Arial"/>
            <w:color w:val="auto"/>
            <w:u w:val="none"/>
          </w:rPr>
          <w:t xml:space="preserve">1997 </w:t>
        </w:r>
        <w:proofErr w:type="spellStart"/>
        <w:r w:rsidRPr="00F9531D">
          <w:rPr>
            <w:rStyle w:val="Hyperlink"/>
            <w:rFonts w:ascii="Arial" w:hAnsi="Arial" w:cs="Arial"/>
            <w:color w:val="auto"/>
            <w:u w:val="none"/>
          </w:rPr>
          <w:t>CanLII</w:t>
        </w:r>
        <w:proofErr w:type="spellEnd"/>
        <w:r w:rsidRPr="00F9531D">
          <w:rPr>
            <w:rStyle w:val="Hyperlink"/>
            <w:rFonts w:ascii="Arial" w:hAnsi="Arial" w:cs="Arial"/>
            <w:color w:val="auto"/>
            <w:u w:val="none"/>
          </w:rPr>
          <w:t xml:space="preserve"> 403 (SCC)</w:t>
        </w:r>
      </w:hyperlink>
      <w:r w:rsidRPr="00F9531D">
        <w:rPr>
          <w:rFonts w:ascii="Arial" w:hAnsi="Arial" w:cs="Arial"/>
        </w:rPr>
        <w:t xml:space="preserve">, [1997] 1 S.C.R. 157, that the common law must develop in accordance with </w:t>
      </w:r>
      <w:hyperlink r:id="rId12" w:history="1">
        <w:r w:rsidR="003061DB" w:rsidRPr="003061DB">
          <w:rPr>
            <w:rStyle w:val="Hyperlink"/>
            <w:rFonts w:ascii="Arial" w:hAnsi="Arial" w:cs="Arial"/>
            <w:i/>
            <w:iCs/>
            <w:color w:val="auto"/>
            <w:u w:val="none"/>
          </w:rPr>
          <w:t>Charter</w:t>
        </w:r>
      </w:hyperlink>
      <w:r w:rsidRPr="00F9531D">
        <w:rPr>
          <w:rFonts w:ascii="Arial" w:hAnsi="Arial" w:cs="Arial"/>
        </w:rPr>
        <w:t xml:space="preserve"> values.</w:t>
      </w:r>
      <w:r w:rsidR="00F17576" w:rsidRPr="00F9531D">
        <w:rPr>
          <w:rStyle w:val="FootnoteReference"/>
          <w:rFonts w:ascii="Arial" w:hAnsi="Arial" w:cs="Arial"/>
        </w:rPr>
        <w:footnoteReference w:id="107"/>
      </w:r>
      <w:r w:rsidR="008F301C">
        <w:rPr>
          <w:rFonts w:ascii="Arial" w:hAnsi="Arial" w:cs="Arial"/>
        </w:rPr>
        <w:t xml:space="preserve"> </w:t>
      </w:r>
      <w:r w:rsidR="00BB1016">
        <w:rPr>
          <w:rFonts w:ascii="Arial" w:hAnsi="Arial" w:cs="Arial"/>
        </w:rPr>
        <w:t xml:space="preserve"> </w:t>
      </w:r>
      <w:r w:rsidR="008F301C">
        <w:rPr>
          <w:rFonts w:ascii="Arial" w:hAnsi="Arial" w:cs="Arial"/>
        </w:rPr>
        <w:t xml:space="preserve"> </w:t>
      </w:r>
    </w:p>
    <w:p w14:paraId="706DC862" w14:textId="036D42BA" w:rsidR="00E203FF" w:rsidRPr="00E203FF" w:rsidRDefault="005D55E0" w:rsidP="00A37D9A">
      <w:pPr>
        <w:pStyle w:val="citation-altc"/>
        <w:ind w:firstLine="360"/>
        <w:rPr>
          <w:rFonts w:ascii="Arial" w:hAnsi="Arial" w:cs="Arial"/>
        </w:rPr>
      </w:pPr>
      <w:r>
        <w:rPr>
          <w:rFonts w:ascii="Arial" w:hAnsi="Arial" w:cs="Arial"/>
        </w:rPr>
        <w:lastRenderedPageBreak/>
        <w:t>Returning to Justice Cromwell’s functional approach to</w:t>
      </w:r>
      <w:r w:rsidR="00D31688">
        <w:rPr>
          <w:rFonts w:ascii="Arial" w:hAnsi="Arial" w:cs="Arial"/>
        </w:rPr>
        <w:t xml:space="preserve"> </w:t>
      </w:r>
      <w:r>
        <w:rPr>
          <w:rFonts w:ascii="Arial" w:hAnsi="Arial" w:cs="Arial"/>
        </w:rPr>
        <w:t xml:space="preserve">monetary damages, an important factor in relation to </w:t>
      </w:r>
      <w:r w:rsidR="003061DB" w:rsidRPr="003061DB">
        <w:rPr>
          <w:rFonts w:ascii="Arial" w:hAnsi="Arial" w:cs="Arial"/>
          <w:i/>
          <w:iCs/>
        </w:rPr>
        <w:t>PIPEDA</w:t>
      </w:r>
      <w:r>
        <w:rPr>
          <w:rFonts w:ascii="Arial" w:hAnsi="Arial" w:cs="Arial"/>
        </w:rPr>
        <w:t xml:space="preserve"> </w:t>
      </w:r>
      <w:r w:rsidR="003061DB" w:rsidRPr="003061DB">
        <w:rPr>
          <w:rFonts w:ascii="Arial" w:hAnsi="Arial" w:cs="Arial"/>
        </w:rPr>
        <w:t>awards</w:t>
      </w:r>
      <w:r>
        <w:rPr>
          <w:rFonts w:ascii="Arial" w:hAnsi="Arial" w:cs="Arial"/>
        </w:rPr>
        <w:t xml:space="preserve"> is this: both </w:t>
      </w:r>
      <w:r w:rsidR="00FA0DC1">
        <w:rPr>
          <w:rFonts w:ascii="Arial" w:hAnsi="Arial" w:cs="Arial"/>
        </w:rPr>
        <w:t xml:space="preserve">the </w:t>
      </w:r>
      <w:r>
        <w:rPr>
          <w:rFonts w:ascii="Arial" w:hAnsi="Arial" w:cs="Arial"/>
        </w:rPr>
        <w:t>privacy</w:t>
      </w:r>
      <w:r w:rsidR="00FA0DC1">
        <w:rPr>
          <w:rFonts w:ascii="Arial" w:hAnsi="Arial" w:cs="Arial"/>
        </w:rPr>
        <w:t xml:space="preserve"> interest</w:t>
      </w:r>
      <w:r>
        <w:rPr>
          <w:rFonts w:ascii="Arial" w:hAnsi="Arial" w:cs="Arial"/>
        </w:rPr>
        <w:t xml:space="preserve"> </w:t>
      </w:r>
      <w:r w:rsidR="007A316A">
        <w:rPr>
          <w:rFonts w:ascii="Arial" w:hAnsi="Arial" w:cs="Arial"/>
        </w:rPr>
        <w:t xml:space="preserve">of the claimant </w:t>
      </w:r>
      <w:r>
        <w:rPr>
          <w:rFonts w:ascii="Arial" w:hAnsi="Arial" w:cs="Arial"/>
        </w:rPr>
        <w:t>and the legislation protect</w:t>
      </w:r>
      <w:r w:rsidR="00784EB1">
        <w:rPr>
          <w:rFonts w:ascii="Arial" w:hAnsi="Arial" w:cs="Arial"/>
        </w:rPr>
        <w:t>ing it</w:t>
      </w:r>
      <w:r>
        <w:rPr>
          <w:rFonts w:ascii="Arial" w:hAnsi="Arial" w:cs="Arial"/>
        </w:rPr>
        <w:t xml:space="preserve"> are </w:t>
      </w:r>
      <w:r w:rsidR="00FA0DC1">
        <w:rPr>
          <w:rFonts w:ascii="Arial" w:hAnsi="Arial" w:cs="Arial"/>
        </w:rPr>
        <w:t>quasi-constitutional</w:t>
      </w:r>
      <w:r w:rsidR="00397A38">
        <w:rPr>
          <w:rFonts w:ascii="Arial" w:hAnsi="Arial" w:cs="Arial"/>
        </w:rPr>
        <w:t>.</w:t>
      </w:r>
      <w:r w:rsidR="00467188">
        <w:rPr>
          <w:rStyle w:val="FootnoteReference"/>
          <w:rFonts w:ascii="Arial" w:hAnsi="Arial" w:cs="Arial"/>
        </w:rPr>
        <w:footnoteReference w:id="108"/>
      </w:r>
      <w:r w:rsidR="00397A38">
        <w:rPr>
          <w:rFonts w:ascii="Arial" w:hAnsi="Arial" w:cs="Arial"/>
        </w:rPr>
        <w:t xml:space="preserve"> </w:t>
      </w:r>
      <w:r w:rsidR="00FA0DC1">
        <w:rPr>
          <w:rFonts w:ascii="Arial" w:hAnsi="Arial" w:cs="Arial"/>
        </w:rPr>
        <w:t>Th</w:t>
      </w:r>
      <w:r w:rsidR="00D31688">
        <w:rPr>
          <w:rFonts w:ascii="Arial" w:hAnsi="Arial" w:cs="Arial"/>
        </w:rPr>
        <w:t>ese</w:t>
      </w:r>
      <w:r w:rsidR="00FA0DC1">
        <w:rPr>
          <w:rFonts w:ascii="Arial" w:hAnsi="Arial" w:cs="Arial"/>
        </w:rPr>
        <w:t xml:space="preserve"> qualit</w:t>
      </w:r>
      <w:r w:rsidR="00D31688">
        <w:rPr>
          <w:rFonts w:ascii="Arial" w:hAnsi="Arial" w:cs="Arial"/>
        </w:rPr>
        <w:t>ies</w:t>
      </w:r>
      <w:r w:rsidR="00FA0DC1">
        <w:rPr>
          <w:rFonts w:ascii="Arial" w:hAnsi="Arial" w:cs="Arial"/>
        </w:rPr>
        <w:t xml:space="preserve"> </w:t>
      </w:r>
      <w:r w:rsidR="00D31688">
        <w:rPr>
          <w:rFonts w:ascii="Arial" w:hAnsi="Arial" w:cs="Arial"/>
        </w:rPr>
        <w:t>mandate that</w:t>
      </w:r>
      <w:r w:rsidR="004659EE">
        <w:rPr>
          <w:rFonts w:ascii="Arial" w:hAnsi="Arial" w:cs="Arial"/>
        </w:rPr>
        <w:t>, generally speaking,</w:t>
      </w:r>
      <w:r w:rsidR="00397A38">
        <w:rPr>
          <w:rFonts w:ascii="Arial" w:hAnsi="Arial" w:cs="Arial"/>
        </w:rPr>
        <w:t xml:space="preserve"> </w:t>
      </w:r>
      <w:r w:rsidR="003061DB" w:rsidRPr="003061DB">
        <w:rPr>
          <w:rFonts w:ascii="Arial" w:hAnsi="Arial" w:cs="Arial"/>
          <w:i/>
          <w:iCs/>
        </w:rPr>
        <w:t>PIPEDA</w:t>
      </w:r>
      <w:r w:rsidR="00D31688">
        <w:rPr>
          <w:rFonts w:ascii="Arial" w:hAnsi="Arial" w:cs="Arial"/>
        </w:rPr>
        <w:t xml:space="preserve"> </w:t>
      </w:r>
      <w:r>
        <w:rPr>
          <w:rFonts w:ascii="Arial" w:hAnsi="Arial" w:cs="Arial"/>
        </w:rPr>
        <w:t>damages</w:t>
      </w:r>
      <w:r w:rsidR="00C33740">
        <w:rPr>
          <w:rFonts w:ascii="Arial" w:hAnsi="Arial" w:cs="Arial"/>
        </w:rPr>
        <w:t xml:space="preserve"> </w:t>
      </w:r>
      <w:r>
        <w:rPr>
          <w:rFonts w:ascii="Arial" w:hAnsi="Arial" w:cs="Arial"/>
        </w:rPr>
        <w:t xml:space="preserve">be more than nominal </w:t>
      </w:r>
      <w:r w:rsidR="00E203FF">
        <w:rPr>
          <w:rFonts w:ascii="Arial" w:hAnsi="Arial" w:cs="Arial"/>
        </w:rPr>
        <w:t xml:space="preserve">so as </w:t>
      </w:r>
      <w:r w:rsidR="00A37522">
        <w:rPr>
          <w:rFonts w:ascii="Arial" w:hAnsi="Arial" w:cs="Arial"/>
        </w:rPr>
        <w:t xml:space="preserve">to provide </w:t>
      </w:r>
      <w:r w:rsidR="00BC2346">
        <w:rPr>
          <w:rFonts w:ascii="Arial" w:hAnsi="Arial" w:cs="Arial"/>
        </w:rPr>
        <w:t>effective</w:t>
      </w:r>
      <w:r w:rsidR="00A37522">
        <w:rPr>
          <w:rFonts w:ascii="Arial" w:hAnsi="Arial" w:cs="Arial"/>
        </w:rPr>
        <w:t xml:space="preserve"> </w:t>
      </w:r>
      <w:r w:rsidR="00D31688">
        <w:rPr>
          <w:rFonts w:ascii="Arial" w:hAnsi="Arial" w:cs="Arial"/>
        </w:rPr>
        <w:t xml:space="preserve">redress </w:t>
      </w:r>
      <w:r w:rsidR="00A503E7">
        <w:rPr>
          <w:rFonts w:ascii="Arial" w:hAnsi="Arial" w:cs="Arial"/>
        </w:rPr>
        <w:t>for</w:t>
      </w:r>
      <w:r w:rsidR="00D31688">
        <w:rPr>
          <w:rFonts w:ascii="Arial" w:hAnsi="Arial" w:cs="Arial"/>
        </w:rPr>
        <w:t xml:space="preserve"> </w:t>
      </w:r>
      <w:r w:rsidR="00A37522">
        <w:rPr>
          <w:rFonts w:ascii="Arial" w:hAnsi="Arial" w:cs="Arial"/>
        </w:rPr>
        <w:t xml:space="preserve">privacy </w:t>
      </w:r>
      <w:r w:rsidR="00D31688">
        <w:rPr>
          <w:rFonts w:ascii="Arial" w:hAnsi="Arial" w:cs="Arial"/>
        </w:rPr>
        <w:t xml:space="preserve">violations. At the same time, </w:t>
      </w:r>
      <w:r w:rsidR="00784EB1">
        <w:rPr>
          <w:rFonts w:ascii="Arial" w:hAnsi="Arial" w:cs="Arial"/>
        </w:rPr>
        <w:t xml:space="preserve">a </w:t>
      </w:r>
      <w:r w:rsidR="0011029B">
        <w:rPr>
          <w:rFonts w:ascii="Arial" w:hAnsi="Arial" w:cs="Arial"/>
        </w:rPr>
        <w:t xml:space="preserve">judicial </w:t>
      </w:r>
      <w:r w:rsidR="00784EB1">
        <w:rPr>
          <w:rFonts w:ascii="Arial" w:hAnsi="Arial" w:cs="Arial"/>
        </w:rPr>
        <w:t xml:space="preserve">balancing act is involved since </w:t>
      </w:r>
      <w:r w:rsidR="003061DB" w:rsidRPr="003061DB">
        <w:rPr>
          <w:rFonts w:ascii="Arial" w:hAnsi="Arial" w:cs="Arial"/>
          <w:i/>
          <w:iCs/>
        </w:rPr>
        <w:t>PIPEDA</w:t>
      </w:r>
      <w:r w:rsidR="00D31688">
        <w:rPr>
          <w:rFonts w:ascii="Arial" w:hAnsi="Arial" w:cs="Arial"/>
        </w:rPr>
        <w:t xml:space="preserve"> </w:t>
      </w:r>
      <w:r w:rsidR="00E203FF">
        <w:rPr>
          <w:rFonts w:ascii="Arial" w:hAnsi="Arial" w:cs="Arial"/>
        </w:rPr>
        <w:t xml:space="preserve">damages </w:t>
      </w:r>
      <w:r w:rsidR="00D31688">
        <w:rPr>
          <w:rFonts w:ascii="Arial" w:hAnsi="Arial" w:cs="Arial"/>
        </w:rPr>
        <w:t xml:space="preserve">cannot </w:t>
      </w:r>
      <w:r w:rsidR="00A37522">
        <w:rPr>
          <w:rFonts w:ascii="Arial" w:hAnsi="Arial" w:cs="Arial"/>
        </w:rPr>
        <w:t>be unmerited or excessive</w:t>
      </w:r>
      <w:r w:rsidR="00784EB1">
        <w:rPr>
          <w:rFonts w:ascii="Arial" w:hAnsi="Arial" w:cs="Arial"/>
        </w:rPr>
        <w:t xml:space="preserve">. </w:t>
      </w:r>
      <w:r w:rsidR="0059694E">
        <w:rPr>
          <w:rFonts w:ascii="Arial" w:hAnsi="Arial" w:cs="Arial"/>
        </w:rPr>
        <w:t xml:space="preserve">Writing </w:t>
      </w:r>
      <w:r w:rsidR="00291290">
        <w:rPr>
          <w:rFonts w:ascii="Arial" w:hAnsi="Arial" w:cs="Arial"/>
        </w:rPr>
        <w:t xml:space="preserve">from a </w:t>
      </w:r>
      <w:r w:rsidR="0059694E">
        <w:rPr>
          <w:rFonts w:ascii="Arial" w:hAnsi="Arial" w:cs="Arial"/>
        </w:rPr>
        <w:t xml:space="preserve">more </w:t>
      </w:r>
      <w:r w:rsidR="00BE536A">
        <w:rPr>
          <w:rFonts w:ascii="Arial" w:hAnsi="Arial" w:cs="Arial"/>
        </w:rPr>
        <w:t>generalized,</w:t>
      </w:r>
      <w:r w:rsidR="003D3156">
        <w:rPr>
          <w:rFonts w:ascii="Arial" w:hAnsi="Arial" w:cs="Arial"/>
        </w:rPr>
        <w:t xml:space="preserve"> </w:t>
      </w:r>
      <w:r w:rsidR="0011029B">
        <w:rPr>
          <w:rFonts w:ascii="Arial" w:hAnsi="Arial" w:cs="Arial"/>
        </w:rPr>
        <w:t xml:space="preserve">constitutional vantage point, </w:t>
      </w:r>
      <w:r w:rsidR="00397A38">
        <w:rPr>
          <w:rFonts w:ascii="Arial" w:hAnsi="Arial" w:cs="Arial"/>
        </w:rPr>
        <w:t>R</w:t>
      </w:r>
      <w:r w:rsidR="00494828">
        <w:rPr>
          <w:rFonts w:ascii="Arial" w:hAnsi="Arial" w:cs="Arial"/>
        </w:rPr>
        <w:t xml:space="preserve">obert </w:t>
      </w:r>
      <w:r w:rsidR="00397A38">
        <w:rPr>
          <w:rFonts w:ascii="Arial" w:hAnsi="Arial" w:cs="Arial"/>
        </w:rPr>
        <w:t>J Sharpe and K</w:t>
      </w:r>
      <w:r w:rsidR="00494828">
        <w:rPr>
          <w:rFonts w:ascii="Arial" w:hAnsi="Arial" w:cs="Arial"/>
        </w:rPr>
        <w:t>ent</w:t>
      </w:r>
      <w:r w:rsidR="00397A38">
        <w:rPr>
          <w:rFonts w:ascii="Arial" w:hAnsi="Arial" w:cs="Arial"/>
        </w:rPr>
        <w:t xml:space="preserve"> Roach </w:t>
      </w:r>
      <w:r w:rsidR="00866F3D">
        <w:rPr>
          <w:rFonts w:ascii="Arial" w:hAnsi="Arial" w:cs="Arial"/>
        </w:rPr>
        <w:t xml:space="preserve">are quoted </w:t>
      </w:r>
      <w:r w:rsidR="0011029B">
        <w:rPr>
          <w:rFonts w:ascii="Arial" w:hAnsi="Arial" w:cs="Arial"/>
        </w:rPr>
        <w:t xml:space="preserve">with </w:t>
      </w:r>
      <w:r w:rsidR="00E203FF">
        <w:rPr>
          <w:rFonts w:ascii="Arial" w:hAnsi="Arial" w:cs="Arial"/>
        </w:rPr>
        <w:t xml:space="preserve">approval by </w:t>
      </w:r>
      <w:r w:rsidR="00A37522">
        <w:rPr>
          <w:rFonts w:ascii="Arial" w:hAnsi="Arial" w:cs="Arial"/>
        </w:rPr>
        <w:t>the Ontario Superior Court</w:t>
      </w:r>
      <w:r w:rsidR="00866F3D">
        <w:rPr>
          <w:rFonts w:ascii="Arial" w:hAnsi="Arial" w:cs="Arial"/>
        </w:rPr>
        <w:t xml:space="preserve"> as follows:</w:t>
      </w:r>
    </w:p>
    <w:p w14:paraId="14CF0F20" w14:textId="1F6FF121" w:rsidR="00864DD7" w:rsidRPr="00E203FF" w:rsidRDefault="00E203FF" w:rsidP="00E203FF">
      <w:pPr>
        <w:pStyle w:val="citation-altc"/>
        <w:ind w:left="360"/>
        <w:rPr>
          <w:rFonts w:ascii="Arial" w:hAnsi="Arial" w:cs="Arial"/>
        </w:rPr>
      </w:pPr>
      <w:r w:rsidRPr="00E203FF">
        <w:rPr>
          <w:rFonts w:ascii="Arial" w:hAnsi="Arial" w:cs="Arial"/>
        </w:rPr>
        <w:t xml:space="preserve">The rights and freedoms guaranteed by the </w:t>
      </w:r>
      <w:hyperlink r:id="rId13" w:history="1">
        <w:r w:rsidR="003061DB" w:rsidRPr="003061DB">
          <w:rPr>
            <w:rStyle w:val="Hyperlink"/>
            <w:rFonts w:ascii="Arial" w:hAnsi="Arial" w:cs="Arial"/>
            <w:i/>
            <w:iCs/>
            <w:color w:val="auto"/>
            <w:u w:val="none"/>
          </w:rPr>
          <w:t>Charter</w:t>
        </w:r>
      </w:hyperlink>
      <w:r w:rsidRPr="00E203FF">
        <w:rPr>
          <w:rFonts w:ascii="Arial" w:hAnsi="Arial" w:cs="Arial"/>
        </w:rPr>
        <w:t xml:space="preserve"> are abstract and intangible and thus assessment of the extent of the injury in monetary terms will often be difficult. Low </w:t>
      </w:r>
      <w:r w:rsidR="003061DB" w:rsidRPr="003061DB">
        <w:rPr>
          <w:rFonts w:ascii="Arial" w:hAnsi="Arial" w:cs="Arial"/>
        </w:rPr>
        <w:t>awards</w:t>
      </w:r>
      <w:r w:rsidRPr="00E203FF">
        <w:rPr>
          <w:rFonts w:ascii="Arial" w:hAnsi="Arial" w:cs="Arial"/>
        </w:rPr>
        <w:t xml:space="preserve"> for the violation of a </w:t>
      </w:r>
      <w:hyperlink r:id="rId14" w:history="1">
        <w:r w:rsidR="003061DB" w:rsidRPr="003061DB">
          <w:rPr>
            <w:rStyle w:val="Hyperlink"/>
            <w:rFonts w:ascii="Arial" w:hAnsi="Arial" w:cs="Arial"/>
            <w:i/>
            <w:iCs/>
            <w:color w:val="auto"/>
            <w:u w:val="none"/>
          </w:rPr>
          <w:t>Charter</w:t>
        </w:r>
      </w:hyperlink>
      <w:r w:rsidRPr="00E203FF">
        <w:rPr>
          <w:rFonts w:ascii="Arial" w:hAnsi="Arial" w:cs="Arial"/>
          <w:i/>
          <w:iCs/>
        </w:rPr>
        <w:t xml:space="preserve"> </w:t>
      </w:r>
      <w:r w:rsidRPr="00E203FF">
        <w:rPr>
          <w:rFonts w:ascii="Arial" w:hAnsi="Arial" w:cs="Arial"/>
        </w:rPr>
        <w:t xml:space="preserve">right might trivialize the right while high </w:t>
      </w:r>
      <w:r w:rsidR="003061DB" w:rsidRPr="003061DB">
        <w:rPr>
          <w:rFonts w:ascii="Arial" w:hAnsi="Arial" w:cs="Arial"/>
        </w:rPr>
        <w:t>awards</w:t>
      </w:r>
      <w:r w:rsidRPr="00E203FF">
        <w:rPr>
          <w:rFonts w:ascii="Arial" w:hAnsi="Arial" w:cs="Arial"/>
        </w:rPr>
        <w:t xml:space="preserve"> may create an unjustified windfall for the applicant.</w:t>
      </w:r>
      <w:r w:rsidRPr="00E203FF">
        <w:rPr>
          <w:rStyle w:val="FootnoteReference"/>
          <w:rFonts w:ascii="Arial" w:hAnsi="Arial" w:cs="Arial"/>
        </w:rPr>
        <w:footnoteReference w:id="109"/>
      </w:r>
    </w:p>
    <w:p w14:paraId="128B85D0" w14:textId="2B7D985D" w:rsidR="008B5FC8" w:rsidRDefault="00906249" w:rsidP="00E84E65">
      <w:pPr>
        <w:ind w:firstLine="360"/>
      </w:pPr>
      <w:r>
        <w:t>I</w:t>
      </w:r>
      <w:r w:rsidR="00C33D8F">
        <w:t xml:space="preserve">n </w:t>
      </w:r>
      <w:r w:rsidR="004659EE">
        <w:t>the</w:t>
      </w:r>
      <w:r w:rsidR="00491C4B">
        <w:t xml:space="preserve"> very</w:t>
      </w:r>
      <w:r w:rsidR="004659EE">
        <w:t xml:space="preserve"> first case to </w:t>
      </w:r>
      <w:r w:rsidR="003061DB" w:rsidRPr="003061DB">
        <w:t>award</w:t>
      </w:r>
      <w:r w:rsidR="004659EE">
        <w:t xml:space="preserve"> damages under </w:t>
      </w:r>
      <w:r w:rsidR="003061DB" w:rsidRPr="003061DB">
        <w:rPr>
          <w:i/>
          <w:iCs/>
        </w:rPr>
        <w:t>PIPEDA</w:t>
      </w:r>
      <w:r w:rsidR="004659EE">
        <w:t xml:space="preserve">, Justice Zinn in </w:t>
      </w:r>
      <w:proofErr w:type="spellStart"/>
      <w:r w:rsidR="00291290" w:rsidRPr="00291290">
        <w:rPr>
          <w:i/>
          <w:iCs/>
        </w:rPr>
        <w:t>Nammo</w:t>
      </w:r>
      <w:proofErr w:type="spellEnd"/>
      <w:r w:rsidR="004659EE">
        <w:rPr>
          <w:i/>
          <w:iCs/>
        </w:rPr>
        <w:t xml:space="preserve"> </w:t>
      </w:r>
      <w:r w:rsidR="004659EE">
        <w:t xml:space="preserve">easily recognized </w:t>
      </w:r>
      <w:r w:rsidR="00D656BF">
        <w:t xml:space="preserve">its </w:t>
      </w:r>
      <w:r w:rsidR="004659EE">
        <w:t xml:space="preserve">quasi-constitutional </w:t>
      </w:r>
      <w:r w:rsidR="00491C4B">
        <w:t>quality</w:t>
      </w:r>
      <w:r w:rsidR="004659EE">
        <w:rPr>
          <w:rStyle w:val="FootnoteReference"/>
        </w:rPr>
        <w:footnoteReference w:id="110"/>
      </w:r>
      <w:r w:rsidR="004659EE">
        <w:t xml:space="preserve"> </w:t>
      </w:r>
      <w:r w:rsidR="008B5FC8">
        <w:t xml:space="preserve">and that </w:t>
      </w:r>
      <w:r w:rsidR="003061DB" w:rsidRPr="003061DB">
        <w:rPr>
          <w:i/>
          <w:iCs/>
        </w:rPr>
        <w:t>PIPEDA</w:t>
      </w:r>
      <w:r w:rsidR="008B5FC8">
        <w:t xml:space="preserve"> must accordingly “be interpreted with its special purposes in mind.”</w:t>
      </w:r>
      <w:r w:rsidR="008B5FC8">
        <w:rPr>
          <w:rStyle w:val="FootnoteReference"/>
        </w:rPr>
        <w:footnoteReference w:id="111"/>
      </w:r>
      <w:r w:rsidR="004659EE">
        <w:t xml:space="preserve"> He also carefully and cogently  established the relevance of </w:t>
      </w:r>
      <w:r w:rsidR="003061DB" w:rsidRPr="003061DB">
        <w:rPr>
          <w:i/>
          <w:iCs/>
        </w:rPr>
        <w:t>Charter</w:t>
      </w:r>
      <w:r w:rsidR="004659EE">
        <w:t xml:space="preserve"> cases </w:t>
      </w:r>
      <w:r w:rsidR="00D656BF">
        <w:t xml:space="preserve">to </w:t>
      </w:r>
      <w:r w:rsidR="003061DB" w:rsidRPr="003061DB">
        <w:t>awarding</w:t>
      </w:r>
      <w:r w:rsidR="008B5FC8">
        <w:t xml:space="preserve"> </w:t>
      </w:r>
      <w:r w:rsidR="003061DB" w:rsidRPr="003061DB">
        <w:rPr>
          <w:i/>
          <w:iCs/>
        </w:rPr>
        <w:t>PIPEDA</w:t>
      </w:r>
      <w:r w:rsidR="008B5FC8">
        <w:t xml:space="preserve"> </w:t>
      </w:r>
      <w:r w:rsidR="004659EE">
        <w:t xml:space="preserve">damages, relying in particular on the Supreme Court of Canada’s analysis in </w:t>
      </w:r>
      <w:r w:rsidR="004659EE">
        <w:rPr>
          <w:i/>
          <w:iCs/>
        </w:rPr>
        <w:t xml:space="preserve">Vancouver (City) v </w:t>
      </w:r>
      <w:r w:rsidR="003061DB" w:rsidRPr="003061DB">
        <w:rPr>
          <w:i/>
          <w:iCs/>
        </w:rPr>
        <w:t>Ward</w:t>
      </w:r>
      <w:r w:rsidR="00A33CBC">
        <w:rPr>
          <w:i/>
          <w:iCs/>
        </w:rPr>
        <w:t>.</w:t>
      </w:r>
      <w:r w:rsidR="004659EE">
        <w:rPr>
          <w:rStyle w:val="FootnoteReference"/>
          <w:i/>
          <w:iCs/>
        </w:rPr>
        <w:footnoteReference w:id="112"/>
      </w:r>
      <w:r w:rsidR="004659EE">
        <w:rPr>
          <w:i/>
          <w:iCs/>
        </w:rPr>
        <w:t xml:space="preserve"> </w:t>
      </w:r>
      <w:r w:rsidR="008B5FC8">
        <w:t xml:space="preserve"> </w:t>
      </w:r>
      <w:r w:rsidR="00D656BF">
        <w:t xml:space="preserve">As Justice Zinn </w:t>
      </w:r>
      <w:r w:rsidR="004B4338">
        <w:t>understood</w:t>
      </w:r>
      <w:r w:rsidR="00D656BF">
        <w:t xml:space="preserve"> the matter, </w:t>
      </w:r>
      <w:r w:rsidR="009A791B">
        <w:t xml:space="preserve">and by extrapolation to </w:t>
      </w:r>
      <w:r w:rsidR="003061DB" w:rsidRPr="003061DB">
        <w:rPr>
          <w:i/>
          <w:iCs/>
        </w:rPr>
        <w:t>Ward</w:t>
      </w:r>
      <w:r w:rsidR="009A791B">
        <w:t xml:space="preserve">, </w:t>
      </w:r>
      <w:r w:rsidR="008B5FC8" w:rsidRPr="009A791B">
        <w:t>an</w:t>
      </w:r>
      <w:r w:rsidR="008B5FC8">
        <w:t xml:space="preserve"> </w:t>
      </w:r>
      <w:r w:rsidR="003061DB" w:rsidRPr="003061DB">
        <w:t>award</w:t>
      </w:r>
      <w:r w:rsidR="008B5FC8">
        <w:t xml:space="preserve"> of damages </w:t>
      </w:r>
      <w:r w:rsidR="00D656BF">
        <w:t xml:space="preserve">under </w:t>
      </w:r>
      <w:r w:rsidR="003061DB" w:rsidRPr="003061DB">
        <w:rPr>
          <w:i/>
          <w:iCs/>
        </w:rPr>
        <w:t>PIPEDA</w:t>
      </w:r>
      <w:r w:rsidR="00D656BF">
        <w:t xml:space="preserve"> </w:t>
      </w:r>
      <w:r w:rsidR="008B5FC8">
        <w:t>“must represent a meaningful response to the serious</w:t>
      </w:r>
      <w:r w:rsidR="00D656BF">
        <w:t>ness</w:t>
      </w:r>
      <w:r w:rsidR="008B5FC8">
        <w:t xml:space="preserve"> of the breach and the objectives of compensation, upholding </w:t>
      </w:r>
      <w:r w:rsidR="003061DB" w:rsidRPr="003061DB">
        <w:rPr>
          <w:i/>
          <w:iCs/>
        </w:rPr>
        <w:t>Charter</w:t>
      </w:r>
      <w:r w:rsidR="008B5FC8">
        <w:rPr>
          <w:i/>
          <w:iCs/>
        </w:rPr>
        <w:t xml:space="preserve"> </w:t>
      </w:r>
      <w:r w:rsidR="008B5FC8">
        <w:t>values, and deterring future breaches.”</w:t>
      </w:r>
      <w:r w:rsidR="008B5FC8">
        <w:rPr>
          <w:rStyle w:val="FootnoteReference"/>
        </w:rPr>
        <w:footnoteReference w:id="113"/>
      </w:r>
      <w:r w:rsidR="008B5FC8">
        <w:t xml:space="preserve"> </w:t>
      </w:r>
      <w:r w:rsidR="00E84770">
        <w:t xml:space="preserve">In this way, he emphasized </w:t>
      </w:r>
      <w:r w:rsidR="00E84770" w:rsidRPr="002118A3">
        <w:rPr>
          <w:i/>
          <w:iCs/>
        </w:rPr>
        <w:t>Ward</w:t>
      </w:r>
      <w:r w:rsidR="00E84770">
        <w:t>’s functional approach to the question of monetary damages</w:t>
      </w:r>
      <w:r w:rsidR="00A33CBC">
        <w:t xml:space="preserve"> and broke new trail.</w:t>
      </w:r>
      <w:r w:rsidR="00E84770">
        <w:t xml:space="preserve"> </w:t>
      </w:r>
      <w:proofErr w:type="spellStart"/>
      <w:r w:rsidR="00291290" w:rsidRPr="00291290">
        <w:rPr>
          <w:i/>
          <w:iCs/>
        </w:rPr>
        <w:t>Nammo</w:t>
      </w:r>
      <w:proofErr w:type="spellEnd"/>
      <w:r w:rsidR="00D656BF">
        <w:t xml:space="preserve"> </w:t>
      </w:r>
      <w:r w:rsidR="00BC2346">
        <w:t xml:space="preserve">and </w:t>
      </w:r>
      <w:r w:rsidR="003061DB" w:rsidRPr="003061DB">
        <w:rPr>
          <w:i/>
          <w:iCs/>
        </w:rPr>
        <w:t>Ward</w:t>
      </w:r>
      <w:r w:rsidR="00BC2346">
        <w:rPr>
          <w:i/>
          <w:iCs/>
        </w:rPr>
        <w:t xml:space="preserve"> </w:t>
      </w:r>
      <w:r w:rsidR="00BC2346">
        <w:t>are</w:t>
      </w:r>
      <w:r w:rsidR="00D656BF">
        <w:t xml:space="preserve"> case</w:t>
      </w:r>
      <w:r w:rsidR="00BC2346">
        <w:t>s</w:t>
      </w:r>
      <w:r w:rsidR="00D656BF">
        <w:t xml:space="preserve"> to which this </w:t>
      </w:r>
      <w:r w:rsidR="00852151" w:rsidRPr="00E84E65">
        <w:t>article</w:t>
      </w:r>
      <w:r w:rsidR="00D656BF" w:rsidRPr="00E84E65">
        <w:t xml:space="preserve"> returns in </w:t>
      </w:r>
      <w:r w:rsidR="00C051A3" w:rsidRPr="00E84E65">
        <w:t>Part</w:t>
      </w:r>
      <w:r w:rsidR="00FA034B" w:rsidRPr="00E84E65">
        <w:t xml:space="preserve"> Two</w:t>
      </w:r>
      <w:r w:rsidR="00E84E65" w:rsidRPr="00E84E65">
        <w:t>,</w:t>
      </w:r>
      <w:r w:rsidR="00FA6A8B" w:rsidRPr="00E84E65">
        <w:t xml:space="preserve"> forthcoming in</w:t>
      </w:r>
      <w:r w:rsidR="00FA034B" w:rsidRPr="00E84E65">
        <w:t xml:space="preserve"> </w:t>
      </w:r>
      <w:r w:rsidR="00E84E65" w:rsidRPr="00E84E65">
        <w:t xml:space="preserve">the June </w:t>
      </w:r>
      <w:r w:rsidR="00B00624">
        <w:t xml:space="preserve">2022 </w:t>
      </w:r>
      <w:r w:rsidR="00E84E65" w:rsidRPr="00E84E65">
        <w:t>issue of The Advocates’ Quarterly</w:t>
      </w:r>
      <w:r w:rsidR="007367E6" w:rsidRPr="00E84E65">
        <w:t>.</w:t>
      </w:r>
      <w:r w:rsidR="008B5FC8">
        <w:t xml:space="preserve"> </w:t>
      </w:r>
    </w:p>
    <w:p w14:paraId="66840DF9" w14:textId="3AB5F221" w:rsidR="00864DD7" w:rsidRDefault="00D656BF" w:rsidP="002118A3">
      <w:pPr>
        <w:ind w:firstLine="360"/>
      </w:pPr>
      <w:r>
        <w:t xml:space="preserve">Thus far, </w:t>
      </w:r>
      <w:r w:rsidR="000A14ED">
        <w:t xml:space="preserve">we have </w:t>
      </w:r>
      <w:r w:rsidR="00864DD7" w:rsidRPr="00FE1447">
        <w:t xml:space="preserve">emphasized the constitutional overlay to </w:t>
      </w:r>
      <w:r w:rsidR="00864DD7">
        <w:t xml:space="preserve">both </w:t>
      </w:r>
      <w:r w:rsidR="003061DB" w:rsidRPr="003061DB">
        <w:rPr>
          <w:i/>
          <w:iCs/>
        </w:rPr>
        <w:t>PIPEDA</w:t>
      </w:r>
      <w:r w:rsidR="00864DD7">
        <w:t xml:space="preserve"> and </w:t>
      </w:r>
      <w:r w:rsidR="00864DD7" w:rsidRPr="00FE1447">
        <w:t>the privacy interest</w:t>
      </w:r>
      <w:r w:rsidR="0011110E">
        <w:t xml:space="preserve">, recognition of which is essential to </w:t>
      </w:r>
      <w:r w:rsidR="00A33CBC">
        <w:t xml:space="preserve">proper compensation. </w:t>
      </w:r>
      <w:r w:rsidR="00161586">
        <w:t>A</w:t>
      </w:r>
      <w:r w:rsidR="00864DD7">
        <w:t>s discussed in the next section, a</w:t>
      </w:r>
      <w:r w:rsidR="004B4338">
        <w:t xml:space="preserve"> </w:t>
      </w:r>
      <w:r w:rsidR="0011110E">
        <w:t>further</w:t>
      </w:r>
      <w:r w:rsidR="00A33CBC">
        <w:t xml:space="preserve">, related </w:t>
      </w:r>
      <w:r w:rsidR="0011110E">
        <w:t xml:space="preserve">step is </w:t>
      </w:r>
      <w:r w:rsidR="00864DD7">
        <w:t xml:space="preserve">to assess </w:t>
      </w:r>
      <w:r w:rsidR="0011110E">
        <w:t>privacy’s</w:t>
      </w:r>
      <w:r w:rsidR="00864DD7">
        <w:t xml:space="preserve"> intersection with the dignitary torts themselves, both </w:t>
      </w:r>
      <w:r w:rsidR="00C33740">
        <w:t xml:space="preserve">long </w:t>
      </w:r>
      <w:r w:rsidR="00864DD7">
        <w:t xml:space="preserve">established and more recently recognized.  </w:t>
      </w:r>
    </w:p>
    <w:p w14:paraId="5ED5CADF" w14:textId="682CE91F" w:rsidR="003270FC" w:rsidRPr="003547B2" w:rsidRDefault="003061DB" w:rsidP="00A97F99">
      <w:pPr>
        <w:pStyle w:val="citation-altc"/>
        <w:numPr>
          <w:ilvl w:val="0"/>
          <w:numId w:val="16"/>
        </w:numPr>
        <w:rPr>
          <w:rFonts w:ascii="Arial" w:hAnsi="Arial" w:cs="Arial"/>
          <w:b/>
        </w:rPr>
      </w:pPr>
      <w:r w:rsidRPr="003061DB">
        <w:rPr>
          <w:rFonts w:ascii="Arial" w:hAnsi="Arial" w:cs="Arial"/>
          <w:b/>
          <w:i/>
          <w:iCs/>
        </w:rPr>
        <w:t>PIPEDA</w:t>
      </w:r>
      <w:r w:rsidR="00BC2346" w:rsidRPr="003547B2">
        <w:rPr>
          <w:rFonts w:ascii="Arial" w:hAnsi="Arial" w:cs="Arial"/>
          <w:b/>
        </w:rPr>
        <w:t xml:space="preserve">’s </w:t>
      </w:r>
      <w:r w:rsidR="003270FC" w:rsidRPr="003547B2">
        <w:rPr>
          <w:rFonts w:ascii="Arial" w:hAnsi="Arial" w:cs="Arial"/>
          <w:b/>
        </w:rPr>
        <w:t xml:space="preserve">link to </w:t>
      </w:r>
      <w:r w:rsidR="00FA0DC1" w:rsidRPr="003547B2">
        <w:rPr>
          <w:rFonts w:ascii="Arial" w:hAnsi="Arial" w:cs="Arial"/>
          <w:b/>
        </w:rPr>
        <w:t>dignitary</w:t>
      </w:r>
      <w:r w:rsidR="003270FC" w:rsidRPr="003547B2">
        <w:rPr>
          <w:rFonts w:ascii="Arial" w:hAnsi="Arial" w:cs="Arial"/>
          <w:b/>
        </w:rPr>
        <w:t xml:space="preserve"> torts</w:t>
      </w:r>
    </w:p>
    <w:p w14:paraId="41CD7264" w14:textId="316F7D94" w:rsidR="003547B2" w:rsidRPr="003547B2" w:rsidRDefault="003547B2" w:rsidP="00706E87">
      <w:pPr>
        <w:pStyle w:val="citation-altc"/>
        <w:numPr>
          <w:ilvl w:val="0"/>
          <w:numId w:val="9"/>
        </w:numPr>
        <w:rPr>
          <w:rFonts w:ascii="Arial" w:hAnsi="Arial" w:cs="Arial"/>
          <w:b/>
          <w:bCs w:val="0"/>
        </w:rPr>
      </w:pPr>
      <w:r w:rsidRPr="003547B2">
        <w:rPr>
          <w:rFonts w:ascii="Arial" w:hAnsi="Arial" w:cs="Arial"/>
          <w:b/>
        </w:rPr>
        <w:lastRenderedPageBreak/>
        <w:t>The Nature of Dign</w:t>
      </w:r>
      <w:r>
        <w:rPr>
          <w:rFonts w:ascii="Arial" w:hAnsi="Arial" w:cs="Arial"/>
          <w:b/>
        </w:rPr>
        <w:t>i</w:t>
      </w:r>
      <w:r w:rsidRPr="003547B2">
        <w:rPr>
          <w:rFonts w:ascii="Arial" w:hAnsi="Arial" w:cs="Arial"/>
          <w:b/>
        </w:rPr>
        <w:t>t</w:t>
      </w:r>
      <w:r>
        <w:rPr>
          <w:rFonts w:ascii="Arial" w:hAnsi="Arial" w:cs="Arial"/>
          <w:b/>
        </w:rPr>
        <w:t>a</w:t>
      </w:r>
      <w:r w:rsidRPr="003547B2">
        <w:rPr>
          <w:rFonts w:ascii="Arial" w:hAnsi="Arial" w:cs="Arial"/>
          <w:b/>
        </w:rPr>
        <w:t>ry Torts</w:t>
      </w:r>
    </w:p>
    <w:p w14:paraId="1DC4A4F0" w14:textId="5F771B9A" w:rsidR="00CB5E38" w:rsidRDefault="006C5C0C">
      <w:pPr>
        <w:ind w:firstLine="720"/>
      </w:pPr>
      <w:r w:rsidRPr="00FE1447">
        <w:t xml:space="preserve">While the term “dignitary tort” is not widely defined, </w:t>
      </w:r>
      <w:r w:rsidR="00FE1447">
        <w:t xml:space="preserve">Kenneth </w:t>
      </w:r>
      <w:r w:rsidRPr="00FE1447">
        <w:t xml:space="preserve">Abraham and </w:t>
      </w:r>
      <w:r w:rsidR="00FE1447">
        <w:t>Ed</w:t>
      </w:r>
      <w:r w:rsidR="00D056EA">
        <w:t>ward</w:t>
      </w:r>
      <w:r w:rsidR="00FE1447">
        <w:t xml:space="preserve"> White </w:t>
      </w:r>
      <w:r w:rsidRPr="00FE1447">
        <w:t>persua</w:t>
      </w:r>
      <w:r w:rsidR="00FE1447">
        <w:t>s</w:t>
      </w:r>
      <w:r w:rsidRPr="00FE1447">
        <w:t>i</w:t>
      </w:r>
      <w:r w:rsidR="00FE1447">
        <w:t>v</w:t>
      </w:r>
      <w:r w:rsidRPr="00FE1447">
        <w:t xml:space="preserve">ely argue </w:t>
      </w:r>
      <w:r w:rsidR="00FE1447">
        <w:t xml:space="preserve">that it </w:t>
      </w:r>
      <w:r w:rsidRPr="00FE1447">
        <w:t>protect</w:t>
      </w:r>
      <w:r w:rsidR="00033112">
        <w:t>s</w:t>
      </w:r>
      <w:r w:rsidRPr="00FE1447">
        <w:t xml:space="preserve"> the dignity interests</w:t>
      </w:r>
      <w:r w:rsidR="00FE1447">
        <w:t xml:space="preserve">, such as </w:t>
      </w:r>
      <w:r w:rsidRPr="00FE1447">
        <w:t xml:space="preserve">“freedom from embarrassment, humiliation, ridicule, inaccurate characterization, interference with </w:t>
      </w:r>
      <w:r w:rsidR="00FE1447">
        <w:t>‘</w:t>
      </w:r>
      <w:r w:rsidRPr="00FE1447">
        <w:t>peace of mind.</w:t>
      </w:r>
      <w:r w:rsidR="00FE1447">
        <w:t>’</w:t>
      </w:r>
      <w:r w:rsidRPr="00FE1447">
        <w:t>"</w:t>
      </w:r>
      <w:bookmarkStart w:id="29" w:name="_Ref78153248"/>
      <w:r w:rsidRPr="00FE1447">
        <w:rPr>
          <w:rStyle w:val="FootnoteReference"/>
        </w:rPr>
        <w:footnoteReference w:id="114"/>
      </w:r>
      <w:bookmarkEnd w:id="29"/>
      <w:r w:rsidRPr="00FE1447">
        <w:t xml:space="preserve"> </w:t>
      </w:r>
      <w:r w:rsidR="00CB5E38">
        <w:t xml:space="preserve">Certainly the link between dignity and privacy is recognized by the Supreme Court of Canada, including in the recent decision of </w:t>
      </w:r>
      <w:r w:rsidR="00CB5E38" w:rsidRPr="00494828">
        <w:rPr>
          <w:i/>
          <w:iCs/>
        </w:rPr>
        <w:t>R v Jarvis</w:t>
      </w:r>
      <w:r w:rsidR="00CB5E38">
        <w:t>.</w:t>
      </w:r>
      <w:r w:rsidR="00CB5E38">
        <w:rPr>
          <w:rStyle w:val="FootnoteReference"/>
        </w:rPr>
        <w:footnoteReference w:id="115"/>
      </w:r>
      <w:r w:rsidR="00CB5E38">
        <w:t xml:space="preserve"> In </w:t>
      </w:r>
      <w:r w:rsidR="00537739">
        <w:rPr>
          <w:i/>
          <w:iCs/>
        </w:rPr>
        <w:t>Jarvis</w:t>
      </w:r>
      <w:r w:rsidR="00CB5E38">
        <w:t>, the Supreme Court observed that while “all aspects of privacy</w:t>
      </w:r>
      <w:r w:rsidR="005820F5" w:rsidRPr="00B11899">
        <w:t xml:space="preserve"> </w:t>
      </w:r>
      <w:r w:rsidR="005820F5">
        <w:t xml:space="preserve">– </w:t>
      </w:r>
      <w:r w:rsidR="00CB5E38">
        <w:t>both from the state and from other individuals</w:t>
      </w:r>
      <w:r w:rsidR="005820F5">
        <w:t xml:space="preserve"> – </w:t>
      </w:r>
      <w:r w:rsidR="00CB5E38">
        <w:t>serve to foster the values of dignity, integrity and autonomy in our society, the connection between personal privacy and human dignity is especially palpable.”</w:t>
      </w:r>
      <w:r w:rsidR="00CB5E38">
        <w:rPr>
          <w:rStyle w:val="FootnoteReference"/>
        </w:rPr>
        <w:footnoteReference w:id="116"/>
      </w:r>
      <w:r w:rsidR="00A81B02">
        <w:t xml:space="preserve"> </w:t>
      </w:r>
    </w:p>
    <w:p w14:paraId="17A52635" w14:textId="77777777" w:rsidR="00384DC2" w:rsidRDefault="006C5C0C" w:rsidP="00494828">
      <w:pPr>
        <w:ind w:firstLine="720"/>
        <w:contextualSpacing/>
      </w:pPr>
      <w:r w:rsidRPr="00FE1447">
        <w:t>Tradition</w:t>
      </w:r>
      <w:r w:rsidR="00055A0C">
        <w:t>al d</w:t>
      </w:r>
      <w:r w:rsidRPr="00FE1447">
        <w:t xml:space="preserve">ignitary torts include </w:t>
      </w:r>
      <w:r w:rsidR="004B4338" w:rsidRPr="00FE1447">
        <w:t>defamation</w:t>
      </w:r>
      <w:r w:rsidR="004B4338">
        <w:t>,</w:t>
      </w:r>
      <w:r w:rsidR="004B4338" w:rsidRPr="00FE1447">
        <w:rPr>
          <w:rStyle w:val="FootnoteReference"/>
        </w:rPr>
        <w:footnoteReference w:id="117"/>
      </w:r>
      <w:r w:rsidR="004B4338">
        <w:t xml:space="preserve"> </w:t>
      </w:r>
      <w:r w:rsidR="00033112">
        <w:t>battery,</w:t>
      </w:r>
      <w:r w:rsidR="00033112">
        <w:rPr>
          <w:rStyle w:val="FootnoteReference"/>
        </w:rPr>
        <w:footnoteReference w:id="118"/>
      </w:r>
      <w:r w:rsidR="00033112">
        <w:t xml:space="preserve"> </w:t>
      </w:r>
      <w:r w:rsidRPr="00FE1447">
        <w:t>intentional infliction of emotional distress</w:t>
      </w:r>
      <w:r w:rsidRPr="00FE1447">
        <w:rPr>
          <w:rStyle w:val="FootnoteReference"/>
        </w:rPr>
        <w:footnoteReference w:id="119"/>
      </w:r>
      <w:r w:rsidRPr="00FE1447">
        <w:t xml:space="preserve"> </w:t>
      </w:r>
      <w:r w:rsidR="00A57B3D">
        <w:t>an</w:t>
      </w:r>
      <w:r w:rsidR="00033112">
        <w:t xml:space="preserve">d, as argued by Abraham and White, </w:t>
      </w:r>
      <w:r w:rsidR="00A57B3D">
        <w:t>false imprisonment</w:t>
      </w:r>
      <w:r w:rsidR="00033112">
        <w:t>.</w:t>
      </w:r>
      <w:r w:rsidR="00033112">
        <w:rPr>
          <w:rStyle w:val="FootnoteReference"/>
        </w:rPr>
        <w:footnoteReference w:id="120"/>
      </w:r>
      <w:r w:rsidR="00033112">
        <w:t xml:space="preserve"> </w:t>
      </w:r>
      <w:r w:rsidR="00805229">
        <w:t xml:space="preserve"> </w:t>
      </w:r>
      <w:r w:rsidR="00496209">
        <w:t>Using slightly different nomenclature</w:t>
      </w:r>
      <w:r w:rsidR="00B145AA">
        <w:t xml:space="preserve"> and writing from the perspective of Canadian tort law</w:t>
      </w:r>
      <w:r w:rsidR="00496209">
        <w:t xml:space="preserve">, </w:t>
      </w:r>
      <w:r w:rsidR="00805229">
        <w:t>John Craig identifie</w:t>
      </w:r>
      <w:r w:rsidR="00291290">
        <w:t>d</w:t>
      </w:r>
      <w:r w:rsidR="00A81B02">
        <w:t xml:space="preserve"> such torts under the banner</w:t>
      </w:r>
      <w:r w:rsidR="00145340">
        <w:t xml:space="preserve"> of</w:t>
      </w:r>
      <w:r w:rsidR="00805229">
        <w:t xml:space="preserve"> “the personal torts”</w:t>
      </w:r>
      <w:r w:rsidR="00F127F0">
        <w:t xml:space="preserve"> </w:t>
      </w:r>
      <w:r w:rsidR="00805229">
        <w:t>(</w:t>
      </w:r>
      <w:r w:rsidR="004B4338">
        <w:t>e</w:t>
      </w:r>
      <w:r w:rsidR="00D056EA">
        <w:t>.</w:t>
      </w:r>
      <w:r w:rsidR="004B4338">
        <w:t>g</w:t>
      </w:r>
      <w:r w:rsidR="00D056EA">
        <w:t>.:</w:t>
      </w:r>
      <w:r w:rsidR="00805229">
        <w:t xml:space="preserve"> assault, battery, false imprisonment and mental distress) </w:t>
      </w:r>
      <w:r w:rsidR="00A81B02">
        <w:t xml:space="preserve">and </w:t>
      </w:r>
      <w:r w:rsidR="00805229">
        <w:t>as “premised on the notion that the individual has the right to be free from interference from third parties and to live in security and safety</w:t>
      </w:r>
      <w:r w:rsidR="000B0B45">
        <w:t>.</w:t>
      </w:r>
      <w:r w:rsidR="00805229">
        <w:t>”</w:t>
      </w:r>
      <w:r w:rsidR="00F127F0">
        <w:rPr>
          <w:rStyle w:val="FootnoteReference"/>
        </w:rPr>
        <w:footnoteReference w:id="121"/>
      </w:r>
      <w:r w:rsidR="000B0B45">
        <w:t xml:space="preserve"> </w:t>
      </w:r>
      <w:r w:rsidR="00436F8D">
        <w:t>Beyond this, h</w:t>
      </w:r>
      <w:r w:rsidR="000B0B45">
        <w:t>e emphasize</w:t>
      </w:r>
      <w:r w:rsidR="00864DD7">
        <w:t>d</w:t>
      </w:r>
      <w:r w:rsidR="000B0B45">
        <w:t xml:space="preserve"> that the personal torts must </w:t>
      </w:r>
      <w:r w:rsidR="003D3156">
        <w:t xml:space="preserve">generally be </w:t>
      </w:r>
      <w:r w:rsidR="000B0B45">
        <w:t>understood as “relating to personal interests of a spiritual nature, such as autonomy, liberty, security and dignity.”</w:t>
      </w:r>
      <w:r w:rsidR="000B0B45">
        <w:rPr>
          <w:rStyle w:val="FootnoteReference"/>
        </w:rPr>
        <w:footnoteReference w:id="122"/>
      </w:r>
      <w:r w:rsidR="00795CCE">
        <w:t xml:space="preserve"> </w:t>
      </w:r>
      <w:r w:rsidR="005447EA">
        <w:t xml:space="preserve">Jason </w:t>
      </w:r>
      <w:proofErr w:type="spellStart"/>
      <w:r w:rsidR="005447EA">
        <w:t>Varuhas</w:t>
      </w:r>
      <w:proofErr w:type="spellEnd"/>
      <w:r w:rsidR="005447EA">
        <w:t xml:space="preserve"> offers a third moniker for these kinds of actions, calling them “vindicatory torts.”</w:t>
      </w:r>
      <w:r w:rsidR="005447EA">
        <w:rPr>
          <w:rStyle w:val="FootnoteReference"/>
        </w:rPr>
        <w:footnoteReference w:id="123"/>
      </w:r>
      <w:r w:rsidR="005447EA">
        <w:t xml:space="preserve"> He describes such torts as intended “to protect the most fundamental of human and proprietary interests from outside interference, creating zones of protection, and to vindicate these interests in the sense of affirming and reinforcing their importance and that they ought to be maintained inviolate.”</w:t>
      </w:r>
      <w:r w:rsidR="005447EA">
        <w:rPr>
          <w:rStyle w:val="FootnoteReference"/>
        </w:rPr>
        <w:footnoteReference w:id="124"/>
      </w:r>
      <w:r w:rsidR="005447EA">
        <w:t xml:space="preserve"> </w:t>
      </w:r>
    </w:p>
    <w:p w14:paraId="66828483" w14:textId="77777777" w:rsidR="00384DC2" w:rsidRDefault="00384DC2" w:rsidP="00494828">
      <w:pPr>
        <w:ind w:firstLine="720"/>
        <w:contextualSpacing/>
      </w:pPr>
    </w:p>
    <w:p w14:paraId="4B1D8916" w14:textId="5C8146B5" w:rsidR="00267A2E" w:rsidRDefault="0014052D" w:rsidP="00494828">
      <w:pPr>
        <w:ind w:firstLine="720"/>
        <w:contextualSpacing/>
      </w:pPr>
      <w:r>
        <w:lastRenderedPageBreak/>
        <w:t xml:space="preserve">Note, however, that in the context of </w:t>
      </w:r>
      <w:r w:rsidR="003061DB" w:rsidRPr="003061DB">
        <w:rPr>
          <w:i/>
          <w:iCs/>
        </w:rPr>
        <w:t>PIPEDA</w:t>
      </w:r>
      <w:r>
        <w:t xml:space="preserve"> </w:t>
      </w:r>
      <w:r w:rsidR="00FD3602">
        <w:t>(</w:t>
      </w:r>
      <w:r>
        <w:t xml:space="preserve">or the </w:t>
      </w:r>
      <w:r w:rsidR="003061DB" w:rsidRPr="003061DB">
        <w:rPr>
          <w:i/>
          <w:iCs/>
        </w:rPr>
        <w:t>Charter</w:t>
      </w:r>
      <w:r>
        <w:t xml:space="preserve"> for that matter</w:t>
      </w:r>
      <w:r w:rsidR="00FD3602">
        <w:t>)</w:t>
      </w:r>
      <w:r w:rsidR="00FD3602">
        <w:rPr>
          <w:rStyle w:val="FootnoteReference"/>
        </w:rPr>
        <w:footnoteReference w:id="125"/>
      </w:r>
      <w:r>
        <w:t xml:space="preserve"> the privacy interest is not </w:t>
      </w:r>
      <w:r w:rsidR="00867D4A">
        <w:t xml:space="preserve">inviolate in the sense of being </w:t>
      </w:r>
      <w:r w:rsidR="00FD3602">
        <w:t>absolute</w:t>
      </w:r>
      <w:r>
        <w:t xml:space="preserve">. </w:t>
      </w:r>
      <w:r w:rsidR="00E71E89">
        <w:t xml:space="preserve">As the  court observed in </w:t>
      </w:r>
      <w:r w:rsidR="00E71E89" w:rsidRPr="00E71E89">
        <w:rPr>
          <w:i/>
          <w:iCs/>
        </w:rPr>
        <w:t>Canadian Civil Liberties Association v Canada</w:t>
      </w:r>
      <w:r w:rsidR="00E71E89">
        <w:t xml:space="preserve">, </w:t>
      </w:r>
      <w:r w:rsidR="003061DB" w:rsidRPr="003061DB">
        <w:rPr>
          <w:i/>
          <w:iCs/>
        </w:rPr>
        <w:t>PIPEDA</w:t>
      </w:r>
      <w:r w:rsidR="00E71E89">
        <w:t xml:space="preserve"> “is an attempt to regulate </w:t>
      </w:r>
      <w:r w:rsidR="00E71E89" w:rsidRPr="00DD2FE6">
        <w:t>and balance</w:t>
      </w:r>
      <w:r w:rsidR="00E71E89">
        <w:t xml:space="preserve"> the many competing rights and duties of individuals and private busines</w:t>
      </w:r>
      <w:r w:rsidR="00E71E89" w:rsidRPr="00267A2E">
        <w:t>ses</w:t>
      </w:r>
      <w:r w:rsidR="00431F9C" w:rsidRPr="00267A2E">
        <w:t>.</w:t>
      </w:r>
      <w:r w:rsidR="00E71E89" w:rsidRPr="00267A2E">
        <w:t>”</w:t>
      </w:r>
      <w:r w:rsidR="00E71E89" w:rsidRPr="00267A2E">
        <w:rPr>
          <w:rStyle w:val="FootnoteReference"/>
        </w:rPr>
        <w:footnoteReference w:id="126"/>
      </w:r>
      <w:r w:rsidR="00420FA4" w:rsidRPr="00267A2E">
        <w:t xml:space="preserve"> Setting these cave</w:t>
      </w:r>
      <w:r w:rsidR="00335D7D" w:rsidRPr="00267A2E">
        <w:t>at</w:t>
      </w:r>
      <w:r w:rsidR="00420FA4" w:rsidRPr="00267A2E">
        <w:t xml:space="preserve">s to the side, there is every reason to add </w:t>
      </w:r>
      <w:r w:rsidR="00267A2E">
        <w:t>invasion</w:t>
      </w:r>
      <w:r w:rsidR="002740D7" w:rsidRPr="00267A2E">
        <w:t xml:space="preserve"> of privacy to the list of dignitary torts. </w:t>
      </w:r>
      <w:r w:rsidR="00335D7D" w:rsidRPr="00267A2E">
        <w:t>Favouring such a classification,</w:t>
      </w:r>
      <w:r w:rsidR="00335D7D" w:rsidRPr="00267A2E">
        <w:rPr>
          <w:rStyle w:val="FootnoteReference"/>
        </w:rPr>
        <w:footnoteReference w:id="127"/>
      </w:r>
      <w:r w:rsidR="00335D7D" w:rsidRPr="00267A2E">
        <w:t xml:space="preserve"> </w:t>
      </w:r>
      <w:r w:rsidR="00B145AA" w:rsidRPr="00267A2E">
        <w:t>Ed</w:t>
      </w:r>
      <w:r w:rsidR="00D056EA" w:rsidRPr="00267A2E">
        <w:t>ward</w:t>
      </w:r>
      <w:r w:rsidR="00496209" w:rsidRPr="00267A2E">
        <w:t xml:space="preserve"> </w:t>
      </w:r>
      <w:proofErr w:type="spellStart"/>
      <w:r w:rsidR="00F127F0" w:rsidRPr="00267A2E">
        <w:t>Blouste</w:t>
      </w:r>
      <w:r w:rsidR="003D130A" w:rsidRPr="00267A2E">
        <w:t>i</w:t>
      </w:r>
      <w:r w:rsidR="00F127F0" w:rsidRPr="00267A2E">
        <w:t>n</w:t>
      </w:r>
      <w:proofErr w:type="spellEnd"/>
      <w:r w:rsidR="00335D7D" w:rsidRPr="00267A2E">
        <w:t xml:space="preserve"> </w:t>
      </w:r>
      <w:r w:rsidR="0084576B" w:rsidRPr="00267A2E">
        <w:t>observes that privacy intrusions</w:t>
      </w:r>
      <w:r w:rsidR="005820F5" w:rsidRPr="00B11899">
        <w:t xml:space="preserve"> </w:t>
      </w:r>
      <w:r w:rsidR="005820F5">
        <w:t xml:space="preserve">– </w:t>
      </w:r>
      <w:r w:rsidR="0084576B" w:rsidRPr="00267A2E">
        <w:t>like assault, battery, or wrongful imprisonments</w:t>
      </w:r>
      <w:r w:rsidR="005820F5" w:rsidRPr="00B11899">
        <w:t xml:space="preserve"> </w:t>
      </w:r>
      <w:r w:rsidR="005820F5">
        <w:t xml:space="preserve">– </w:t>
      </w:r>
      <w:r w:rsidR="0084576B" w:rsidRPr="00267A2E">
        <w:t>are offenses to “the reasonable sense of personal dignity”</w:t>
      </w:r>
      <w:r w:rsidR="0084576B" w:rsidRPr="00267A2E">
        <w:rPr>
          <w:rStyle w:val="FootnoteReference"/>
        </w:rPr>
        <w:footnoteReference w:id="128"/>
      </w:r>
      <w:r w:rsidR="0084576B" w:rsidRPr="00267A2E">
        <w:t xml:space="preserve"> and </w:t>
      </w:r>
      <w:r w:rsidR="00DD2FE6" w:rsidRPr="00267A2E">
        <w:t>what “distinguishes the invasion of privacy as a tort from the other torts which involve insults to human dignity and individuality is merely the means used to perpetrate the wrong.”</w:t>
      </w:r>
      <w:r w:rsidR="00DD2FE6" w:rsidRPr="00267A2E">
        <w:rPr>
          <w:rStyle w:val="FootnoteReference"/>
        </w:rPr>
        <w:footnoteReference w:id="129"/>
      </w:r>
    </w:p>
    <w:p w14:paraId="6ECFDE94" w14:textId="77777777" w:rsidR="00575635" w:rsidRDefault="00575635" w:rsidP="00267A2E">
      <w:pPr>
        <w:ind w:firstLine="720"/>
        <w:contextualSpacing/>
        <w:rPr>
          <w:lang w:bidi="he-IL"/>
        </w:rPr>
      </w:pPr>
    </w:p>
    <w:p w14:paraId="721D6679" w14:textId="5931921A" w:rsidR="00DD2FE6" w:rsidRDefault="00575635" w:rsidP="00374F8F">
      <w:pPr>
        <w:ind w:firstLine="720"/>
        <w:contextualSpacing/>
      </w:pPr>
      <w:r>
        <w:rPr>
          <w:lang w:bidi="he-IL"/>
        </w:rPr>
        <w:t xml:space="preserve">Accordingly, the following </w:t>
      </w:r>
      <w:r w:rsidR="00130DE3">
        <w:rPr>
          <w:lang w:bidi="he-IL"/>
        </w:rPr>
        <w:t>sub-</w:t>
      </w:r>
      <w:r w:rsidRPr="00130DE3">
        <w:rPr>
          <w:lang w:bidi="he-IL"/>
        </w:rPr>
        <w:t>section</w:t>
      </w:r>
      <w:r>
        <w:rPr>
          <w:lang w:bidi="he-IL"/>
        </w:rPr>
        <w:t xml:space="preserve"> provides a very brief account of provincial privacy tort legislation and the recently emerging common law torts. The goal is to provide a general sense of the protection of privacy landscape, to emphasize the broad significance of privacy as a dignitary interest, to illuminate the ways in which these torts overlap with and are distinct from claims under PIPEDA, and to consider judicial approaches to quantum for comparative purposes.</w:t>
      </w:r>
      <w:r w:rsidR="00DD2FE6" w:rsidRPr="00267A2E">
        <w:t xml:space="preserve"> </w:t>
      </w:r>
    </w:p>
    <w:p w14:paraId="2CDEA6AC" w14:textId="77777777" w:rsidR="00575635" w:rsidRPr="00267A2E" w:rsidRDefault="00575635" w:rsidP="00374F8F">
      <w:pPr>
        <w:ind w:firstLine="720"/>
        <w:contextualSpacing/>
      </w:pPr>
    </w:p>
    <w:p w14:paraId="409BB0D2" w14:textId="254E77FE" w:rsidR="009B68E3" w:rsidRPr="009B68E3" w:rsidRDefault="009B68E3" w:rsidP="00706E87">
      <w:pPr>
        <w:pStyle w:val="ListParagraph"/>
        <w:numPr>
          <w:ilvl w:val="0"/>
          <w:numId w:val="9"/>
        </w:numPr>
        <w:rPr>
          <w:b/>
          <w:bCs/>
        </w:rPr>
      </w:pPr>
      <w:r w:rsidRPr="00267A2E">
        <w:rPr>
          <w:b/>
          <w:bCs/>
        </w:rPr>
        <w:t>The Priv</w:t>
      </w:r>
      <w:r w:rsidRPr="009B68E3">
        <w:rPr>
          <w:b/>
          <w:bCs/>
        </w:rPr>
        <w:t>acy Torts</w:t>
      </w:r>
      <w:r>
        <w:rPr>
          <w:b/>
          <w:bCs/>
        </w:rPr>
        <w:t xml:space="preserve"> as Dignitary Torts</w:t>
      </w:r>
    </w:p>
    <w:p w14:paraId="23919AB7" w14:textId="77777777" w:rsidR="00B8699D" w:rsidRDefault="00B57A64" w:rsidP="00B43481">
      <w:pPr>
        <w:ind w:firstLine="720"/>
        <w:rPr>
          <w:lang w:bidi="he-IL"/>
        </w:rPr>
      </w:pPr>
      <w:r>
        <w:rPr>
          <w:lang w:bidi="he-IL"/>
        </w:rPr>
        <w:t>Further instances of privacy taking the form of</w:t>
      </w:r>
      <w:r w:rsidR="007E6DE2">
        <w:rPr>
          <w:lang w:bidi="he-IL"/>
        </w:rPr>
        <w:t xml:space="preserve"> a</w:t>
      </w:r>
      <w:r>
        <w:rPr>
          <w:lang w:bidi="he-IL"/>
        </w:rPr>
        <w:t xml:space="preserve"> dignitary tort are</w:t>
      </w:r>
      <w:r w:rsidR="000D4605">
        <w:rPr>
          <w:lang w:bidi="he-IL"/>
        </w:rPr>
        <w:t xml:space="preserve"> created by statute</w:t>
      </w:r>
      <w:r>
        <w:rPr>
          <w:lang w:bidi="he-IL"/>
        </w:rPr>
        <w:t xml:space="preserve"> in </w:t>
      </w:r>
      <w:r w:rsidRPr="00AB7AFD">
        <w:rPr>
          <w:lang w:bidi="he-IL"/>
        </w:rPr>
        <w:t xml:space="preserve">British Columbia, Manitoba, Saskatchewan </w:t>
      </w:r>
      <w:r w:rsidR="004A7CA0">
        <w:rPr>
          <w:lang w:bidi="he-IL"/>
        </w:rPr>
        <w:t>as well as</w:t>
      </w:r>
      <w:r w:rsidRPr="00AB7AFD">
        <w:rPr>
          <w:lang w:bidi="he-IL"/>
        </w:rPr>
        <w:t xml:space="preserve"> Newfoundland and Labrador</w:t>
      </w:r>
      <w:r w:rsidR="00D25B79">
        <w:rPr>
          <w:lang w:bidi="he-IL"/>
        </w:rPr>
        <w:t>.</w:t>
      </w:r>
      <w:r w:rsidRPr="00AB7AFD">
        <w:rPr>
          <w:vertAlign w:val="superscript"/>
          <w:lang w:bidi="he-IL"/>
        </w:rPr>
        <w:footnoteReference w:id="130"/>
      </w:r>
      <w:r w:rsidRPr="00AB7AFD">
        <w:rPr>
          <w:lang w:bidi="he-IL"/>
        </w:rPr>
        <w:t xml:space="preserve"> </w:t>
      </w:r>
      <w:r w:rsidR="00323EE6">
        <w:rPr>
          <w:lang w:bidi="he-IL"/>
        </w:rPr>
        <w:t xml:space="preserve">We </w:t>
      </w:r>
      <w:r w:rsidR="008941A5">
        <w:rPr>
          <w:lang w:bidi="he-IL"/>
        </w:rPr>
        <w:t>refer</w:t>
      </w:r>
      <w:r w:rsidR="004A7CA0">
        <w:rPr>
          <w:lang w:bidi="he-IL"/>
        </w:rPr>
        <w:t xml:space="preserve"> to</w:t>
      </w:r>
      <w:r w:rsidR="008941A5">
        <w:rPr>
          <w:lang w:bidi="he-IL"/>
        </w:rPr>
        <w:t xml:space="preserve"> </w:t>
      </w:r>
      <w:r w:rsidR="00D01D16">
        <w:rPr>
          <w:lang w:bidi="he-IL"/>
        </w:rPr>
        <w:t>these</w:t>
      </w:r>
      <w:r w:rsidR="008C75A6">
        <w:rPr>
          <w:lang w:bidi="he-IL"/>
        </w:rPr>
        <w:t xml:space="preserve"> statutes </w:t>
      </w:r>
      <w:r w:rsidR="00615FA5">
        <w:rPr>
          <w:lang w:bidi="he-IL"/>
        </w:rPr>
        <w:t>as</w:t>
      </w:r>
      <w:r w:rsidR="00323EE6">
        <w:rPr>
          <w:lang w:bidi="he-IL"/>
        </w:rPr>
        <w:t xml:space="preserve"> “</w:t>
      </w:r>
      <w:r w:rsidR="002931A1">
        <w:rPr>
          <w:lang w:bidi="he-IL"/>
        </w:rPr>
        <w:t>p</w:t>
      </w:r>
      <w:r w:rsidR="00323EE6">
        <w:rPr>
          <w:lang w:bidi="he-IL"/>
        </w:rPr>
        <w:t xml:space="preserve">rivacy </w:t>
      </w:r>
      <w:r w:rsidR="002931A1">
        <w:rPr>
          <w:lang w:bidi="he-IL"/>
        </w:rPr>
        <w:t>t</w:t>
      </w:r>
      <w:r w:rsidR="00323EE6">
        <w:rPr>
          <w:lang w:bidi="he-IL"/>
        </w:rPr>
        <w:t xml:space="preserve">ort </w:t>
      </w:r>
      <w:r w:rsidR="002931A1">
        <w:rPr>
          <w:lang w:bidi="he-IL"/>
        </w:rPr>
        <w:t>legislation</w:t>
      </w:r>
      <w:r w:rsidR="00323EE6">
        <w:rPr>
          <w:lang w:bidi="he-IL"/>
        </w:rPr>
        <w:t xml:space="preserve">” to distinguish them from </w:t>
      </w:r>
      <w:r w:rsidR="00323EE6" w:rsidRPr="00EA583C">
        <w:rPr>
          <w:i/>
          <w:iCs/>
          <w:lang w:bidi="he-IL"/>
        </w:rPr>
        <w:t>PIPA</w:t>
      </w:r>
      <w:r w:rsidR="00323EE6">
        <w:rPr>
          <w:lang w:bidi="he-IL"/>
        </w:rPr>
        <w:t xml:space="preserve"> legislation </w:t>
      </w:r>
      <w:r w:rsidR="008941A5">
        <w:rPr>
          <w:lang w:bidi="he-IL"/>
        </w:rPr>
        <w:t xml:space="preserve">which, as discussed </w:t>
      </w:r>
      <w:r w:rsidR="00A67169">
        <w:rPr>
          <w:lang w:bidi="he-IL"/>
        </w:rPr>
        <w:t>in Section 1(C) of</w:t>
      </w:r>
      <w:r w:rsidR="00130DE3">
        <w:rPr>
          <w:lang w:bidi="he-IL"/>
        </w:rPr>
        <w:t xml:space="preserve"> this </w:t>
      </w:r>
      <w:r w:rsidR="00B43481">
        <w:rPr>
          <w:lang w:bidi="he-IL"/>
        </w:rPr>
        <w:t>Part</w:t>
      </w:r>
      <w:r w:rsidR="00130DE3">
        <w:rPr>
          <w:lang w:bidi="he-IL"/>
        </w:rPr>
        <w:t>,</w:t>
      </w:r>
      <w:r w:rsidR="008941A5">
        <w:rPr>
          <w:lang w:bidi="he-IL"/>
        </w:rPr>
        <w:t xml:space="preserve"> concerns</w:t>
      </w:r>
      <w:r w:rsidR="000618B2">
        <w:rPr>
          <w:lang w:bidi="he-IL"/>
        </w:rPr>
        <w:t xml:space="preserve"> protection of personal information</w:t>
      </w:r>
      <w:r w:rsidR="008941A5">
        <w:rPr>
          <w:lang w:bidi="he-IL"/>
        </w:rPr>
        <w:t xml:space="preserve"> at the provincial level</w:t>
      </w:r>
      <w:r w:rsidR="00323EE6">
        <w:rPr>
          <w:lang w:bidi="he-IL"/>
        </w:rPr>
        <w:t xml:space="preserve">. </w:t>
      </w:r>
      <w:r w:rsidR="00267A2E">
        <w:rPr>
          <w:lang w:bidi="he-IL"/>
        </w:rPr>
        <w:t>There</w:t>
      </w:r>
      <w:r w:rsidR="00D25B79">
        <w:rPr>
          <w:lang w:bidi="he-IL"/>
        </w:rPr>
        <w:t xml:space="preserve"> are four common law torts protecting the privacy interest from various perspectives.</w:t>
      </w:r>
      <w:r w:rsidR="00F9144D">
        <w:rPr>
          <w:lang w:bidi="he-IL"/>
        </w:rPr>
        <w:t xml:space="preserve"> </w:t>
      </w:r>
      <w:r w:rsidRPr="00AB7AFD">
        <w:rPr>
          <w:lang w:bidi="he-IL"/>
        </w:rPr>
        <w:t xml:space="preserve">Titled the </w:t>
      </w:r>
      <w:r w:rsidRPr="00BF0BA5">
        <w:rPr>
          <w:i/>
          <w:iCs/>
          <w:lang w:bidi="he-IL"/>
        </w:rPr>
        <w:t>Privacy Act</w:t>
      </w:r>
      <w:r w:rsidRPr="00AB7AFD">
        <w:rPr>
          <w:lang w:bidi="he-IL"/>
        </w:rPr>
        <w:t xml:space="preserve"> in each </w:t>
      </w:r>
      <w:r w:rsidR="000D4605">
        <w:rPr>
          <w:lang w:bidi="he-IL"/>
        </w:rPr>
        <w:t xml:space="preserve">instance, </w:t>
      </w:r>
      <w:r w:rsidR="002931A1">
        <w:rPr>
          <w:lang w:bidi="he-IL"/>
        </w:rPr>
        <w:t>privacy tort legislation is</w:t>
      </w:r>
      <w:r w:rsidR="000D4605">
        <w:rPr>
          <w:lang w:bidi="he-IL"/>
        </w:rPr>
        <w:t xml:space="preserve"> similar</w:t>
      </w:r>
      <w:r w:rsidR="00C23F8A">
        <w:rPr>
          <w:lang w:bidi="he-IL"/>
        </w:rPr>
        <w:t xml:space="preserve"> </w:t>
      </w:r>
      <w:r w:rsidR="00615FA5">
        <w:rPr>
          <w:lang w:bidi="he-IL"/>
        </w:rPr>
        <w:t xml:space="preserve">across the board, </w:t>
      </w:r>
      <w:r w:rsidR="000D4605">
        <w:rPr>
          <w:lang w:bidi="he-IL"/>
        </w:rPr>
        <w:t>with the central provision in the Newfoundland and Labrador Act (for example) stating as follows</w:t>
      </w:r>
      <w:r w:rsidRPr="00AB7AFD">
        <w:rPr>
          <w:lang w:bidi="he-IL"/>
        </w:rPr>
        <w:t>: “It is a tort, actionable without proof of damage, for a person, wilfully and without a claim of right, to violate the privacy of another.”</w:t>
      </w:r>
      <w:r w:rsidRPr="00AB7AFD">
        <w:rPr>
          <w:vertAlign w:val="superscript"/>
          <w:lang w:bidi="he-IL"/>
        </w:rPr>
        <w:footnoteReference w:id="131"/>
      </w:r>
      <w:r w:rsidR="007E6DE2">
        <w:rPr>
          <w:lang w:bidi="he-IL"/>
        </w:rPr>
        <w:t xml:space="preserve"> </w:t>
      </w:r>
      <w:r w:rsidR="00DF6FDB">
        <w:rPr>
          <w:lang w:bidi="he-IL"/>
        </w:rPr>
        <w:t>W</w:t>
      </w:r>
      <w:r w:rsidR="001D09B2">
        <w:rPr>
          <w:lang w:bidi="he-IL"/>
        </w:rPr>
        <w:t xml:space="preserve">hat constitutes the violation of the “privacy of another” is not </w:t>
      </w:r>
      <w:r w:rsidR="00DF6FDB">
        <w:rPr>
          <w:lang w:bidi="he-IL"/>
        </w:rPr>
        <w:t xml:space="preserve">statutorily </w:t>
      </w:r>
      <w:r w:rsidR="001D09B2">
        <w:rPr>
          <w:lang w:bidi="he-IL"/>
        </w:rPr>
        <w:t>defined</w:t>
      </w:r>
      <w:r w:rsidR="00DF6FDB">
        <w:rPr>
          <w:lang w:bidi="he-IL"/>
        </w:rPr>
        <w:t xml:space="preserve"> but e</w:t>
      </w:r>
      <w:r w:rsidR="00615FA5">
        <w:rPr>
          <w:lang w:bidi="he-IL"/>
        </w:rPr>
        <w:t>xamples of conduct that could amount to a privacy tort include e</w:t>
      </w:r>
      <w:r w:rsidR="007E6DE2" w:rsidRPr="00AB7AFD">
        <w:rPr>
          <w:lang w:bidi="he-IL"/>
        </w:rPr>
        <w:t>avesdropping, surveillance</w:t>
      </w:r>
      <w:r w:rsidR="00615FA5">
        <w:rPr>
          <w:lang w:bidi="he-IL"/>
        </w:rPr>
        <w:t>,</w:t>
      </w:r>
      <w:r w:rsidR="007E6DE2" w:rsidRPr="00AB7AFD">
        <w:rPr>
          <w:lang w:bidi="he-IL"/>
        </w:rPr>
        <w:t xml:space="preserve"> or the use of an intimate image </w:t>
      </w:r>
      <w:r w:rsidR="00615FA5">
        <w:rPr>
          <w:lang w:bidi="he-IL"/>
        </w:rPr>
        <w:t xml:space="preserve">and in </w:t>
      </w:r>
      <w:r w:rsidR="00615FA5">
        <w:rPr>
          <w:lang w:bidi="he-IL"/>
        </w:rPr>
        <w:lastRenderedPageBreak/>
        <w:t xml:space="preserve">fact, such conduct </w:t>
      </w:r>
      <w:r w:rsidR="007E6DE2" w:rsidRPr="00AB7AFD">
        <w:rPr>
          <w:lang w:bidi="he-IL"/>
        </w:rPr>
        <w:t>establish</w:t>
      </w:r>
      <w:r w:rsidR="00615FA5">
        <w:rPr>
          <w:lang w:bidi="he-IL"/>
        </w:rPr>
        <w:t>es</w:t>
      </w:r>
      <w:r w:rsidR="007E6DE2" w:rsidRPr="00AB7AFD">
        <w:rPr>
          <w:lang w:bidi="he-IL"/>
        </w:rPr>
        <w:t xml:space="preserve"> a presumption that privacy has been violated</w:t>
      </w:r>
      <w:r w:rsidR="007E6DE2">
        <w:rPr>
          <w:lang w:bidi="he-IL"/>
        </w:rPr>
        <w:t xml:space="preserve"> under </w:t>
      </w:r>
      <w:r w:rsidR="00615FA5">
        <w:rPr>
          <w:lang w:bidi="he-IL"/>
        </w:rPr>
        <w:t>the relevant Act.</w:t>
      </w:r>
      <w:r w:rsidR="007E6DE2" w:rsidRPr="00AB7AFD">
        <w:rPr>
          <w:vertAlign w:val="superscript"/>
          <w:lang w:bidi="he-IL"/>
        </w:rPr>
        <w:footnoteReference w:id="132"/>
      </w:r>
      <w:r w:rsidR="007E6DE2" w:rsidRPr="00AB7AFD">
        <w:rPr>
          <w:lang w:bidi="he-IL"/>
        </w:rPr>
        <w:t xml:space="preserve"> </w:t>
      </w:r>
    </w:p>
    <w:p w14:paraId="1B2D4C35" w14:textId="520259FF" w:rsidR="00AB7AFD" w:rsidRDefault="009C5176" w:rsidP="00CD5337">
      <w:pPr>
        <w:ind w:firstLine="720"/>
        <w:rPr>
          <w:lang w:bidi="he-IL"/>
        </w:rPr>
      </w:pPr>
      <w:r>
        <w:rPr>
          <w:lang w:bidi="he-IL"/>
        </w:rPr>
        <w:t>Further, t</w:t>
      </w:r>
      <w:r w:rsidR="00DF6FDB" w:rsidRPr="00AB7AFD">
        <w:rPr>
          <w:lang w:bidi="he-IL"/>
        </w:rPr>
        <w:t xml:space="preserve">he </w:t>
      </w:r>
      <w:r w:rsidR="00DF6FDB">
        <w:rPr>
          <w:lang w:bidi="he-IL"/>
        </w:rPr>
        <w:t xml:space="preserve">provincial </w:t>
      </w:r>
      <w:r w:rsidR="00DF6FDB" w:rsidRPr="00AB7AFD">
        <w:rPr>
          <w:lang w:bidi="he-IL"/>
        </w:rPr>
        <w:t>statutory torts do not require proof of damage</w:t>
      </w:r>
      <w:r w:rsidR="00DF6FDB">
        <w:rPr>
          <w:lang w:bidi="he-IL"/>
        </w:rPr>
        <w:t>. They are dignitary</w:t>
      </w:r>
      <w:r w:rsidR="00DF6FDB" w:rsidRPr="00AB7AFD">
        <w:rPr>
          <w:lang w:bidi="he-IL"/>
        </w:rPr>
        <w:t xml:space="preserve">, </w:t>
      </w:r>
      <w:r w:rsidR="00DF6FDB">
        <w:rPr>
          <w:i/>
          <w:iCs/>
          <w:lang w:bidi="he-IL"/>
        </w:rPr>
        <w:t xml:space="preserve">per </w:t>
      </w:r>
      <w:r w:rsidR="00DF6FDB" w:rsidRPr="001A68CB">
        <w:rPr>
          <w:lang w:bidi="he-IL"/>
        </w:rPr>
        <w:t>se</w:t>
      </w:r>
      <w:r w:rsidR="00DF6FDB">
        <w:rPr>
          <w:lang w:bidi="he-IL"/>
        </w:rPr>
        <w:t xml:space="preserve"> torts, with the nature of </w:t>
      </w:r>
      <w:r w:rsidR="00DF6FDB" w:rsidRPr="00B87CD2">
        <w:rPr>
          <w:i/>
          <w:iCs/>
          <w:lang w:bidi="he-IL"/>
        </w:rPr>
        <w:t>per se</w:t>
      </w:r>
      <w:r w:rsidR="00DF6FDB">
        <w:rPr>
          <w:lang w:bidi="he-IL"/>
        </w:rPr>
        <w:t xml:space="preserve"> torts being further developed in </w:t>
      </w:r>
      <w:r w:rsidR="00C051A3">
        <w:rPr>
          <w:lang w:bidi="he-IL"/>
        </w:rPr>
        <w:t>Part</w:t>
      </w:r>
      <w:r w:rsidR="00FA034B">
        <w:rPr>
          <w:lang w:bidi="he-IL"/>
        </w:rPr>
        <w:t xml:space="preserve"> Two</w:t>
      </w:r>
      <w:r w:rsidR="00A67169" w:rsidRPr="00CD5337">
        <w:rPr>
          <w:lang w:bidi="he-IL"/>
        </w:rPr>
        <w:t xml:space="preserve">, </w:t>
      </w:r>
      <w:r w:rsidR="00130DE3" w:rsidRPr="00CD5337">
        <w:rPr>
          <w:lang w:bidi="he-IL"/>
        </w:rPr>
        <w:t>forthcoming in</w:t>
      </w:r>
      <w:r w:rsidR="00CD5337" w:rsidRPr="00CD5337">
        <w:rPr>
          <w:lang w:bidi="he-IL"/>
        </w:rPr>
        <w:t xml:space="preserve"> the June </w:t>
      </w:r>
      <w:r w:rsidR="00B00624">
        <w:rPr>
          <w:lang w:bidi="he-IL"/>
        </w:rPr>
        <w:t xml:space="preserve">2022 </w:t>
      </w:r>
      <w:r w:rsidR="00CD5337" w:rsidRPr="00CD5337">
        <w:rPr>
          <w:lang w:bidi="he-IL"/>
        </w:rPr>
        <w:t>issue of The Advocates’ Quarterly</w:t>
      </w:r>
      <w:r w:rsidR="00FA034B" w:rsidRPr="00CD5337">
        <w:rPr>
          <w:lang w:bidi="he-IL"/>
        </w:rPr>
        <w:t>.</w:t>
      </w:r>
      <w:r w:rsidR="00DF6FDB">
        <w:rPr>
          <w:lang w:bidi="he-IL"/>
        </w:rPr>
        <w:t xml:space="preserve"> </w:t>
      </w:r>
      <w:r w:rsidR="00615FA5">
        <w:rPr>
          <w:lang w:bidi="he-IL"/>
        </w:rPr>
        <w:t xml:space="preserve">Note that, </w:t>
      </w:r>
      <w:r w:rsidR="007E6DE2" w:rsidRPr="00AB7AFD">
        <w:rPr>
          <w:lang w:bidi="he-IL"/>
        </w:rPr>
        <w:t>in most cases</w:t>
      </w:r>
      <w:r w:rsidR="00A546EE">
        <w:rPr>
          <w:lang w:bidi="he-IL"/>
        </w:rPr>
        <w:t>,</w:t>
      </w:r>
      <w:r w:rsidR="007E6DE2" w:rsidRPr="00AB7AFD">
        <w:rPr>
          <w:lang w:bidi="he-IL"/>
        </w:rPr>
        <w:t xml:space="preserve"> individuals are entitled to privacy only if it is reasonable in the circumstances</w:t>
      </w:r>
      <w:r w:rsidR="00615FA5">
        <w:rPr>
          <w:lang w:bidi="he-IL"/>
        </w:rPr>
        <w:t>.</w:t>
      </w:r>
      <w:r w:rsidR="007E6DE2" w:rsidRPr="00AB7AFD">
        <w:rPr>
          <w:vertAlign w:val="superscript"/>
          <w:lang w:bidi="he-IL"/>
        </w:rPr>
        <w:footnoteReference w:id="133"/>
      </w:r>
      <w:r w:rsidR="007E6DE2" w:rsidRPr="00AB7AFD">
        <w:rPr>
          <w:lang w:bidi="he-IL"/>
        </w:rPr>
        <w:t xml:space="preserve"> Significantly, </w:t>
      </w:r>
      <w:r w:rsidR="00575635">
        <w:rPr>
          <w:lang w:bidi="he-IL"/>
        </w:rPr>
        <w:t xml:space="preserve">the torts require wilful action (intention), and </w:t>
      </w:r>
      <w:r w:rsidR="007E6DE2" w:rsidRPr="00AB7AFD">
        <w:rPr>
          <w:lang w:bidi="he-IL"/>
        </w:rPr>
        <w:t>consent is a defence against such claims,</w:t>
      </w:r>
      <w:r w:rsidR="007E6DE2" w:rsidRPr="00AB7AFD">
        <w:rPr>
          <w:vertAlign w:val="superscript"/>
          <w:lang w:bidi="he-IL"/>
        </w:rPr>
        <w:footnoteReference w:id="134"/>
      </w:r>
      <w:r w:rsidR="007E6DE2">
        <w:rPr>
          <w:lang w:bidi="he-IL"/>
        </w:rPr>
        <w:t xml:space="preserve"> whereas under </w:t>
      </w:r>
      <w:r w:rsidR="006B178F" w:rsidRPr="00B87CD2">
        <w:rPr>
          <w:i/>
          <w:iCs/>
          <w:lang w:bidi="he-IL"/>
        </w:rPr>
        <w:t>PIPEDA</w:t>
      </w:r>
      <w:r w:rsidR="006B178F" w:rsidRPr="00374F8F">
        <w:rPr>
          <w:lang w:bidi="he-IL"/>
        </w:rPr>
        <w:t xml:space="preserve">, </w:t>
      </w:r>
      <w:r w:rsidR="007E6DE2" w:rsidRPr="00374F8F">
        <w:rPr>
          <w:lang w:bidi="he-IL"/>
        </w:rPr>
        <w:t>the issue of consent will already have been dealt with administra</w:t>
      </w:r>
      <w:r w:rsidR="007E6DE2" w:rsidRPr="00AB7AFD">
        <w:rPr>
          <w:lang w:bidi="he-IL"/>
        </w:rPr>
        <w:t>tively before legal action commences</w:t>
      </w:r>
      <w:r w:rsidR="00575635">
        <w:rPr>
          <w:lang w:bidi="he-IL"/>
        </w:rPr>
        <w:t>.</w:t>
      </w:r>
      <w:r w:rsidR="00331CD9">
        <w:rPr>
          <w:lang w:bidi="he-IL"/>
        </w:rPr>
        <w:t xml:space="preserve"> </w:t>
      </w:r>
    </w:p>
    <w:p w14:paraId="631C5A04" w14:textId="77777777" w:rsidR="00B8699D" w:rsidRDefault="00AC6D77" w:rsidP="00374F8F">
      <w:pPr>
        <w:ind w:firstLine="720"/>
        <w:rPr>
          <w:lang w:bidi="he-IL"/>
        </w:rPr>
      </w:pPr>
      <w:r>
        <w:rPr>
          <w:lang w:bidi="he-IL"/>
        </w:rPr>
        <w:t xml:space="preserve">Cases </w:t>
      </w:r>
      <w:r w:rsidR="00D25B79">
        <w:rPr>
          <w:lang w:bidi="he-IL"/>
        </w:rPr>
        <w:t xml:space="preserve">brought under </w:t>
      </w:r>
      <w:r w:rsidR="002931A1">
        <w:rPr>
          <w:lang w:bidi="he-IL"/>
        </w:rPr>
        <w:t xml:space="preserve">privacy tort legislation </w:t>
      </w:r>
      <w:r w:rsidR="00AB7AFD" w:rsidRPr="00AB7AFD">
        <w:rPr>
          <w:lang w:bidi="he-IL"/>
        </w:rPr>
        <w:t xml:space="preserve">have largely </w:t>
      </w:r>
      <w:r w:rsidR="00D7287E">
        <w:rPr>
          <w:lang w:bidi="he-IL"/>
        </w:rPr>
        <w:t xml:space="preserve">concerned </w:t>
      </w:r>
      <w:r w:rsidR="004A7CA0">
        <w:rPr>
          <w:lang w:bidi="he-IL"/>
        </w:rPr>
        <w:t xml:space="preserve">the respective </w:t>
      </w:r>
      <w:r w:rsidR="004A7CA0" w:rsidRPr="008A52EA">
        <w:rPr>
          <w:lang w:bidi="he-IL"/>
        </w:rPr>
        <w:t>Privacy Acts</w:t>
      </w:r>
      <w:r w:rsidR="004A7CA0">
        <w:rPr>
          <w:lang w:bidi="he-IL"/>
        </w:rPr>
        <w:t xml:space="preserve"> </w:t>
      </w:r>
      <w:r w:rsidR="00AB7AFD" w:rsidRPr="00AB7AFD">
        <w:rPr>
          <w:lang w:bidi="he-IL"/>
        </w:rPr>
        <w:t>tangentially, as part of a larger issue, such as a contested insurance claim,</w:t>
      </w:r>
      <w:r w:rsidR="00AB7AFD" w:rsidRPr="00AB7AFD">
        <w:rPr>
          <w:vertAlign w:val="superscript"/>
          <w:lang w:bidi="he-IL"/>
        </w:rPr>
        <w:footnoteReference w:id="135"/>
      </w:r>
      <w:r w:rsidR="00AB7AFD" w:rsidRPr="00AB7AFD">
        <w:rPr>
          <w:lang w:bidi="he-IL"/>
        </w:rPr>
        <w:t xml:space="preserve"> and so the </w:t>
      </w:r>
      <w:r w:rsidR="00331CD9">
        <w:rPr>
          <w:lang w:bidi="he-IL"/>
        </w:rPr>
        <w:t xml:space="preserve">quanta </w:t>
      </w:r>
      <w:r w:rsidR="00D50C63">
        <w:rPr>
          <w:lang w:bidi="he-IL"/>
        </w:rPr>
        <w:t>for the breach of privacy piece can not always be easily broken out.</w:t>
      </w:r>
      <w:r w:rsidR="00917247">
        <w:rPr>
          <w:rStyle w:val="FootnoteReference"/>
          <w:lang w:bidi="he-IL"/>
        </w:rPr>
        <w:footnoteReference w:id="136"/>
      </w:r>
      <w:r w:rsidR="00917247">
        <w:rPr>
          <w:lang w:bidi="he-IL"/>
        </w:rPr>
        <w:t xml:space="preserve"> </w:t>
      </w:r>
      <w:r w:rsidR="00D50C63">
        <w:rPr>
          <w:lang w:bidi="he-IL"/>
        </w:rPr>
        <w:t xml:space="preserve">However, some cases are free standing, including </w:t>
      </w:r>
      <w:proofErr w:type="spellStart"/>
      <w:r w:rsidR="00D50C63" w:rsidRPr="00BF0BA5">
        <w:rPr>
          <w:i/>
          <w:iCs/>
          <w:lang w:bidi="he-IL"/>
        </w:rPr>
        <w:t>Hollinsworth</w:t>
      </w:r>
      <w:proofErr w:type="spellEnd"/>
      <w:r w:rsidR="00D50C63" w:rsidRPr="00BF0BA5">
        <w:rPr>
          <w:i/>
          <w:iCs/>
          <w:lang w:bidi="he-IL"/>
        </w:rPr>
        <w:t xml:space="preserve"> v BCTV</w:t>
      </w:r>
      <w:r w:rsidR="00B6613E">
        <w:rPr>
          <w:lang w:bidi="he-IL"/>
        </w:rPr>
        <w:t>.</w:t>
      </w:r>
      <w:r w:rsidR="007C07C0">
        <w:rPr>
          <w:rStyle w:val="FootnoteReference"/>
          <w:lang w:bidi="he-IL"/>
        </w:rPr>
        <w:footnoteReference w:id="137"/>
      </w:r>
      <w:r w:rsidR="00B6613E">
        <w:rPr>
          <w:lang w:bidi="he-IL"/>
        </w:rPr>
        <w:t xml:space="preserve"> </w:t>
      </w:r>
      <w:r w:rsidR="00D50C63">
        <w:rPr>
          <w:lang w:bidi="he-IL"/>
        </w:rPr>
        <w:t xml:space="preserve">In this case, the plaintiff successfully sued those responsible for releasing, without permission, a video of the plaintiff undergoing a surgical procedure to have a hair piece attached to his head. </w:t>
      </w:r>
      <w:r w:rsidR="00795F17">
        <w:rPr>
          <w:lang w:bidi="he-IL"/>
        </w:rPr>
        <w:t>He had given permission to his surgeon to take the video but it was only to be used for medical instructional purposes only.</w:t>
      </w:r>
      <w:r w:rsidR="00795F17">
        <w:rPr>
          <w:rStyle w:val="FootnoteReference"/>
          <w:lang w:bidi="he-IL"/>
        </w:rPr>
        <w:footnoteReference w:id="138"/>
      </w:r>
      <w:r w:rsidR="00795F17">
        <w:rPr>
          <w:lang w:bidi="he-IL"/>
        </w:rPr>
        <w:t xml:space="preserve"> Instead, it ended up in the hands of BCTV. </w:t>
      </w:r>
      <w:r w:rsidR="00D50C63">
        <w:rPr>
          <w:lang w:bidi="he-IL"/>
        </w:rPr>
        <w:t>The court awarded $15,000 in damages</w:t>
      </w:r>
      <w:r w:rsidR="007C07C0">
        <w:rPr>
          <w:lang w:bidi="he-IL"/>
        </w:rPr>
        <w:t xml:space="preserve"> which was affirmed on appeal</w:t>
      </w:r>
      <w:r w:rsidR="00D50C63">
        <w:rPr>
          <w:lang w:bidi="he-IL"/>
        </w:rPr>
        <w:t>.</w:t>
      </w:r>
      <w:r w:rsidR="007C07C0">
        <w:rPr>
          <w:rStyle w:val="FootnoteReference"/>
          <w:lang w:bidi="he-IL"/>
        </w:rPr>
        <w:footnoteReference w:id="139"/>
      </w:r>
      <w:r w:rsidR="00D50C63">
        <w:rPr>
          <w:lang w:bidi="he-IL"/>
        </w:rPr>
        <w:t xml:space="preserve"> </w:t>
      </w:r>
    </w:p>
    <w:p w14:paraId="50B12487" w14:textId="10E2AD3B" w:rsidR="00D50C63" w:rsidRDefault="0024037B" w:rsidP="00374F8F">
      <w:pPr>
        <w:ind w:firstLine="720"/>
        <w:rPr>
          <w:lang w:bidi="he-IL"/>
        </w:rPr>
      </w:pPr>
      <w:r>
        <w:rPr>
          <w:lang w:bidi="he-IL"/>
        </w:rPr>
        <w:t xml:space="preserve">While the court did not expressly address the question of the plaintiff’s dignity in its judgment, </w:t>
      </w:r>
      <w:r w:rsidR="00795F17">
        <w:rPr>
          <w:lang w:bidi="he-IL"/>
        </w:rPr>
        <w:t>it did describe how the plaintiff’s face appeared clearly and unmistakeably on a 6:00 pm newscast aired by BCTV, during a feature on baldness.</w:t>
      </w:r>
      <w:r w:rsidR="00795F17">
        <w:rPr>
          <w:rStyle w:val="FootnoteReference"/>
          <w:lang w:bidi="he-IL"/>
        </w:rPr>
        <w:footnoteReference w:id="140"/>
      </w:r>
      <w:r w:rsidR="00795F17">
        <w:rPr>
          <w:lang w:bidi="he-IL"/>
        </w:rPr>
        <w:t xml:space="preserve"> That this would compromise one’s dignity is implicit. It would also seem that if this event had occurred when </w:t>
      </w:r>
      <w:r w:rsidR="00795F17" w:rsidRPr="003F02C7">
        <w:rPr>
          <w:i/>
          <w:iCs/>
          <w:lang w:bidi="he-IL"/>
        </w:rPr>
        <w:t>PIPEDA</w:t>
      </w:r>
      <w:r w:rsidR="00795F17">
        <w:rPr>
          <w:lang w:bidi="he-IL"/>
        </w:rPr>
        <w:t xml:space="preserve"> </w:t>
      </w:r>
      <w:r w:rsidR="00D7287E">
        <w:rPr>
          <w:lang w:bidi="he-IL"/>
        </w:rPr>
        <w:t>(</w:t>
      </w:r>
      <w:r w:rsidR="00795F17">
        <w:rPr>
          <w:lang w:bidi="he-IL"/>
        </w:rPr>
        <w:t xml:space="preserve">or </w:t>
      </w:r>
      <w:r w:rsidR="00D7287E">
        <w:rPr>
          <w:lang w:bidi="he-IL"/>
        </w:rPr>
        <w:t>provincial equivalent)</w:t>
      </w:r>
      <w:r w:rsidR="00795F17">
        <w:rPr>
          <w:lang w:bidi="he-IL"/>
        </w:rPr>
        <w:t xml:space="preserve"> were in place, the plaintiff also could have </w:t>
      </w:r>
      <w:r w:rsidR="00825473">
        <w:rPr>
          <w:lang w:bidi="he-IL"/>
        </w:rPr>
        <w:t xml:space="preserve">proceeded </w:t>
      </w:r>
      <w:r w:rsidR="00795F17">
        <w:rPr>
          <w:lang w:bidi="he-IL"/>
        </w:rPr>
        <w:t xml:space="preserve">under </w:t>
      </w:r>
      <w:r w:rsidR="00F00A25">
        <w:rPr>
          <w:lang w:bidi="he-IL"/>
        </w:rPr>
        <w:t xml:space="preserve">those legislative banners </w:t>
      </w:r>
      <w:r w:rsidR="00795F17">
        <w:rPr>
          <w:lang w:bidi="he-IL"/>
        </w:rPr>
        <w:t xml:space="preserve">as it concerned his personal information </w:t>
      </w:r>
      <w:r w:rsidR="00F00A25">
        <w:rPr>
          <w:lang w:bidi="he-IL"/>
        </w:rPr>
        <w:t xml:space="preserve">collected by a business </w:t>
      </w:r>
      <w:r w:rsidR="00795F17">
        <w:rPr>
          <w:lang w:bidi="he-IL"/>
        </w:rPr>
        <w:t xml:space="preserve">which was being held for specific purposes only. Additionally, the matter might well have also been actionable under the </w:t>
      </w:r>
      <w:r w:rsidR="004F5184" w:rsidRPr="00795F17">
        <w:rPr>
          <w:lang w:bidi="he-IL"/>
        </w:rPr>
        <w:t>Appropriation of Name or Likeness tort</w:t>
      </w:r>
      <w:r w:rsidR="00795F17">
        <w:rPr>
          <w:lang w:bidi="he-IL"/>
        </w:rPr>
        <w:t xml:space="preserve">, discussed </w:t>
      </w:r>
      <w:r w:rsidR="00795F17" w:rsidRPr="00BD152A">
        <w:rPr>
          <w:i/>
          <w:iCs/>
          <w:lang w:bidi="he-IL"/>
        </w:rPr>
        <w:t>infra</w:t>
      </w:r>
      <w:r w:rsidR="00795F17">
        <w:rPr>
          <w:lang w:bidi="he-IL"/>
        </w:rPr>
        <w:t>.</w:t>
      </w:r>
    </w:p>
    <w:p w14:paraId="395FDC89" w14:textId="00651461" w:rsidR="00AB7AFD" w:rsidRPr="00AB7AFD" w:rsidRDefault="00B6613E" w:rsidP="00494828">
      <w:pPr>
        <w:ind w:firstLine="720"/>
        <w:rPr>
          <w:lang w:bidi="he-IL"/>
        </w:rPr>
      </w:pPr>
      <w:r>
        <w:rPr>
          <w:lang w:bidi="he-IL"/>
        </w:rPr>
        <w:t>More generally speaking</w:t>
      </w:r>
      <w:r w:rsidR="001D09B2">
        <w:rPr>
          <w:lang w:bidi="he-IL"/>
        </w:rPr>
        <w:t>,</w:t>
      </w:r>
      <w:r w:rsidR="00615FA5">
        <w:rPr>
          <w:lang w:bidi="he-IL"/>
        </w:rPr>
        <w:t xml:space="preserve"> </w:t>
      </w:r>
      <w:r>
        <w:rPr>
          <w:lang w:bidi="he-IL"/>
        </w:rPr>
        <w:t xml:space="preserve">however, </w:t>
      </w:r>
      <w:r w:rsidR="00615FA5">
        <w:rPr>
          <w:lang w:bidi="he-IL"/>
        </w:rPr>
        <w:t xml:space="preserve">the privacy tort legislation </w:t>
      </w:r>
      <w:r>
        <w:rPr>
          <w:lang w:bidi="he-IL"/>
        </w:rPr>
        <w:t>is</w:t>
      </w:r>
      <w:r w:rsidR="00CC248A">
        <w:rPr>
          <w:lang w:bidi="he-IL"/>
        </w:rPr>
        <w:t xml:space="preserve"> not seen as “applicable” </w:t>
      </w:r>
      <w:r w:rsidR="00615FA5">
        <w:rPr>
          <w:lang w:bidi="he-IL"/>
        </w:rPr>
        <w:t xml:space="preserve">to handling data breach privacy claims </w:t>
      </w:r>
      <w:r w:rsidR="00DF6FDB">
        <w:rPr>
          <w:lang w:bidi="he-IL"/>
        </w:rPr>
        <w:t>acc</w:t>
      </w:r>
      <w:r w:rsidR="00615FA5">
        <w:rPr>
          <w:lang w:bidi="he-IL"/>
        </w:rPr>
        <w:t xml:space="preserve">ording to the British Columbia Court of Appeal in </w:t>
      </w:r>
      <w:proofErr w:type="spellStart"/>
      <w:r w:rsidR="00615FA5" w:rsidRPr="00BF0BA5">
        <w:rPr>
          <w:i/>
          <w:iCs/>
          <w:lang w:bidi="he-IL"/>
        </w:rPr>
        <w:t>Tucci</w:t>
      </w:r>
      <w:proofErr w:type="spellEnd"/>
      <w:r w:rsidR="00615FA5" w:rsidRPr="00BF0BA5">
        <w:rPr>
          <w:i/>
          <w:iCs/>
          <w:lang w:bidi="he-IL"/>
        </w:rPr>
        <w:t xml:space="preserve"> v Peoples Trust Company</w:t>
      </w:r>
      <w:r w:rsidR="00615FA5">
        <w:rPr>
          <w:lang w:bidi="he-IL"/>
        </w:rPr>
        <w:t>.</w:t>
      </w:r>
      <w:r w:rsidR="00001B6D" w:rsidRPr="001A68CB">
        <w:rPr>
          <w:vertAlign w:val="superscript"/>
          <w:lang w:bidi="he-IL"/>
        </w:rPr>
        <w:footnoteReference w:id="141"/>
      </w:r>
      <w:r w:rsidR="00615FA5">
        <w:rPr>
          <w:lang w:bidi="he-IL"/>
        </w:rPr>
        <w:t xml:space="preserve"> </w:t>
      </w:r>
      <w:r w:rsidR="00CC248A">
        <w:rPr>
          <w:lang w:bidi="he-IL"/>
        </w:rPr>
        <w:t>Th</w:t>
      </w:r>
      <w:r w:rsidR="00CB32CE">
        <w:rPr>
          <w:lang w:bidi="he-IL"/>
        </w:rPr>
        <w:t xml:space="preserve">ough not explained why by the </w:t>
      </w:r>
      <w:r w:rsidR="00CB32CE">
        <w:rPr>
          <w:lang w:bidi="he-IL"/>
        </w:rPr>
        <w:lastRenderedPageBreak/>
        <w:t>court, this</w:t>
      </w:r>
      <w:r w:rsidR="00CC248A">
        <w:rPr>
          <w:lang w:bidi="he-IL"/>
        </w:rPr>
        <w:t xml:space="preserve"> is </w:t>
      </w:r>
      <w:r w:rsidR="00CB32CE">
        <w:rPr>
          <w:lang w:bidi="he-IL"/>
        </w:rPr>
        <w:t xml:space="preserve">presumably </w:t>
      </w:r>
      <w:r w:rsidR="00CC248A">
        <w:rPr>
          <w:lang w:bidi="he-IL"/>
        </w:rPr>
        <w:t>because</w:t>
      </w:r>
      <w:r w:rsidR="00482B3F">
        <w:rPr>
          <w:lang w:bidi="he-IL"/>
        </w:rPr>
        <w:t>,</w:t>
      </w:r>
      <w:r w:rsidR="00374F8F">
        <w:rPr>
          <w:lang w:bidi="he-IL"/>
        </w:rPr>
        <w:t xml:space="preserve"> as noted above</w:t>
      </w:r>
      <w:r w:rsidR="00482B3F">
        <w:rPr>
          <w:lang w:bidi="he-IL"/>
        </w:rPr>
        <w:t>,</w:t>
      </w:r>
      <w:r w:rsidR="00374F8F">
        <w:rPr>
          <w:lang w:bidi="he-IL"/>
        </w:rPr>
        <w:t xml:space="preserve"> the privacy torts require proof of intention, and a typical data breach claim will argue that the defendant organization ha</w:t>
      </w:r>
      <w:r w:rsidR="00482B3F">
        <w:rPr>
          <w:lang w:bidi="he-IL"/>
        </w:rPr>
        <w:t>d</w:t>
      </w:r>
      <w:r w:rsidR="00374F8F">
        <w:rPr>
          <w:lang w:bidi="he-IL"/>
        </w:rPr>
        <w:t xml:space="preserve"> </w:t>
      </w:r>
      <w:r w:rsidR="00482B3F">
        <w:rPr>
          <w:lang w:bidi="he-IL"/>
        </w:rPr>
        <w:t xml:space="preserve">conducted itself </w:t>
      </w:r>
      <w:r w:rsidR="00374F8F">
        <w:rPr>
          <w:lang w:bidi="he-IL"/>
        </w:rPr>
        <w:t>negligent</w:t>
      </w:r>
      <w:r w:rsidR="00482B3F">
        <w:rPr>
          <w:lang w:bidi="he-IL"/>
        </w:rPr>
        <w:t>ly</w:t>
      </w:r>
      <w:r w:rsidR="00374F8F">
        <w:rPr>
          <w:lang w:bidi="he-IL"/>
        </w:rPr>
        <w:t>, but not intentional</w:t>
      </w:r>
      <w:r w:rsidR="00482B3F">
        <w:rPr>
          <w:lang w:bidi="he-IL"/>
        </w:rPr>
        <w:t>ly</w:t>
      </w:r>
      <w:r w:rsidR="00374F8F">
        <w:rPr>
          <w:lang w:bidi="he-IL"/>
        </w:rPr>
        <w:t>, in its deficient protection of personal information.</w:t>
      </w:r>
      <w:r w:rsidR="00374F8F">
        <w:rPr>
          <w:rStyle w:val="FootnoteReference"/>
          <w:lang w:bidi="he-IL"/>
        </w:rPr>
        <w:footnoteReference w:id="142"/>
      </w:r>
      <w:r w:rsidR="00482B3F">
        <w:rPr>
          <w:lang w:bidi="he-IL"/>
        </w:rPr>
        <w:t xml:space="preserve"> </w:t>
      </w:r>
      <w:r w:rsidR="00FB0C9B">
        <w:rPr>
          <w:lang w:bidi="he-IL"/>
        </w:rPr>
        <w:t>T</w:t>
      </w:r>
      <w:r w:rsidR="000618B2">
        <w:rPr>
          <w:lang w:bidi="he-IL"/>
        </w:rPr>
        <w:t xml:space="preserve">he appellate court </w:t>
      </w:r>
      <w:r w:rsidR="00FB0C9B">
        <w:rPr>
          <w:lang w:bidi="he-IL"/>
        </w:rPr>
        <w:t>expressed implicit concern over</w:t>
      </w:r>
      <w:r w:rsidR="000618B2">
        <w:rPr>
          <w:lang w:bidi="he-IL"/>
        </w:rPr>
        <w:t xml:space="preserve"> </w:t>
      </w:r>
      <w:r w:rsidR="00CB32CE">
        <w:rPr>
          <w:lang w:bidi="he-IL"/>
        </w:rPr>
        <w:t>such a</w:t>
      </w:r>
      <w:r w:rsidR="00FB0C9B">
        <w:rPr>
          <w:lang w:bidi="he-IL"/>
        </w:rPr>
        <w:t xml:space="preserve"> gap in </w:t>
      </w:r>
      <w:r w:rsidR="00C009C8">
        <w:rPr>
          <w:lang w:bidi="he-IL"/>
        </w:rPr>
        <w:t xml:space="preserve">statutory </w:t>
      </w:r>
      <w:r w:rsidR="00FB0C9B">
        <w:rPr>
          <w:lang w:bidi="he-IL"/>
        </w:rPr>
        <w:t>coverage and wondered</w:t>
      </w:r>
      <w:r w:rsidR="00A504F4">
        <w:rPr>
          <w:lang w:bidi="he-IL"/>
        </w:rPr>
        <w:t>, without deciding,</w:t>
      </w:r>
      <w:r w:rsidR="00FB0C9B">
        <w:rPr>
          <w:lang w:bidi="he-IL"/>
        </w:rPr>
        <w:t xml:space="preserve"> if </w:t>
      </w:r>
      <w:r w:rsidR="00A504F4">
        <w:rPr>
          <w:lang w:bidi="he-IL"/>
        </w:rPr>
        <w:t xml:space="preserve">BC should recognize </w:t>
      </w:r>
      <w:r w:rsidR="00001B6D">
        <w:rPr>
          <w:lang w:bidi="he-IL"/>
        </w:rPr>
        <w:t>a common law tort of breach of privacy.</w:t>
      </w:r>
      <w:r w:rsidR="00A546EE">
        <w:rPr>
          <w:rStyle w:val="FootnoteReference"/>
          <w:lang w:bidi="he-IL"/>
        </w:rPr>
        <w:footnoteReference w:id="143"/>
      </w:r>
      <w:r w:rsidR="00A546EE">
        <w:rPr>
          <w:lang w:bidi="he-IL"/>
        </w:rPr>
        <w:t xml:space="preserve"> </w:t>
      </w:r>
      <w:r w:rsidR="00C009C8">
        <w:rPr>
          <w:lang w:bidi="he-IL"/>
        </w:rPr>
        <w:t>Note that t</w:t>
      </w:r>
      <w:r w:rsidR="00615FA5">
        <w:rPr>
          <w:lang w:bidi="he-IL"/>
        </w:rPr>
        <w:t xml:space="preserve">hough the </w:t>
      </w:r>
      <w:r w:rsidR="00A546EE">
        <w:rPr>
          <w:lang w:bidi="he-IL"/>
        </w:rPr>
        <w:t xml:space="preserve">data breach claim </w:t>
      </w:r>
      <w:r w:rsidR="00A504F4">
        <w:rPr>
          <w:lang w:bidi="he-IL"/>
        </w:rPr>
        <w:t xml:space="preserve">in </w:t>
      </w:r>
      <w:proofErr w:type="spellStart"/>
      <w:r w:rsidR="009D1ECD">
        <w:rPr>
          <w:i/>
          <w:iCs/>
          <w:lang w:bidi="he-IL"/>
        </w:rPr>
        <w:t>Tuc</w:t>
      </w:r>
      <w:r w:rsidR="00A504F4" w:rsidRPr="00BF0BA5">
        <w:rPr>
          <w:i/>
          <w:iCs/>
          <w:lang w:bidi="he-IL"/>
        </w:rPr>
        <w:t>ci</w:t>
      </w:r>
      <w:proofErr w:type="spellEnd"/>
      <w:r w:rsidR="00A504F4">
        <w:rPr>
          <w:lang w:bidi="he-IL"/>
        </w:rPr>
        <w:t xml:space="preserve"> </w:t>
      </w:r>
      <w:r w:rsidR="00615FA5">
        <w:rPr>
          <w:lang w:bidi="he-IL"/>
        </w:rPr>
        <w:t xml:space="preserve">could presumably </w:t>
      </w:r>
      <w:r w:rsidR="00C009C8">
        <w:rPr>
          <w:lang w:bidi="he-IL"/>
        </w:rPr>
        <w:t xml:space="preserve">have </w:t>
      </w:r>
      <w:r w:rsidR="00615FA5">
        <w:rPr>
          <w:lang w:bidi="he-IL"/>
        </w:rPr>
        <w:t xml:space="preserve">been pursued under </w:t>
      </w:r>
      <w:r w:rsidR="00615FA5" w:rsidRPr="009D1ECD">
        <w:rPr>
          <w:i/>
          <w:iCs/>
          <w:lang w:bidi="he-IL"/>
        </w:rPr>
        <w:t>PIPEDA</w:t>
      </w:r>
      <w:r w:rsidR="00615FA5">
        <w:rPr>
          <w:lang w:bidi="he-IL"/>
        </w:rPr>
        <w:t xml:space="preserve">, this was not </w:t>
      </w:r>
      <w:r w:rsidR="009D1ECD">
        <w:rPr>
          <w:lang w:bidi="he-IL"/>
        </w:rPr>
        <w:t>a</w:t>
      </w:r>
      <w:r w:rsidR="00615FA5">
        <w:rPr>
          <w:lang w:bidi="he-IL"/>
        </w:rPr>
        <w:t xml:space="preserve"> path </w:t>
      </w:r>
      <w:r w:rsidR="009D1ECD">
        <w:rPr>
          <w:lang w:bidi="he-IL"/>
        </w:rPr>
        <w:t>available to</w:t>
      </w:r>
      <w:r w:rsidR="00615FA5">
        <w:rPr>
          <w:lang w:bidi="he-IL"/>
        </w:rPr>
        <w:t xml:space="preserve"> the plaintiffs</w:t>
      </w:r>
      <w:r w:rsidR="00482B3F">
        <w:rPr>
          <w:lang w:bidi="he-IL"/>
        </w:rPr>
        <w:t xml:space="preserve"> because</w:t>
      </w:r>
      <w:r w:rsidR="00494828">
        <w:rPr>
          <w:lang w:bidi="he-IL"/>
        </w:rPr>
        <w:t xml:space="preserve"> the action would have been “time-barred</w:t>
      </w:r>
      <w:r w:rsidR="007546CA">
        <w:rPr>
          <w:lang w:bidi="he-IL"/>
        </w:rPr>
        <w:t>.</w:t>
      </w:r>
      <w:r w:rsidR="00494828">
        <w:rPr>
          <w:lang w:bidi="he-IL"/>
        </w:rPr>
        <w:t>”</w:t>
      </w:r>
      <w:r w:rsidR="00615FA5">
        <w:rPr>
          <w:rStyle w:val="FootnoteReference"/>
          <w:lang w:bidi="he-IL"/>
        </w:rPr>
        <w:footnoteReference w:id="144"/>
      </w:r>
      <w:r w:rsidR="00615FA5">
        <w:rPr>
          <w:lang w:bidi="he-IL"/>
        </w:rPr>
        <w:t xml:space="preserve"> </w:t>
      </w:r>
    </w:p>
    <w:p w14:paraId="72D86E8C" w14:textId="159610A6" w:rsidR="009C5176" w:rsidRDefault="00F9144D" w:rsidP="009D1ECD">
      <w:pPr>
        <w:ind w:firstLine="720"/>
        <w:rPr>
          <w:lang w:bidi="he-IL"/>
        </w:rPr>
      </w:pPr>
      <w:r>
        <w:rPr>
          <w:lang w:bidi="he-IL"/>
        </w:rPr>
        <w:t>Turning to the</w:t>
      </w:r>
      <w:r w:rsidR="002346F6">
        <w:rPr>
          <w:lang w:bidi="he-IL"/>
        </w:rPr>
        <w:t xml:space="preserve"> </w:t>
      </w:r>
      <w:r w:rsidR="002E66E6">
        <w:rPr>
          <w:lang w:bidi="he-IL"/>
        </w:rPr>
        <w:t>common law privacy</w:t>
      </w:r>
      <w:r w:rsidR="007E6DE2">
        <w:rPr>
          <w:lang w:bidi="he-IL"/>
        </w:rPr>
        <w:t xml:space="preserve"> torts</w:t>
      </w:r>
      <w:r>
        <w:rPr>
          <w:lang w:bidi="he-IL"/>
        </w:rPr>
        <w:t xml:space="preserve">, </w:t>
      </w:r>
      <w:r w:rsidR="008A52EA">
        <w:rPr>
          <w:lang w:bidi="he-IL"/>
        </w:rPr>
        <w:t>there are now four in number, having been</w:t>
      </w:r>
      <w:r w:rsidR="00AB7AFD" w:rsidRPr="00AB7AFD">
        <w:rPr>
          <w:lang w:bidi="he-IL"/>
        </w:rPr>
        <w:t xml:space="preserve"> recognized</w:t>
      </w:r>
      <w:r w:rsidR="008A52EA">
        <w:rPr>
          <w:lang w:bidi="he-IL"/>
        </w:rPr>
        <w:t xml:space="preserve"> in some </w:t>
      </w:r>
      <w:r w:rsidR="0017771D">
        <w:rPr>
          <w:lang w:bidi="he-IL"/>
        </w:rPr>
        <w:t>Canadian</w:t>
      </w:r>
      <w:r w:rsidR="008A52EA">
        <w:rPr>
          <w:lang w:bidi="he-IL"/>
        </w:rPr>
        <w:t xml:space="preserve"> provinces</w:t>
      </w:r>
      <w:r w:rsidR="009D1ECD">
        <w:rPr>
          <w:lang w:bidi="he-IL"/>
        </w:rPr>
        <w:t>,</w:t>
      </w:r>
      <w:r w:rsidR="008A52EA">
        <w:rPr>
          <w:lang w:bidi="he-IL"/>
        </w:rPr>
        <w:t xml:space="preserve"> most significantly in Ontario</w:t>
      </w:r>
      <w:r w:rsidR="004F5184">
        <w:rPr>
          <w:lang w:bidi="he-IL"/>
        </w:rPr>
        <w:t>.</w:t>
      </w:r>
      <w:r w:rsidR="00147BD5">
        <w:rPr>
          <w:rStyle w:val="FootnoteReference"/>
          <w:lang w:bidi="he-IL"/>
        </w:rPr>
        <w:footnoteReference w:id="145"/>
      </w:r>
      <w:r w:rsidR="004F5184">
        <w:rPr>
          <w:lang w:bidi="he-IL"/>
        </w:rPr>
        <w:t xml:space="preserve"> They </w:t>
      </w:r>
      <w:r w:rsidR="007348B6">
        <w:rPr>
          <w:lang w:bidi="he-IL"/>
        </w:rPr>
        <w:t>are all American in</w:t>
      </w:r>
      <w:r w:rsidR="00AC1A4A">
        <w:rPr>
          <w:lang w:bidi="he-IL"/>
        </w:rPr>
        <w:t xml:space="preserve"> </w:t>
      </w:r>
      <w:r w:rsidR="007348B6">
        <w:rPr>
          <w:lang w:bidi="he-IL"/>
        </w:rPr>
        <w:t xml:space="preserve">origin and follow </w:t>
      </w:r>
      <w:r w:rsidR="007E6DE2">
        <w:rPr>
          <w:lang w:bidi="he-IL"/>
        </w:rPr>
        <w:t xml:space="preserve">Dean </w:t>
      </w:r>
      <w:r w:rsidR="00AB7AFD" w:rsidRPr="00AB7AFD">
        <w:rPr>
          <w:lang w:bidi="he-IL"/>
        </w:rPr>
        <w:t xml:space="preserve">Prosser’s </w:t>
      </w:r>
      <w:r w:rsidR="00CC248A">
        <w:rPr>
          <w:lang w:bidi="he-IL"/>
        </w:rPr>
        <w:t xml:space="preserve">highly influential article </w:t>
      </w:r>
      <w:r w:rsidR="00AC1A4A">
        <w:rPr>
          <w:lang w:bidi="he-IL"/>
        </w:rPr>
        <w:t xml:space="preserve">on privacy torts </w:t>
      </w:r>
      <w:r w:rsidR="00CC248A">
        <w:rPr>
          <w:lang w:bidi="he-IL"/>
        </w:rPr>
        <w:t>published in 1960.</w:t>
      </w:r>
      <w:bookmarkStart w:id="31" w:name="_Ref78153490"/>
      <w:r w:rsidR="00AB7AFD" w:rsidRPr="00AB7AFD">
        <w:rPr>
          <w:vertAlign w:val="superscript"/>
          <w:lang w:bidi="he-IL"/>
        </w:rPr>
        <w:footnoteReference w:id="146"/>
      </w:r>
      <w:bookmarkEnd w:id="31"/>
      <w:r w:rsidR="00AB7AFD" w:rsidRPr="00AB7AFD">
        <w:rPr>
          <w:lang w:bidi="he-IL"/>
        </w:rPr>
        <w:t xml:space="preserve"> The</w:t>
      </w:r>
      <w:r w:rsidR="008A52EA">
        <w:rPr>
          <w:lang w:bidi="he-IL"/>
        </w:rPr>
        <w:t>se</w:t>
      </w:r>
      <w:r w:rsidR="00AB7AFD" w:rsidRPr="00AB7AFD">
        <w:rPr>
          <w:lang w:bidi="he-IL"/>
        </w:rPr>
        <w:t xml:space="preserve"> four </w:t>
      </w:r>
      <w:r w:rsidR="00CC248A">
        <w:rPr>
          <w:lang w:bidi="he-IL"/>
        </w:rPr>
        <w:t xml:space="preserve">common law privacy </w:t>
      </w:r>
      <w:r w:rsidR="00AB7AFD" w:rsidRPr="00AB7AFD">
        <w:rPr>
          <w:lang w:bidi="he-IL"/>
        </w:rPr>
        <w:t>torts are</w:t>
      </w:r>
      <w:r w:rsidR="007E6DE2">
        <w:rPr>
          <w:lang w:bidi="he-IL"/>
        </w:rPr>
        <w:t>:</w:t>
      </w:r>
      <w:r w:rsidR="00AB7AFD" w:rsidRPr="00AB7AFD">
        <w:rPr>
          <w:lang w:bidi="he-IL"/>
        </w:rPr>
        <w:t xml:space="preserve"> Intrusion upon Seclusion</w:t>
      </w:r>
      <w:r w:rsidR="007E6DE2">
        <w:rPr>
          <w:lang w:bidi="he-IL"/>
        </w:rPr>
        <w:t>;</w:t>
      </w:r>
      <w:r w:rsidR="00AB7AFD" w:rsidRPr="00AB7AFD">
        <w:rPr>
          <w:lang w:bidi="he-IL"/>
        </w:rPr>
        <w:t xml:space="preserve"> Appropriation of Name or Likeness</w:t>
      </w:r>
      <w:r w:rsidR="007E6DE2">
        <w:rPr>
          <w:lang w:bidi="he-IL"/>
        </w:rPr>
        <w:t>;</w:t>
      </w:r>
      <w:r w:rsidR="00AB7AFD" w:rsidRPr="00AB7AFD">
        <w:rPr>
          <w:lang w:bidi="he-IL"/>
        </w:rPr>
        <w:t xml:space="preserve"> Public Disclosure of Private Facts</w:t>
      </w:r>
      <w:r w:rsidR="007E6DE2">
        <w:rPr>
          <w:lang w:bidi="he-IL"/>
        </w:rPr>
        <w:t>;</w:t>
      </w:r>
      <w:r w:rsidR="00AB7AFD" w:rsidRPr="00AB7AFD">
        <w:rPr>
          <w:lang w:bidi="he-IL"/>
        </w:rPr>
        <w:t xml:space="preserve"> and Publicity Placing Person in False Light.</w:t>
      </w:r>
      <w:r w:rsidR="00AB7AFD" w:rsidRPr="00AB7AFD">
        <w:rPr>
          <w:vertAlign w:val="superscript"/>
          <w:lang w:bidi="he-IL"/>
        </w:rPr>
        <w:footnoteReference w:id="147"/>
      </w:r>
      <w:r w:rsidR="00AB7AFD" w:rsidRPr="00AB7AFD">
        <w:rPr>
          <w:lang w:bidi="he-IL"/>
        </w:rPr>
        <w:t xml:space="preserve"> </w:t>
      </w:r>
      <w:r w:rsidR="007E6DE2">
        <w:rPr>
          <w:lang w:bidi="he-IL"/>
        </w:rPr>
        <w:t xml:space="preserve">Like the statutory torts discussed above, </w:t>
      </w:r>
      <w:r w:rsidR="006B178F">
        <w:rPr>
          <w:lang w:bidi="he-IL"/>
        </w:rPr>
        <w:t xml:space="preserve">the common law privacy torts </w:t>
      </w:r>
      <w:r w:rsidR="00AC6D77">
        <w:rPr>
          <w:lang w:bidi="he-IL"/>
        </w:rPr>
        <w:t xml:space="preserve">do not require proof of actual loss or injury. They are </w:t>
      </w:r>
      <w:r w:rsidR="00AC6D77">
        <w:rPr>
          <w:i/>
          <w:iCs/>
          <w:lang w:bidi="he-IL"/>
        </w:rPr>
        <w:t xml:space="preserve">per </w:t>
      </w:r>
      <w:r w:rsidR="00AC6D77" w:rsidRPr="00783889">
        <w:rPr>
          <w:lang w:bidi="he-IL"/>
        </w:rPr>
        <w:t>se</w:t>
      </w:r>
      <w:r w:rsidR="00AC6D77">
        <w:rPr>
          <w:lang w:bidi="he-IL"/>
        </w:rPr>
        <w:t xml:space="preserve"> torts in which t</w:t>
      </w:r>
      <w:r w:rsidR="00AC6D77" w:rsidRPr="00AC6D77">
        <w:rPr>
          <w:lang w:bidi="he-IL"/>
        </w:rPr>
        <w:t>he</w:t>
      </w:r>
      <w:r w:rsidR="00366C42">
        <w:rPr>
          <w:lang w:bidi="he-IL"/>
        </w:rPr>
        <w:t xml:space="preserve"> harm that requires compensation</w:t>
      </w:r>
      <w:r w:rsidR="00AC6D77">
        <w:rPr>
          <w:lang w:bidi="he-IL"/>
        </w:rPr>
        <w:t xml:space="preserve"> is found in the invasion of privacy itself.</w:t>
      </w:r>
      <w:r w:rsidR="002346F6">
        <w:rPr>
          <w:lang w:bidi="he-IL"/>
        </w:rPr>
        <w:t xml:space="preserve">  </w:t>
      </w:r>
    </w:p>
    <w:p w14:paraId="72646BBD" w14:textId="7A177563" w:rsidR="0084220D" w:rsidRDefault="00AB7AFD" w:rsidP="00494828">
      <w:pPr>
        <w:ind w:firstLine="720"/>
        <w:rPr>
          <w:lang w:val="en-US" w:bidi="he-IL"/>
        </w:rPr>
      </w:pPr>
      <w:r w:rsidRPr="00AB7AFD">
        <w:rPr>
          <w:lang w:bidi="he-IL"/>
        </w:rPr>
        <w:t>The tort of Intrusion upon Seclusion traditionally dealt with paradigmatic “invasion of privacy” situations such as covert surveillance or eavesdropping (similar to the statutory torts above)</w:t>
      </w:r>
      <w:r w:rsidR="00E63D0C">
        <w:rPr>
          <w:rStyle w:val="FootnoteReference"/>
          <w:lang w:bidi="he-IL"/>
        </w:rPr>
        <w:footnoteReference w:id="148"/>
      </w:r>
      <w:r w:rsidR="0084220D">
        <w:rPr>
          <w:lang w:bidi="he-IL"/>
        </w:rPr>
        <w:t xml:space="preserve"> and was first adopted in Canada </w:t>
      </w:r>
      <w:r w:rsidR="00E803FB">
        <w:rPr>
          <w:lang w:bidi="he-IL"/>
        </w:rPr>
        <w:t>by</w:t>
      </w:r>
      <w:r w:rsidR="0084220D">
        <w:rPr>
          <w:lang w:bidi="he-IL"/>
        </w:rPr>
        <w:t xml:space="preserve"> the Ontario</w:t>
      </w:r>
      <w:r w:rsidR="00E803FB">
        <w:rPr>
          <w:lang w:bidi="he-IL"/>
        </w:rPr>
        <w:t xml:space="preserve"> Court of Appeal</w:t>
      </w:r>
      <w:r w:rsidR="0084220D">
        <w:rPr>
          <w:lang w:bidi="he-IL"/>
        </w:rPr>
        <w:t xml:space="preserve"> </w:t>
      </w:r>
      <w:r w:rsidRPr="00AB7AFD">
        <w:rPr>
          <w:lang w:bidi="he-IL"/>
        </w:rPr>
        <w:t xml:space="preserve">case of </w:t>
      </w:r>
      <w:r w:rsidRPr="00AB7AFD">
        <w:rPr>
          <w:i/>
          <w:iCs/>
          <w:lang w:val="en-US" w:bidi="he-IL"/>
        </w:rPr>
        <w:t>Tsige</w:t>
      </w:r>
      <w:r w:rsidR="00202CB6">
        <w:rPr>
          <w:lang w:val="en-US" w:bidi="he-IL"/>
        </w:rPr>
        <w:t>, noted above</w:t>
      </w:r>
      <w:r w:rsidR="007546CA">
        <w:rPr>
          <w:lang w:val="en-US" w:bidi="he-IL"/>
        </w:rPr>
        <w:t>.</w:t>
      </w:r>
      <w:r w:rsidRPr="00AB7AFD">
        <w:rPr>
          <w:vertAlign w:val="superscript"/>
          <w:lang w:val="en-US" w:bidi="he-IL"/>
        </w:rPr>
        <w:footnoteReference w:id="149"/>
      </w:r>
      <w:r w:rsidRPr="00AB7AFD">
        <w:rPr>
          <w:lang w:val="en-US" w:bidi="he-IL"/>
        </w:rPr>
        <w:t xml:space="preserve"> </w:t>
      </w:r>
      <w:r w:rsidR="0084220D">
        <w:rPr>
          <w:lang w:val="en-US" w:bidi="he-IL"/>
        </w:rPr>
        <w:t xml:space="preserve">At issue in </w:t>
      </w:r>
      <w:r w:rsidR="0084220D" w:rsidRPr="00783889">
        <w:rPr>
          <w:i/>
          <w:iCs/>
          <w:lang w:val="en-US" w:bidi="he-IL"/>
        </w:rPr>
        <w:t>Tsige</w:t>
      </w:r>
      <w:r w:rsidR="0084220D">
        <w:rPr>
          <w:lang w:val="en-US" w:bidi="he-IL"/>
        </w:rPr>
        <w:t xml:space="preserve"> was </w:t>
      </w:r>
      <w:r w:rsidR="00E4210E">
        <w:rPr>
          <w:lang w:val="en-US" w:bidi="he-IL"/>
        </w:rPr>
        <w:t>the</w:t>
      </w:r>
      <w:r w:rsidR="009C5176">
        <w:rPr>
          <w:lang w:val="en-US" w:bidi="he-IL"/>
        </w:rPr>
        <w:t xml:space="preserve"> defendant</w:t>
      </w:r>
      <w:r w:rsidRPr="00AB7AFD">
        <w:rPr>
          <w:lang w:val="en-US" w:bidi="he-IL"/>
        </w:rPr>
        <w:t xml:space="preserve"> bank employee </w:t>
      </w:r>
      <w:r w:rsidR="00DB021C">
        <w:rPr>
          <w:lang w:val="en-US" w:bidi="he-IL"/>
        </w:rPr>
        <w:t xml:space="preserve">repeatedly and persistently </w:t>
      </w:r>
      <w:r w:rsidRPr="00AB7AFD">
        <w:rPr>
          <w:lang w:val="en-US" w:bidi="he-IL"/>
        </w:rPr>
        <w:t>review</w:t>
      </w:r>
      <w:r w:rsidR="0084220D">
        <w:rPr>
          <w:lang w:val="en-US" w:bidi="he-IL"/>
        </w:rPr>
        <w:t>ing</w:t>
      </w:r>
      <w:r w:rsidR="00184324" w:rsidRPr="00B11899">
        <w:t xml:space="preserve"> </w:t>
      </w:r>
      <w:r w:rsidR="00184324">
        <w:t xml:space="preserve">– </w:t>
      </w:r>
      <w:r w:rsidR="009C5176">
        <w:rPr>
          <w:lang w:val="en-US" w:bidi="he-IL"/>
        </w:rPr>
        <w:t>without authorization</w:t>
      </w:r>
      <w:r w:rsidR="00184324" w:rsidRPr="00B11899">
        <w:t xml:space="preserve"> </w:t>
      </w:r>
      <w:r w:rsidR="00184324">
        <w:t xml:space="preserve">– </w:t>
      </w:r>
      <w:r w:rsidRPr="00AB7AFD">
        <w:rPr>
          <w:lang w:val="en-US" w:bidi="he-IL"/>
        </w:rPr>
        <w:t xml:space="preserve">the bank records of </w:t>
      </w:r>
      <w:r w:rsidR="00205F34">
        <w:rPr>
          <w:lang w:val="en-US" w:bidi="he-IL"/>
        </w:rPr>
        <w:t xml:space="preserve">the </w:t>
      </w:r>
      <w:r w:rsidR="009C5176">
        <w:rPr>
          <w:lang w:val="en-US" w:bidi="he-IL"/>
        </w:rPr>
        <w:t xml:space="preserve">plaintiff who was also an employee at </w:t>
      </w:r>
      <w:r w:rsidR="00DB021C">
        <w:rPr>
          <w:lang w:val="en-US" w:bidi="he-IL"/>
        </w:rPr>
        <w:t>the same bank</w:t>
      </w:r>
      <w:r w:rsidR="009C5176">
        <w:rPr>
          <w:lang w:val="en-US" w:bidi="he-IL"/>
        </w:rPr>
        <w:t>.</w:t>
      </w:r>
      <w:r w:rsidRPr="00AB7AFD">
        <w:rPr>
          <w:vertAlign w:val="superscript"/>
          <w:lang w:val="en-US" w:bidi="he-IL"/>
        </w:rPr>
        <w:footnoteReference w:id="150"/>
      </w:r>
      <w:r w:rsidRPr="00AB7AFD">
        <w:rPr>
          <w:lang w:val="en-US" w:bidi="he-IL"/>
        </w:rPr>
        <w:t xml:space="preserve"> </w:t>
      </w:r>
      <w:r w:rsidR="0017771D">
        <w:rPr>
          <w:lang w:val="en-US" w:bidi="he-IL"/>
        </w:rPr>
        <w:t xml:space="preserve">The connection between the parties was this: </w:t>
      </w:r>
      <w:r w:rsidR="00AC1A4A">
        <w:rPr>
          <w:lang w:val="en-US" w:bidi="he-IL"/>
        </w:rPr>
        <w:t>the plaintiff</w:t>
      </w:r>
      <w:r w:rsidR="00E4210E">
        <w:rPr>
          <w:lang w:val="en-US" w:bidi="he-IL"/>
        </w:rPr>
        <w:t xml:space="preserve"> </w:t>
      </w:r>
      <w:r w:rsidR="00DB021C">
        <w:rPr>
          <w:lang w:val="en-US" w:bidi="he-IL"/>
        </w:rPr>
        <w:t xml:space="preserve">was in a common law relationship with the </w:t>
      </w:r>
      <w:r w:rsidR="00AC1A4A">
        <w:rPr>
          <w:lang w:val="en-US" w:bidi="he-IL"/>
        </w:rPr>
        <w:t>defendant</w:t>
      </w:r>
      <w:r w:rsidR="00DB021C">
        <w:rPr>
          <w:lang w:val="en-US" w:bidi="he-IL"/>
        </w:rPr>
        <w:t xml:space="preserve">’s ex-husband. </w:t>
      </w:r>
      <w:r w:rsidR="0084220D">
        <w:rPr>
          <w:lang w:val="en-US" w:bidi="he-IL"/>
        </w:rPr>
        <w:t>In response</w:t>
      </w:r>
      <w:r w:rsidR="00E4210E">
        <w:rPr>
          <w:lang w:val="en-US" w:bidi="he-IL"/>
        </w:rPr>
        <w:t xml:space="preserve"> to th</w:t>
      </w:r>
      <w:r w:rsidR="0017771D">
        <w:rPr>
          <w:lang w:val="en-US" w:bidi="he-IL"/>
        </w:rPr>
        <w:t>e defendant’s</w:t>
      </w:r>
      <w:r w:rsidR="00E4210E">
        <w:rPr>
          <w:lang w:val="en-US" w:bidi="he-IL"/>
        </w:rPr>
        <w:t xml:space="preserve"> misconduct</w:t>
      </w:r>
      <w:r w:rsidR="0084220D">
        <w:rPr>
          <w:lang w:val="en-US" w:bidi="he-IL"/>
        </w:rPr>
        <w:t>, the Court of Appeal recognize</w:t>
      </w:r>
      <w:r w:rsidR="009C5176">
        <w:rPr>
          <w:lang w:val="en-US" w:bidi="he-IL"/>
        </w:rPr>
        <w:t>d</w:t>
      </w:r>
      <w:r w:rsidR="0084220D">
        <w:rPr>
          <w:lang w:val="en-US" w:bidi="he-IL"/>
        </w:rPr>
        <w:t xml:space="preserve"> the tort of Intrusion upon Seclusion</w:t>
      </w:r>
      <w:r w:rsidR="00E4210E">
        <w:rPr>
          <w:lang w:val="en-US" w:bidi="he-IL"/>
        </w:rPr>
        <w:t xml:space="preserve"> </w:t>
      </w:r>
      <w:r w:rsidR="002E66E6">
        <w:rPr>
          <w:lang w:val="en-US" w:bidi="he-IL"/>
        </w:rPr>
        <w:t>a</w:t>
      </w:r>
      <w:r w:rsidR="0084220D">
        <w:rPr>
          <w:lang w:val="en-US" w:bidi="he-IL"/>
        </w:rPr>
        <w:t xml:space="preserve">nd defined its “key features” as follows: </w:t>
      </w:r>
    </w:p>
    <w:p w14:paraId="08EB0656" w14:textId="51901590" w:rsidR="0084220D" w:rsidRDefault="0084220D" w:rsidP="00494828">
      <w:pPr>
        <w:ind w:left="720"/>
      </w:pPr>
      <w:r>
        <w:t>[F]</w:t>
      </w:r>
      <w:proofErr w:type="spellStart"/>
      <w:r>
        <w:t>irst</w:t>
      </w:r>
      <w:proofErr w:type="spellEnd"/>
      <w:r>
        <w:t>, that the defendant's conduct must be intentional, within which I would include reckless; second, that the defendant must have invaded, without lawful justification, the plaintiff's private affairs or concerns; and third, that a reasonable person would regard the invasion as highly offensive causing distress, humiliation or anguish.</w:t>
      </w:r>
      <w:r w:rsidRPr="00AB7AFD">
        <w:rPr>
          <w:vertAlign w:val="superscript"/>
          <w:lang w:val="en-US" w:bidi="he-IL"/>
        </w:rPr>
        <w:footnoteReference w:id="151"/>
      </w:r>
      <w:r>
        <w:t xml:space="preserve"> </w:t>
      </w:r>
    </w:p>
    <w:p w14:paraId="1718C278" w14:textId="102285F9" w:rsidR="00F16C8C" w:rsidRDefault="0084220D" w:rsidP="00494828">
      <w:pPr>
        <w:rPr>
          <w:lang w:val="en-US" w:bidi="he-IL"/>
        </w:rPr>
      </w:pPr>
      <w:r>
        <w:lastRenderedPageBreak/>
        <w:t>The court went on to emphasize that “proof of harm to a recognized economic interest is not an element of the cause of action”</w:t>
      </w:r>
      <w:r>
        <w:rPr>
          <w:rStyle w:val="FootnoteReference"/>
        </w:rPr>
        <w:footnoteReference w:id="152"/>
      </w:r>
      <w:r>
        <w:t xml:space="preserve"> and that damages should ordinarily be “modest” due to the </w:t>
      </w:r>
      <w:r w:rsidR="00E803FB">
        <w:t>“</w:t>
      </w:r>
      <w:r>
        <w:t>intangible nature of the interest protected</w:t>
      </w:r>
      <w:r w:rsidR="00E803FB">
        <w:t>.”</w:t>
      </w:r>
      <w:r w:rsidR="007348B6">
        <w:rPr>
          <w:rStyle w:val="FootnoteReference"/>
        </w:rPr>
        <w:footnoteReference w:id="153"/>
      </w:r>
      <w:r w:rsidR="00E803FB">
        <w:t xml:space="preserve"> Seemingly skittish around the notion of intangible loss, the court awarded damages it described as </w:t>
      </w:r>
      <w:r w:rsidR="00366C42">
        <w:rPr>
          <w:lang w:val="en-US" w:bidi="he-IL"/>
        </w:rPr>
        <w:t xml:space="preserve">“symbolic”, serving </w:t>
      </w:r>
      <w:r w:rsidR="00366C42">
        <w:rPr>
          <w:lang w:bidi="he-IL"/>
        </w:rPr>
        <w:t>“</w:t>
      </w:r>
      <w:r w:rsidR="00366C42" w:rsidRPr="00366C42">
        <w:rPr>
          <w:lang w:bidi="he-IL"/>
        </w:rPr>
        <w:t>to vindicate rights or symbolize re</w:t>
      </w:r>
      <w:r w:rsidR="00366C42">
        <w:rPr>
          <w:lang w:bidi="he-IL"/>
        </w:rPr>
        <w:t>cognition of their infringement.”</w:t>
      </w:r>
      <w:r w:rsidR="00366C42">
        <w:rPr>
          <w:rStyle w:val="FootnoteReference"/>
          <w:lang w:bidi="he-IL"/>
        </w:rPr>
        <w:footnoteReference w:id="154"/>
      </w:r>
      <w:r w:rsidR="00366C42">
        <w:rPr>
          <w:lang w:bidi="he-IL"/>
        </w:rPr>
        <w:t xml:space="preserve"> Significantly, the court decided that the range of damages should be “conventional” and </w:t>
      </w:r>
      <w:r w:rsidR="00AB7AFD" w:rsidRPr="00AB7AFD">
        <w:rPr>
          <w:lang w:val="en-US" w:bidi="he-IL"/>
        </w:rPr>
        <w:t>set a cap for damages for such intangible claims, of no more than $20,000.</w:t>
      </w:r>
      <w:r w:rsidR="00AB7AFD" w:rsidRPr="00AB7AFD">
        <w:rPr>
          <w:vertAlign w:val="superscript"/>
          <w:lang w:val="en-US" w:bidi="he-IL"/>
        </w:rPr>
        <w:footnoteReference w:id="155"/>
      </w:r>
    </w:p>
    <w:p w14:paraId="7E99ADCD" w14:textId="0A76515F" w:rsidR="00E803FB" w:rsidRDefault="00E803FB" w:rsidP="006336E5">
      <w:pPr>
        <w:rPr>
          <w:lang w:val="en-US" w:bidi="he-IL"/>
        </w:rPr>
      </w:pPr>
      <w:r>
        <w:rPr>
          <w:lang w:val="en-US" w:bidi="he-IL"/>
        </w:rPr>
        <w:tab/>
      </w:r>
      <w:r w:rsidR="00AC1A4A">
        <w:rPr>
          <w:lang w:val="en-US" w:bidi="he-IL"/>
        </w:rPr>
        <w:t>Intrusion upon Seclusion</w:t>
      </w:r>
      <w:r>
        <w:rPr>
          <w:lang w:val="en-US" w:bidi="he-IL"/>
        </w:rPr>
        <w:t xml:space="preserve"> </w:t>
      </w:r>
      <w:r w:rsidR="0017771D">
        <w:rPr>
          <w:lang w:val="en-US" w:bidi="he-IL"/>
        </w:rPr>
        <w:t>seems to be</w:t>
      </w:r>
      <w:r>
        <w:rPr>
          <w:lang w:val="en-US" w:bidi="he-IL"/>
        </w:rPr>
        <w:t xml:space="preserve"> the</w:t>
      </w:r>
      <w:r w:rsidR="009C5176">
        <w:rPr>
          <w:lang w:val="en-US" w:bidi="he-IL"/>
        </w:rPr>
        <w:t xml:space="preserve"> common law privacy</w:t>
      </w:r>
      <w:r>
        <w:rPr>
          <w:lang w:val="en-US" w:bidi="he-IL"/>
        </w:rPr>
        <w:t xml:space="preserve"> tort that</w:t>
      </w:r>
      <w:r w:rsidR="0017771D">
        <w:rPr>
          <w:lang w:val="en-US" w:bidi="he-IL"/>
        </w:rPr>
        <w:t>,</w:t>
      </w:r>
      <w:r w:rsidR="002E66E6">
        <w:rPr>
          <w:lang w:val="en-US" w:bidi="he-IL"/>
        </w:rPr>
        <w:t xml:space="preserve"> of the four</w:t>
      </w:r>
      <w:r w:rsidR="008801A1">
        <w:rPr>
          <w:lang w:val="en-US" w:bidi="he-IL"/>
        </w:rPr>
        <w:t>,</w:t>
      </w:r>
      <w:r>
        <w:rPr>
          <w:lang w:val="en-US" w:bidi="he-IL"/>
        </w:rPr>
        <w:t xml:space="preserve"> is most likely to intersect with </w:t>
      </w:r>
      <w:r w:rsidRPr="00783889">
        <w:rPr>
          <w:i/>
          <w:iCs/>
          <w:lang w:val="en-US" w:bidi="he-IL"/>
        </w:rPr>
        <w:t>PIPEDA</w:t>
      </w:r>
      <w:r>
        <w:rPr>
          <w:lang w:val="en-US" w:bidi="he-IL"/>
        </w:rPr>
        <w:t xml:space="preserve"> </w:t>
      </w:r>
      <w:r w:rsidR="00627FB1">
        <w:rPr>
          <w:lang w:val="en-US" w:bidi="he-IL"/>
        </w:rPr>
        <w:t>including</w:t>
      </w:r>
      <w:r w:rsidR="00AC1A4A">
        <w:rPr>
          <w:lang w:val="en-US" w:bidi="he-IL"/>
        </w:rPr>
        <w:t>, as it turns out,</w:t>
      </w:r>
      <w:r w:rsidR="00627FB1">
        <w:rPr>
          <w:lang w:val="en-US" w:bidi="he-IL"/>
        </w:rPr>
        <w:t xml:space="preserve"> in </w:t>
      </w:r>
      <w:r w:rsidR="00627FB1" w:rsidRPr="00783889">
        <w:rPr>
          <w:i/>
          <w:iCs/>
          <w:lang w:val="en-US" w:bidi="he-IL"/>
        </w:rPr>
        <w:t>Tsige</w:t>
      </w:r>
      <w:r w:rsidR="00627FB1">
        <w:rPr>
          <w:lang w:val="en-US" w:bidi="he-IL"/>
        </w:rPr>
        <w:t xml:space="preserve"> itself. As the Court of Appeal itself acknowledged, Jones (</w:t>
      </w:r>
      <w:r>
        <w:rPr>
          <w:lang w:val="en-US" w:bidi="he-IL"/>
        </w:rPr>
        <w:t>the plaintiff</w:t>
      </w:r>
      <w:r w:rsidR="00627FB1">
        <w:rPr>
          <w:lang w:val="en-US" w:bidi="he-IL"/>
        </w:rPr>
        <w:t>)</w:t>
      </w:r>
      <w:r w:rsidR="009C5176">
        <w:rPr>
          <w:lang w:val="en-US" w:bidi="he-IL"/>
        </w:rPr>
        <w:t xml:space="preserve"> </w:t>
      </w:r>
      <w:r>
        <w:rPr>
          <w:lang w:val="en-US" w:bidi="he-IL"/>
        </w:rPr>
        <w:t xml:space="preserve">could have pursued her matter under </w:t>
      </w:r>
      <w:r w:rsidRPr="00783889">
        <w:rPr>
          <w:i/>
          <w:iCs/>
          <w:lang w:val="en-US" w:bidi="he-IL"/>
        </w:rPr>
        <w:t>PIPEDA</w:t>
      </w:r>
      <w:r w:rsidR="00627FB1">
        <w:rPr>
          <w:lang w:val="en-US" w:bidi="he-IL"/>
        </w:rPr>
        <w:t xml:space="preserve"> but such an option was not palatable </w:t>
      </w:r>
      <w:r w:rsidR="007348B6">
        <w:rPr>
          <w:lang w:val="en-US" w:bidi="he-IL"/>
        </w:rPr>
        <w:t xml:space="preserve">on the facts </w:t>
      </w:r>
      <w:r w:rsidR="00627FB1">
        <w:rPr>
          <w:lang w:val="en-US" w:bidi="he-IL"/>
        </w:rPr>
        <w:t xml:space="preserve">for a number of reasons. As the court stated: </w:t>
      </w:r>
      <w:r w:rsidR="009C5176">
        <w:rPr>
          <w:lang w:val="en-US" w:bidi="he-IL"/>
        </w:rPr>
        <w:t>“</w:t>
      </w:r>
      <w:r w:rsidR="00627FB1">
        <w:rPr>
          <w:lang w:val="en-US"/>
        </w:rPr>
        <w:t>[f]</w:t>
      </w:r>
      <w:proofErr w:type="spellStart"/>
      <w:r w:rsidR="009C5176">
        <w:t>irst</w:t>
      </w:r>
      <w:proofErr w:type="spellEnd"/>
      <w:r w:rsidR="009C5176">
        <w:t>, Jones would be forced to lodge a complaint against her own employer rather than against Tsige, the wrongdoer. Second, Tsige acted as a rogue employee contrary to BMO's policy and that may provide BMO with a complete answer to the complaint. Third, the remedies available under</w:t>
      </w:r>
      <w:r w:rsidR="0017771D">
        <w:t xml:space="preserve"> PIPEDA</w:t>
      </w:r>
      <w:r w:rsidR="009C5176">
        <w:t xml:space="preserve"> do not include damages, and it is difficult to see what Jones would gain from such a complaint.”</w:t>
      </w:r>
      <w:r w:rsidR="009C5176">
        <w:rPr>
          <w:rStyle w:val="FootnoteReference"/>
        </w:rPr>
        <w:footnoteReference w:id="156"/>
      </w:r>
      <w:r w:rsidR="009C5176">
        <w:t xml:space="preserve"> Note that the court on this third point could have stated matters more clearly. Jones would not </w:t>
      </w:r>
      <w:r w:rsidR="00627FB1">
        <w:t xml:space="preserve">have been </w:t>
      </w:r>
      <w:r w:rsidR="009C5176">
        <w:t xml:space="preserve">able to immediately seek damages under </w:t>
      </w:r>
      <w:r w:rsidR="009C5176" w:rsidRPr="00B87CD2">
        <w:rPr>
          <w:i/>
          <w:iCs/>
        </w:rPr>
        <w:t>PIPEDA</w:t>
      </w:r>
      <w:r w:rsidR="009C5176">
        <w:t xml:space="preserve"> but certainly could do so once the Privacy Commissioner had concluded its investigation. </w:t>
      </w:r>
    </w:p>
    <w:p w14:paraId="40B5D128" w14:textId="4C423301" w:rsidR="005C53D4" w:rsidRDefault="00AB7AFD" w:rsidP="006336E5">
      <w:pPr>
        <w:spacing w:before="100" w:beforeAutospacing="1" w:after="100" w:afterAutospacing="1"/>
        <w:ind w:firstLine="720"/>
        <w:rPr>
          <w:lang w:val="en-US" w:bidi="he-IL"/>
        </w:rPr>
      </w:pPr>
      <w:r w:rsidRPr="00AB7AFD">
        <w:rPr>
          <w:lang w:val="en-US" w:bidi="he-IL"/>
        </w:rPr>
        <w:t xml:space="preserve">The </w:t>
      </w:r>
      <w:r w:rsidR="009B6B5E">
        <w:rPr>
          <w:lang w:val="en-US" w:bidi="he-IL"/>
        </w:rPr>
        <w:t xml:space="preserve">second of the common law </w:t>
      </w:r>
      <w:r w:rsidR="002E66E6">
        <w:rPr>
          <w:lang w:val="en-US" w:bidi="he-IL"/>
        </w:rPr>
        <w:t xml:space="preserve">privacy </w:t>
      </w:r>
      <w:r w:rsidR="009B6B5E">
        <w:rPr>
          <w:lang w:val="en-US" w:bidi="he-IL"/>
        </w:rPr>
        <w:t xml:space="preserve">torts is the </w:t>
      </w:r>
      <w:r w:rsidRPr="00AB7AFD">
        <w:rPr>
          <w:lang w:bidi="he-IL"/>
        </w:rPr>
        <w:t>Appropriation of Name or Likeness tort</w:t>
      </w:r>
      <w:r w:rsidR="0007528D">
        <w:rPr>
          <w:lang w:bidi="he-IL"/>
        </w:rPr>
        <w:t xml:space="preserve">, </w:t>
      </w:r>
      <w:r w:rsidR="00684D97">
        <w:rPr>
          <w:lang w:bidi="he-IL"/>
        </w:rPr>
        <w:t xml:space="preserve">described by the </w:t>
      </w:r>
      <w:r w:rsidR="00041346">
        <w:rPr>
          <w:lang w:bidi="he-IL"/>
        </w:rPr>
        <w:t xml:space="preserve">court in </w:t>
      </w:r>
      <w:proofErr w:type="spellStart"/>
      <w:r w:rsidR="00041346" w:rsidRPr="00783889">
        <w:rPr>
          <w:i/>
          <w:iCs/>
          <w:lang w:bidi="he-IL"/>
        </w:rPr>
        <w:t>Wiseau</w:t>
      </w:r>
      <w:proofErr w:type="spellEnd"/>
      <w:r w:rsidR="00041346" w:rsidRPr="00783889">
        <w:rPr>
          <w:i/>
          <w:iCs/>
          <w:lang w:bidi="he-IL"/>
        </w:rPr>
        <w:t xml:space="preserve"> Studio, LLC v Harper</w:t>
      </w:r>
      <w:r w:rsidR="00041346" w:rsidRPr="00783889">
        <w:rPr>
          <w:lang w:bidi="he-IL"/>
        </w:rPr>
        <w:t xml:space="preserve">, </w:t>
      </w:r>
      <w:r w:rsidR="0007528D">
        <w:rPr>
          <w:lang w:bidi="he-IL"/>
        </w:rPr>
        <w:t xml:space="preserve">as </w:t>
      </w:r>
      <w:r w:rsidR="00684D97">
        <w:rPr>
          <w:lang w:bidi="he-IL"/>
        </w:rPr>
        <w:t>“well recognized in Canada</w:t>
      </w:r>
      <w:r w:rsidR="0007528D">
        <w:rPr>
          <w:lang w:bidi="he-IL"/>
        </w:rPr>
        <w:t>”</w:t>
      </w:r>
      <w:r w:rsidR="00684D97">
        <w:rPr>
          <w:lang w:bidi="he-IL"/>
        </w:rPr>
        <w:t xml:space="preserve"> but </w:t>
      </w:r>
      <w:r w:rsidR="0007528D">
        <w:rPr>
          <w:lang w:bidi="he-IL"/>
        </w:rPr>
        <w:t>“</w:t>
      </w:r>
      <w:r w:rsidR="00684D97">
        <w:rPr>
          <w:lang w:bidi="he-IL"/>
        </w:rPr>
        <w:t>relatively undeveloped</w:t>
      </w:r>
      <w:r w:rsidR="00041346">
        <w:rPr>
          <w:lang w:bidi="he-IL"/>
        </w:rPr>
        <w:t>.</w:t>
      </w:r>
      <w:r w:rsidR="00684D97">
        <w:rPr>
          <w:lang w:bidi="he-IL"/>
        </w:rPr>
        <w:t>”</w:t>
      </w:r>
      <w:r w:rsidR="00041346">
        <w:rPr>
          <w:rStyle w:val="FootnoteReference"/>
          <w:lang w:bidi="he-IL"/>
        </w:rPr>
        <w:footnoteReference w:id="157"/>
      </w:r>
      <w:r w:rsidR="00684D97">
        <w:rPr>
          <w:lang w:bidi="he-IL"/>
        </w:rPr>
        <w:t xml:space="preserve"> </w:t>
      </w:r>
      <w:r w:rsidR="00041346">
        <w:rPr>
          <w:lang w:bidi="he-IL"/>
        </w:rPr>
        <w:t xml:space="preserve">According to </w:t>
      </w:r>
      <w:proofErr w:type="spellStart"/>
      <w:r w:rsidR="00041346" w:rsidRPr="00AB7AFD">
        <w:rPr>
          <w:i/>
          <w:iCs/>
          <w:lang w:bidi="he-IL"/>
        </w:rPr>
        <w:t>Krouse</w:t>
      </w:r>
      <w:proofErr w:type="spellEnd"/>
      <w:r w:rsidR="00041346" w:rsidRPr="00AB7AFD">
        <w:rPr>
          <w:i/>
          <w:iCs/>
          <w:lang w:bidi="he-IL"/>
        </w:rPr>
        <w:t xml:space="preserve"> v Chrysler</w:t>
      </w:r>
      <w:r w:rsidR="00041346">
        <w:rPr>
          <w:i/>
          <w:iCs/>
          <w:lang w:bidi="he-IL"/>
        </w:rPr>
        <w:t>,</w:t>
      </w:r>
      <w:r w:rsidR="00041346" w:rsidRPr="00AB7AFD">
        <w:rPr>
          <w:i/>
          <w:iCs/>
          <w:lang w:bidi="he-IL"/>
        </w:rPr>
        <w:t xml:space="preserve"> </w:t>
      </w:r>
      <w:r w:rsidR="00041346">
        <w:rPr>
          <w:lang w:bidi="he-IL"/>
        </w:rPr>
        <w:t xml:space="preserve">the tort involves appropriation of personality </w:t>
      </w:r>
      <w:r w:rsidR="00041346">
        <w:t>"amounting to an invasion of his right to exploit his personality by the use of his image, voice or otherwise with damage to the plaintiff."</w:t>
      </w:r>
      <w:r w:rsidR="00041346">
        <w:rPr>
          <w:rStyle w:val="FootnoteReference"/>
        </w:rPr>
        <w:footnoteReference w:id="158"/>
      </w:r>
      <w:r w:rsidR="00041346">
        <w:rPr>
          <w:lang w:bidi="he-IL"/>
        </w:rPr>
        <w:t xml:space="preserve"> </w:t>
      </w:r>
      <w:r w:rsidR="0007528D">
        <w:rPr>
          <w:lang w:bidi="he-IL"/>
        </w:rPr>
        <w:t xml:space="preserve">An example of such a tort, </w:t>
      </w:r>
      <w:proofErr w:type="spellStart"/>
      <w:r w:rsidR="00187380" w:rsidRPr="00AB7AFD">
        <w:rPr>
          <w:i/>
          <w:iCs/>
          <w:lang w:bidi="he-IL"/>
        </w:rPr>
        <w:t>Krouse</w:t>
      </w:r>
      <w:proofErr w:type="spellEnd"/>
      <w:r w:rsidR="00187380" w:rsidRPr="00AB7AFD">
        <w:rPr>
          <w:i/>
          <w:iCs/>
          <w:lang w:bidi="he-IL"/>
        </w:rPr>
        <w:t xml:space="preserve"> v Chrysler</w:t>
      </w:r>
      <w:r w:rsidR="00187380">
        <w:rPr>
          <w:lang w:bidi="he-IL"/>
        </w:rPr>
        <w:t xml:space="preserve"> </w:t>
      </w:r>
      <w:r w:rsidR="00042734">
        <w:rPr>
          <w:lang w:bidi="he-IL"/>
        </w:rPr>
        <w:t>observes</w:t>
      </w:r>
      <w:r w:rsidR="0007528D">
        <w:rPr>
          <w:lang w:bidi="he-IL"/>
        </w:rPr>
        <w:t>, would be</w:t>
      </w:r>
      <w:r w:rsidR="00042734">
        <w:rPr>
          <w:lang w:bidi="he-IL"/>
        </w:rPr>
        <w:t xml:space="preserve"> </w:t>
      </w:r>
      <w:r w:rsidRPr="00AB7AFD">
        <w:rPr>
          <w:lang w:bidi="he-IL"/>
        </w:rPr>
        <w:t>using a photo of a celebrity to advertise a product</w:t>
      </w:r>
      <w:r w:rsidR="005C53D4">
        <w:rPr>
          <w:lang w:bidi="he-IL"/>
        </w:rPr>
        <w:t>.</w:t>
      </w:r>
      <w:r w:rsidR="00042734">
        <w:rPr>
          <w:lang w:bidi="he-IL"/>
        </w:rPr>
        <w:t xml:space="preserve"> </w:t>
      </w:r>
      <w:r w:rsidRPr="00AB7AFD">
        <w:rPr>
          <w:lang w:bidi="he-IL"/>
        </w:rPr>
        <w:t xml:space="preserve">The tort </w:t>
      </w:r>
      <w:r w:rsidRPr="00AB7AFD">
        <w:rPr>
          <w:lang w:val="en-US" w:bidi="he-IL"/>
        </w:rPr>
        <w:t xml:space="preserve">protects the individual’s </w:t>
      </w:r>
      <w:r w:rsidR="009B6B5E">
        <w:rPr>
          <w:lang w:val="en-US" w:bidi="he-IL"/>
        </w:rPr>
        <w:t xml:space="preserve">dignity and </w:t>
      </w:r>
      <w:r w:rsidRPr="00AB7AFD">
        <w:rPr>
          <w:lang w:val="en-US" w:bidi="he-IL"/>
        </w:rPr>
        <w:t xml:space="preserve">interest in the exclusive use of their own identity by compensating for </w:t>
      </w:r>
      <w:r w:rsidR="005C53D4">
        <w:rPr>
          <w:lang w:val="en-US" w:bidi="he-IL"/>
        </w:rPr>
        <w:t xml:space="preserve">economic loss and </w:t>
      </w:r>
      <w:r w:rsidRPr="00AB7AFD">
        <w:rPr>
          <w:lang w:val="en-US" w:bidi="he-IL"/>
        </w:rPr>
        <w:t>mental distress caused, but it also recognizes a property right that can be licensed</w:t>
      </w:r>
      <w:r w:rsidR="0007528D">
        <w:rPr>
          <w:lang w:val="en-US" w:bidi="he-IL"/>
        </w:rPr>
        <w:t xml:space="preserve"> and</w:t>
      </w:r>
      <w:r w:rsidRPr="00AB7AFD">
        <w:rPr>
          <w:lang w:val="en-US" w:bidi="he-IL"/>
        </w:rPr>
        <w:t xml:space="preserve"> a right of publicity</w:t>
      </w:r>
      <w:r w:rsidR="0007528D">
        <w:rPr>
          <w:lang w:val="en-US" w:bidi="he-IL"/>
        </w:rPr>
        <w:t xml:space="preserve">. Indeed, </w:t>
      </w:r>
      <w:r w:rsidRPr="00AB7AFD">
        <w:rPr>
          <w:lang w:val="en-US" w:bidi="he-IL"/>
        </w:rPr>
        <w:t xml:space="preserve">most disputes have been resolved </w:t>
      </w:r>
      <w:r w:rsidR="009F3EA6">
        <w:rPr>
          <w:lang w:val="en-US" w:bidi="he-IL"/>
        </w:rPr>
        <w:t>through contract and intellectual property mechanisms</w:t>
      </w:r>
      <w:r w:rsidRPr="00AB7AFD">
        <w:rPr>
          <w:lang w:val="en-US" w:bidi="he-IL"/>
        </w:rPr>
        <w:t>, rather than by the privacy tort.</w:t>
      </w:r>
      <w:r w:rsidR="007515D3">
        <w:rPr>
          <w:rStyle w:val="FootnoteReference"/>
          <w:lang w:val="en-US" w:bidi="he-IL"/>
        </w:rPr>
        <w:footnoteReference w:id="159"/>
      </w:r>
      <w:r w:rsidRPr="00AB7AFD">
        <w:rPr>
          <w:lang w:val="en-US" w:bidi="he-IL"/>
        </w:rPr>
        <w:t xml:space="preserve"> This tort </w:t>
      </w:r>
      <w:r w:rsidR="00627FB1">
        <w:rPr>
          <w:lang w:val="en-US" w:bidi="he-IL"/>
        </w:rPr>
        <w:t xml:space="preserve">also </w:t>
      </w:r>
      <w:r w:rsidRPr="00AB7AFD">
        <w:rPr>
          <w:lang w:val="en-US" w:bidi="he-IL"/>
        </w:rPr>
        <w:t xml:space="preserve">touches upon the foundation of personal information protection, </w:t>
      </w:r>
      <w:r w:rsidR="00627FB1">
        <w:rPr>
          <w:lang w:val="en-US" w:bidi="he-IL"/>
        </w:rPr>
        <w:t xml:space="preserve">including its </w:t>
      </w:r>
      <w:r w:rsidRPr="00AB7AFD">
        <w:rPr>
          <w:lang w:val="en-US" w:bidi="he-IL"/>
        </w:rPr>
        <w:t>core notion</w:t>
      </w:r>
      <w:r w:rsidR="00627FB1">
        <w:rPr>
          <w:lang w:val="en-US" w:bidi="he-IL"/>
        </w:rPr>
        <w:t>s</w:t>
      </w:r>
      <w:r w:rsidRPr="00AB7AFD">
        <w:rPr>
          <w:lang w:val="en-US" w:bidi="he-IL"/>
        </w:rPr>
        <w:t xml:space="preserve"> of </w:t>
      </w:r>
      <w:r w:rsidR="00627FB1">
        <w:rPr>
          <w:lang w:val="en-US" w:bidi="he-IL"/>
        </w:rPr>
        <w:t xml:space="preserve">personal </w:t>
      </w:r>
      <w:r w:rsidRPr="00AB7AFD">
        <w:rPr>
          <w:lang w:val="en-US" w:bidi="he-IL"/>
        </w:rPr>
        <w:t>control and consent to its uses</w:t>
      </w:r>
      <w:r w:rsidR="009B6B5E">
        <w:rPr>
          <w:lang w:val="en-US" w:bidi="he-IL"/>
        </w:rPr>
        <w:t>.</w:t>
      </w:r>
      <w:r w:rsidRPr="00AB7AFD">
        <w:rPr>
          <w:lang w:val="en-US" w:bidi="he-IL"/>
        </w:rPr>
        <w:t xml:space="preserve"> </w:t>
      </w:r>
      <w:r w:rsidR="00042734">
        <w:rPr>
          <w:lang w:val="en-US" w:bidi="he-IL"/>
        </w:rPr>
        <w:t xml:space="preserve">For this reason, </w:t>
      </w:r>
      <w:r w:rsidR="005C53D4">
        <w:rPr>
          <w:lang w:val="en-US" w:bidi="he-IL"/>
        </w:rPr>
        <w:t>the tort</w:t>
      </w:r>
      <w:r w:rsidR="00042734">
        <w:rPr>
          <w:lang w:val="en-US" w:bidi="he-IL"/>
        </w:rPr>
        <w:t xml:space="preserve"> is also germane</w:t>
      </w:r>
      <w:r w:rsidR="005C53D4">
        <w:rPr>
          <w:lang w:val="en-US" w:bidi="he-IL"/>
        </w:rPr>
        <w:t xml:space="preserve"> to </w:t>
      </w:r>
      <w:r w:rsidR="005C53D4" w:rsidRPr="00202CB6">
        <w:rPr>
          <w:i/>
          <w:iCs/>
          <w:lang w:val="en-US" w:bidi="he-IL"/>
        </w:rPr>
        <w:t>PIPEDA</w:t>
      </w:r>
      <w:r w:rsidR="005C53D4">
        <w:rPr>
          <w:lang w:val="en-US" w:bidi="he-IL"/>
        </w:rPr>
        <w:t xml:space="preserve"> </w:t>
      </w:r>
      <w:r w:rsidR="00E4210E">
        <w:rPr>
          <w:lang w:val="en-US" w:bidi="he-IL"/>
        </w:rPr>
        <w:t xml:space="preserve">but we are unaware of a </w:t>
      </w:r>
      <w:r w:rsidR="00E4210E" w:rsidRPr="00202CB6">
        <w:rPr>
          <w:i/>
          <w:iCs/>
          <w:lang w:val="en-US" w:bidi="he-IL"/>
        </w:rPr>
        <w:t>PIPEDA</w:t>
      </w:r>
      <w:r w:rsidR="00E4210E">
        <w:rPr>
          <w:lang w:val="en-US" w:bidi="he-IL"/>
        </w:rPr>
        <w:t xml:space="preserve"> case which actually overlaps with </w:t>
      </w:r>
      <w:r w:rsidR="0017771D">
        <w:rPr>
          <w:lang w:val="en-US" w:bidi="he-IL"/>
        </w:rPr>
        <w:lastRenderedPageBreak/>
        <w:t xml:space="preserve">it. </w:t>
      </w:r>
      <w:r w:rsidR="00E4210E">
        <w:rPr>
          <w:lang w:val="en-US" w:bidi="he-IL"/>
        </w:rPr>
        <w:t xml:space="preserve">Given the </w:t>
      </w:r>
      <w:r w:rsidR="00187380">
        <w:rPr>
          <w:lang w:val="en-US" w:bidi="he-IL"/>
        </w:rPr>
        <w:t>sparse</w:t>
      </w:r>
      <w:r w:rsidR="0017771D">
        <w:rPr>
          <w:lang w:val="en-US" w:bidi="he-IL"/>
        </w:rPr>
        <w:t xml:space="preserve"> number of </w:t>
      </w:r>
      <w:r w:rsidR="00E4210E" w:rsidRPr="00202CB6">
        <w:rPr>
          <w:i/>
          <w:iCs/>
          <w:lang w:val="en-US" w:bidi="he-IL"/>
        </w:rPr>
        <w:t>PIPEDA</w:t>
      </w:r>
      <w:r w:rsidR="00E4210E">
        <w:rPr>
          <w:lang w:val="en-US" w:bidi="he-IL"/>
        </w:rPr>
        <w:t xml:space="preserve"> cases to begin with, this is not perhaps surprising. </w:t>
      </w:r>
      <w:r w:rsidR="005C53D4">
        <w:rPr>
          <w:lang w:val="en-US" w:bidi="he-IL"/>
        </w:rPr>
        <w:t xml:space="preserve"> </w:t>
      </w:r>
      <w:r w:rsidR="00042734">
        <w:rPr>
          <w:lang w:val="en-US" w:bidi="he-IL"/>
        </w:rPr>
        <w:t xml:space="preserve"> </w:t>
      </w:r>
    </w:p>
    <w:p w14:paraId="68987DC9" w14:textId="17685385" w:rsidR="00F92191" w:rsidRDefault="00E4210E" w:rsidP="006336E5">
      <w:pPr>
        <w:spacing w:before="100" w:beforeAutospacing="1" w:after="100" w:afterAutospacing="1"/>
        <w:ind w:firstLine="720"/>
      </w:pPr>
      <w:r>
        <w:rPr>
          <w:lang w:val="en-US" w:bidi="he-IL"/>
        </w:rPr>
        <w:t>While t</w:t>
      </w:r>
      <w:r w:rsidR="00AB7AFD" w:rsidRPr="00AB7AFD">
        <w:rPr>
          <w:lang w:val="en-US" w:bidi="he-IL"/>
        </w:rPr>
        <w:t xml:space="preserve">here are no recent </w:t>
      </w:r>
      <w:r w:rsidR="009B6B5E">
        <w:rPr>
          <w:lang w:val="en-US" w:bidi="he-IL"/>
        </w:rPr>
        <w:t xml:space="preserve">common law </w:t>
      </w:r>
      <w:r w:rsidR="00AB7AFD" w:rsidRPr="00AB7AFD">
        <w:rPr>
          <w:lang w:val="en-US" w:bidi="he-IL"/>
        </w:rPr>
        <w:t xml:space="preserve">award decisions </w:t>
      </w:r>
      <w:r w:rsidR="005C53D4">
        <w:rPr>
          <w:lang w:val="en-US" w:bidi="he-IL"/>
        </w:rPr>
        <w:t xml:space="preserve">for this tort </w:t>
      </w:r>
      <w:r w:rsidR="002E66E6">
        <w:rPr>
          <w:lang w:val="en-US" w:bidi="he-IL"/>
        </w:rPr>
        <w:t xml:space="preserve">to compare </w:t>
      </w:r>
      <w:r w:rsidR="009B6B5E">
        <w:rPr>
          <w:lang w:val="en-US" w:bidi="he-IL"/>
        </w:rPr>
        <w:t xml:space="preserve">with </w:t>
      </w:r>
      <w:r w:rsidR="009B6B5E" w:rsidRPr="00202CB6">
        <w:rPr>
          <w:i/>
          <w:iCs/>
          <w:lang w:val="en-US" w:bidi="he-IL"/>
        </w:rPr>
        <w:t>PIPEDA</w:t>
      </w:r>
      <w:r w:rsidR="009B6B5E">
        <w:rPr>
          <w:lang w:val="en-US" w:bidi="he-IL"/>
        </w:rPr>
        <w:t xml:space="preserve"> awards, </w:t>
      </w:r>
      <w:r w:rsidR="00F92191">
        <w:rPr>
          <w:lang w:val="en-US" w:bidi="he-IL"/>
        </w:rPr>
        <w:t>a notable statutory tort decision out of B</w:t>
      </w:r>
      <w:r w:rsidR="00184324">
        <w:rPr>
          <w:lang w:val="en-US" w:bidi="he-IL"/>
        </w:rPr>
        <w:t xml:space="preserve">ritish </w:t>
      </w:r>
      <w:r w:rsidR="00F92191">
        <w:rPr>
          <w:lang w:val="en-US" w:bidi="he-IL"/>
        </w:rPr>
        <w:t>C</w:t>
      </w:r>
      <w:r w:rsidR="00184324">
        <w:rPr>
          <w:lang w:val="en-US" w:bidi="he-IL"/>
        </w:rPr>
        <w:t>olumbia</w:t>
      </w:r>
      <w:r w:rsidR="00187380">
        <w:rPr>
          <w:lang w:val="en-US" w:bidi="he-IL"/>
        </w:rPr>
        <w:t>,</w:t>
      </w:r>
      <w:r w:rsidR="00F92191">
        <w:rPr>
          <w:lang w:val="en-US" w:bidi="he-IL"/>
        </w:rPr>
        <w:t xml:space="preserve"> </w:t>
      </w:r>
      <w:r w:rsidR="00F92191" w:rsidRPr="009E3C53">
        <w:rPr>
          <w:i/>
          <w:iCs/>
        </w:rPr>
        <w:t>Poirier v Wal-Mart Canada</w:t>
      </w:r>
      <w:r w:rsidR="00187380">
        <w:rPr>
          <w:i/>
          <w:iCs/>
        </w:rPr>
        <w:t>,</w:t>
      </w:r>
      <w:bookmarkStart w:id="32" w:name="_Ref78192664"/>
      <w:r w:rsidR="00F92191">
        <w:rPr>
          <w:rStyle w:val="FootnoteReference"/>
        </w:rPr>
        <w:footnoteReference w:id="160"/>
      </w:r>
      <w:bookmarkEnd w:id="32"/>
      <w:r w:rsidR="00F92191">
        <w:t xml:space="preserve"> </w:t>
      </w:r>
      <w:r w:rsidR="002E66E6">
        <w:t>is helpful</w:t>
      </w:r>
      <w:r w:rsidR="0017771D">
        <w:t xml:space="preserve"> because it covers similar terrain</w:t>
      </w:r>
      <w:r w:rsidR="002E66E6">
        <w:t xml:space="preserve">. In this case, </w:t>
      </w:r>
      <w:r w:rsidR="00F92191" w:rsidRPr="00783889">
        <w:t>Poirier</w:t>
      </w:r>
      <w:r w:rsidR="00F92191">
        <w:t xml:space="preserve"> was terminated from his position as a store manager by Wal-Mart, which then proceeded to use his image on flyers for the location he no longer managed.</w:t>
      </w:r>
      <w:r w:rsidR="00F92191">
        <w:rPr>
          <w:rStyle w:val="FootnoteReference"/>
        </w:rPr>
        <w:footnoteReference w:id="161"/>
      </w:r>
      <w:r w:rsidR="00F92191">
        <w:t xml:space="preserve"> The court found this to a misappropriation of the plaintiff’s personality and image under BC’s statutory </w:t>
      </w:r>
      <w:r w:rsidR="002E66E6">
        <w:t xml:space="preserve">privacy </w:t>
      </w:r>
      <w:r w:rsidR="00F92191">
        <w:t>tort.</w:t>
      </w:r>
      <w:r w:rsidR="00F92191">
        <w:rPr>
          <w:rStyle w:val="FootnoteReference"/>
        </w:rPr>
        <w:footnoteReference w:id="162"/>
      </w:r>
      <w:r w:rsidR="00F92191">
        <w:t xml:space="preserve"> The court found that in previous cases</w:t>
      </w:r>
      <w:r w:rsidR="00D7287E">
        <w:t>,</w:t>
      </w:r>
      <w:r w:rsidR="00F92191">
        <w:t xml:space="preserve"> damages ranged from $</w:t>
      </w:r>
      <w:r w:rsidR="00542C0D">
        <w:t>30</w:t>
      </w:r>
      <w:r w:rsidR="00F92191">
        <w:t>0 to $3</w:t>
      </w:r>
      <w:r w:rsidR="00542C0D">
        <w:t>5</w:t>
      </w:r>
      <w:r w:rsidR="00DC1712">
        <w:t>,</w:t>
      </w:r>
      <w:r w:rsidR="00542C0D">
        <w:t>000 and that the quantum depended primarily on the gravity of the injury to the plaintiff and the conduct of the defendant.</w:t>
      </w:r>
      <w:r w:rsidR="00542C0D">
        <w:rPr>
          <w:rStyle w:val="FootnoteReference"/>
        </w:rPr>
        <w:footnoteReference w:id="163"/>
      </w:r>
      <w:r w:rsidR="00542C0D">
        <w:t xml:space="preserve"> </w:t>
      </w:r>
      <w:r w:rsidR="002E66E6">
        <w:t>Taking this into account, t</w:t>
      </w:r>
      <w:r w:rsidR="00542C0D">
        <w:t>he court awarded Poirier $15</w:t>
      </w:r>
      <w:r w:rsidR="00DC1712">
        <w:t>,</w:t>
      </w:r>
      <w:r w:rsidR="00542C0D">
        <w:t>000</w:t>
      </w:r>
      <w:r w:rsidR="005C53D4">
        <w:rPr>
          <w:rStyle w:val="FootnoteReference"/>
        </w:rPr>
        <w:footnoteReference w:id="164"/>
      </w:r>
      <w:r w:rsidR="005C53D4">
        <w:t xml:space="preserve"> </w:t>
      </w:r>
      <w:r w:rsidR="00184324">
        <w:t xml:space="preserve">– </w:t>
      </w:r>
      <w:r w:rsidR="005C53D4">
        <w:t xml:space="preserve">an amount </w:t>
      </w:r>
      <w:r w:rsidR="00542C0D">
        <w:t xml:space="preserve">higher than in </w:t>
      </w:r>
      <w:r w:rsidR="00542C0D" w:rsidRPr="00783889">
        <w:rPr>
          <w:i/>
          <w:iCs/>
        </w:rPr>
        <w:t>Tsige</w:t>
      </w:r>
      <w:r w:rsidR="00184324" w:rsidRPr="00B11899">
        <w:t xml:space="preserve"> </w:t>
      </w:r>
      <w:r w:rsidR="00184324">
        <w:t xml:space="preserve">– </w:t>
      </w:r>
      <w:r w:rsidR="00542C0D">
        <w:t>but it should be noted that in such cases there is almost always compensation for the commercial exploitation of the image, in this case by Wal-Mart.</w:t>
      </w:r>
    </w:p>
    <w:p w14:paraId="7896505F" w14:textId="476DD9CB" w:rsidR="00757799" w:rsidRDefault="002227B0">
      <w:pPr>
        <w:ind w:firstLine="720"/>
        <w:rPr>
          <w:lang w:bidi="he-IL"/>
        </w:rPr>
      </w:pPr>
      <w:r>
        <w:rPr>
          <w:lang w:bidi="he-IL"/>
        </w:rPr>
        <w:t xml:space="preserve">The third common law tort is known as </w:t>
      </w:r>
      <w:r w:rsidR="00AB7AFD" w:rsidRPr="00AB7AFD">
        <w:rPr>
          <w:lang w:bidi="he-IL"/>
        </w:rPr>
        <w:t xml:space="preserve">Public Disclosure of Private Facts </w:t>
      </w:r>
      <w:r>
        <w:rPr>
          <w:lang w:bidi="he-IL"/>
        </w:rPr>
        <w:t>and</w:t>
      </w:r>
      <w:r w:rsidR="00AB7AFD" w:rsidRPr="00AB7AFD">
        <w:rPr>
          <w:lang w:bidi="he-IL"/>
        </w:rPr>
        <w:t xml:space="preserve"> deals with circumstances in which a person reveal</w:t>
      </w:r>
      <w:r w:rsidR="0017771D">
        <w:rPr>
          <w:lang w:bidi="he-IL"/>
        </w:rPr>
        <w:t>s</w:t>
      </w:r>
      <w:r w:rsidR="00AB7AFD" w:rsidRPr="00AB7AFD">
        <w:rPr>
          <w:lang w:bidi="he-IL"/>
        </w:rPr>
        <w:t xml:space="preserve"> </w:t>
      </w:r>
      <w:r w:rsidR="0017771D">
        <w:rPr>
          <w:lang w:bidi="he-IL"/>
        </w:rPr>
        <w:t xml:space="preserve">personal </w:t>
      </w:r>
      <w:r w:rsidR="00AB7AFD" w:rsidRPr="00AB7AFD">
        <w:rPr>
          <w:lang w:bidi="he-IL"/>
        </w:rPr>
        <w:t>information about an individual against their wishes,</w:t>
      </w:r>
      <w:r w:rsidR="00AB7AFD" w:rsidRPr="00AB7AFD">
        <w:rPr>
          <w:vertAlign w:val="superscript"/>
          <w:lang w:bidi="he-IL"/>
        </w:rPr>
        <w:footnoteReference w:id="165"/>
      </w:r>
      <w:r w:rsidR="00AB7AFD" w:rsidRPr="00AB7AFD">
        <w:rPr>
          <w:lang w:bidi="he-IL"/>
        </w:rPr>
        <w:t xml:space="preserve"> such as</w:t>
      </w:r>
      <w:r w:rsidR="00757799">
        <w:rPr>
          <w:lang w:bidi="he-IL"/>
        </w:rPr>
        <w:t>,</w:t>
      </w:r>
      <w:r w:rsidR="00AB7AFD" w:rsidRPr="00AB7AFD">
        <w:rPr>
          <w:lang w:bidi="he-IL"/>
        </w:rPr>
        <w:t xml:space="preserve"> for example</w:t>
      </w:r>
      <w:r w:rsidR="00757799">
        <w:rPr>
          <w:lang w:bidi="he-IL"/>
        </w:rPr>
        <w:t>,</w:t>
      </w:r>
      <w:r w:rsidR="00AB7AFD" w:rsidRPr="00AB7AFD">
        <w:rPr>
          <w:lang w:bidi="he-IL"/>
        </w:rPr>
        <w:t xml:space="preserve"> their sexual preferences. </w:t>
      </w:r>
      <w:r w:rsidR="00757799">
        <w:rPr>
          <w:lang w:bidi="he-IL"/>
        </w:rPr>
        <w:t xml:space="preserve">In relation to the ingredients for the tort, </w:t>
      </w:r>
      <w:r w:rsidR="00187380">
        <w:rPr>
          <w:i/>
          <w:iCs/>
        </w:rPr>
        <w:t xml:space="preserve">Jane Doe 72511 v NM </w:t>
      </w:r>
      <w:r w:rsidR="007546CA">
        <w:t>[</w:t>
      </w:r>
      <w:r w:rsidR="005F6A89" w:rsidRPr="00783889">
        <w:rPr>
          <w:i/>
          <w:iCs/>
        </w:rPr>
        <w:t xml:space="preserve">Jane Doe </w:t>
      </w:r>
      <w:r w:rsidR="005F6A89" w:rsidRPr="00205F34">
        <w:rPr>
          <w:i/>
          <w:iCs/>
        </w:rPr>
        <w:t>2018</w:t>
      </w:r>
      <w:r w:rsidR="007546CA">
        <w:t>]</w:t>
      </w:r>
      <w:r w:rsidR="005F6A89">
        <w:t xml:space="preserve"> </w:t>
      </w:r>
      <w:r w:rsidR="00C4753E">
        <w:rPr>
          <w:lang w:bidi="he-IL"/>
        </w:rPr>
        <w:t xml:space="preserve">states </w:t>
      </w:r>
      <w:r w:rsidR="00757799">
        <w:rPr>
          <w:lang w:bidi="he-IL"/>
        </w:rPr>
        <w:t xml:space="preserve">as follows: </w:t>
      </w:r>
    </w:p>
    <w:p w14:paraId="491E1B5B" w14:textId="77777777" w:rsidR="00757799" w:rsidRPr="00783889" w:rsidRDefault="00757799" w:rsidP="00783889">
      <w:pPr>
        <w:spacing w:after="120"/>
        <w:ind w:firstLine="720"/>
        <w:rPr>
          <w:rFonts w:eastAsia="Times New Roman"/>
          <w:lang w:eastAsia="en-CA"/>
        </w:rPr>
      </w:pPr>
      <w:r w:rsidRPr="00783889">
        <w:rPr>
          <w:rFonts w:eastAsia="Times New Roman"/>
          <w:lang w:eastAsia="en-CA"/>
        </w:rPr>
        <w:t>To establish liability, the plaintiff must therefore prove that:</w:t>
      </w:r>
    </w:p>
    <w:p w14:paraId="230C4FDF" w14:textId="77777777" w:rsidR="00757799" w:rsidRPr="00783889" w:rsidRDefault="00757799" w:rsidP="00757799">
      <w:pPr>
        <w:spacing w:after="120"/>
        <w:ind w:left="720"/>
        <w:rPr>
          <w:rFonts w:eastAsia="Times New Roman"/>
          <w:lang w:eastAsia="en-CA"/>
        </w:rPr>
      </w:pPr>
      <w:r w:rsidRPr="00783889">
        <w:rPr>
          <w:rFonts w:eastAsia="Times New Roman"/>
          <w:lang w:eastAsia="en-CA"/>
        </w:rPr>
        <w:t>(a)        the defendant publicized an aspect of the plaintiff’s private life;</w:t>
      </w:r>
    </w:p>
    <w:p w14:paraId="2A60E160" w14:textId="77777777" w:rsidR="00757799" w:rsidRPr="00783889" w:rsidRDefault="00757799" w:rsidP="00757799">
      <w:pPr>
        <w:spacing w:after="120"/>
        <w:ind w:left="720"/>
        <w:rPr>
          <w:rFonts w:eastAsia="Times New Roman"/>
          <w:lang w:eastAsia="en-CA"/>
        </w:rPr>
      </w:pPr>
      <w:r w:rsidRPr="00783889">
        <w:rPr>
          <w:rFonts w:eastAsia="Times New Roman"/>
          <w:lang w:eastAsia="en-CA"/>
        </w:rPr>
        <w:t>(b)        the plaintiff did not consent to the publication;</w:t>
      </w:r>
    </w:p>
    <w:p w14:paraId="61B2DEAA" w14:textId="6F14F9F3" w:rsidR="00757799" w:rsidRPr="00783889" w:rsidRDefault="00757799" w:rsidP="00757799">
      <w:pPr>
        <w:spacing w:after="120"/>
        <w:ind w:left="1440" w:hanging="720"/>
        <w:rPr>
          <w:rFonts w:eastAsia="Times New Roman"/>
          <w:lang w:eastAsia="en-CA"/>
        </w:rPr>
      </w:pPr>
      <w:r w:rsidRPr="00783889">
        <w:rPr>
          <w:rFonts w:eastAsia="Times New Roman"/>
          <w:lang w:eastAsia="en-CA"/>
        </w:rPr>
        <w:t xml:space="preserve">(c)        </w:t>
      </w:r>
      <w:r w:rsidR="00C051A3">
        <w:rPr>
          <w:rFonts w:eastAsia="Times New Roman"/>
          <w:lang w:eastAsia="en-CA"/>
        </w:rPr>
        <w:t>t</w:t>
      </w:r>
      <w:r w:rsidRPr="00783889">
        <w:rPr>
          <w:rFonts w:eastAsia="Times New Roman"/>
          <w:lang w:eastAsia="en-CA"/>
        </w:rPr>
        <w:t xml:space="preserve">he matter publicized or its publication would be highly offensive to a </w:t>
      </w:r>
      <w:r w:rsidR="002D6056">
        <w:rPr>
          <w:rFonts w:eastAsia="Times New Roman"/>
          <w:lang w:eastAsia="en-CA"/>
        </w:rPr>
        <w:t xml:space="preserve">   </w:t>
      </w:r>
      <w:r w:rsidRPr="00783889">
        <w:rPr>
          <w:rFonts w:eastAsia="Times New Roman"/>
          <w:lang w:eastAsia="en-CA"/>
        </w:rPr>
        <w:t>reasonable person; and</w:t>
      </w:r>
    </w:p>
    <w:p w14:paraId="261501D7" w14:textId="6E48AEAA" w:rsidR="00757799" w:rsidRPr="00551551" w:rsidRDefault="00757799" w:rsidP="00187380">
      <w:pPr>
        <w:spacing w:after="360"/>
        <w:ind w:left="720"/>
        <w:rPr>
          <w:rFonts w:eastAsia="Times New Roman"/>
          <w:lang w:eastAsia="en-CA"/>
        </w:rPr>
      </w:pPr>
      <w:r w:rsidRPr="00783889">
        <w:rPr>
          <w:rFonts w:eastAsia="Times New Roman"/>
          <w:lang w:eastAsia="en-CA"/>
        </w:rPr>
        <w:t xml:space="preserve">(d)        </w:t>
      </w:r>
      <w:r w:rsidR="00C051A3">
        <w:rPr>
          <w:rFonts w:eastAsia="Times New Roman"/>
          <w:lang w:eastAsia="en-CA"/>
        </w:rPr>
        <w:t>t</w:t>
      </w:r>
      <w:r w:rsidRPr="00783889">
        <w:rPr>
          <w:rFonts w:eastAsia="Times New Roman"/>
          <w:lang w:eastAsia="en-CA"/>
        </w:rPr>
        <w:t>he publication was not of legitimate concern to the public.</w:t>
      </w:r>
      <w:r w:rsidRPr="00AB7AFD">
        <w:rPr>
          <w:vertAlign w:val="superscript"/>
          <w:lang w:val="en-US" w:bidi="he-IL"/>
        </w:rPr>
        <w:footnoteReference w:id="166"/>
      </w:r>
    </w:p>
    <w:p w14:paraId="44ADB8B6" w14:textId="4E2A2BCE" w:rsidR="004E2715" w:rsidRDefault="005F6A89" w:rsidP="00205F34">
      <w:pPr>
        <w:rPr>
          <w:lang w:val="en-US" w:bidi="he-IL"/>
        </w:rPr>
      </w:pPr>
      <w:r w:rsidRPr="00783889">
        <w:rPr>
          <w:i/>
          <w:iCs/>
          <w:lang w:val="en-US" w:bidi="he-IL"/>
        </w:rPr>
        <w:t>Jane Doe</w:t>
      </w:r>
      <w:r w:rsidR="00205F34">
        <w:rPr>
          <w:i/>
          <w:iCs/>
          <w:lang w:val="en-US" w:bidi="he-IL"/>
        </w:rPr>
        <w:t xml:space="preserve"> 2018</w:t>
      </w:r>
      <w:r>
        <w:rPr>
          <w:lang w:val="en-US" w:bidi="he-IL"/>
        </w:rPr>
        <w:t xml:space="preserve"> dealt with a </w:t>
      </w:r>
      <w:r w:rsidR="00CD42DE">
        <w:rPr>
          <w:lang w:val="en-US" w:bidi="he-IL"/>
        </w:rPr>
        <w:t>“revenge porn</w:t>
      </w:r>
      <w:r w:rsidR="00AB7AFD" w:rsidRPr="00AB7AFD">
        <w:rPr>
          <w:lang w:val="en-US" w:bidi="he-IL"/>
        </w:rPr>
        <w:t xml:space="preserve">” </w:t>
      </w:r>
      <w:r>
        <w:rPr>
          <w:lang w:val="en-US" w:bidi="he-IL"/>
        </w:rPr>
        <w:t>scenario whereby the plaintiff’s former intimate partner publishe</w:t>
      </w:r>
      <w:r w:rsidR="000E230D">
        <w:rPr>
          <w:lang w:val="en-US" w:bidi="he-IL"/>
        </w:rPr>
        <w:t>d</w:t>
      </w:r>
      <w:r>
        <w:rPr>
          <w:lang w:val="en-US" w:bidi="he-IL"/>
        </w:rPr>
        <w:t xml:space="preserve"> sexual images of her without her consent. The defendant’s goal was to </w:t>
      </w:r>
      <w:r w:rsidR="00AB7AFD" w:rsidRPr="00AB7AFD">
        <w:rPr>
          <w:lang w:val="en-US" w:bidi="he-IL"/>
        </w:rPr>
        <w:t xml:space="preserve">cause </w:t>
      </w:r>
      <w:r>
        <w:rPr>
          <w:lang w:val="en-US" w:bidi="he-IL"/>
        </w:rPr>
        <w:t xml:space="preserve">her </w:t>
      </w:r>
      <w:r w:rsidR="00AB7AFD" w:rsidRPr="00AB7AFD">
        <w:rPr>
          <w:lang w:val="en-US" w:bidi="he-IL"/>
        </w:rPr>
        <w:t>humiliation and anguish through their broad publication and dissemination. As a result</w:t>
      </w:r>
      <w:r w:rsidR="00FD49B4">
        <w:rPr>
          <w:lang w:val="en-US" w:bidi="he-IL"/>
        </w:rPr>
        <w:t xml:space="preserve"> of such egregious </w:t>
      </w:r>
      <w:r w:rsidR="002227B0">
        <w:rPr>
          <w:lang w:val="en-US" w:bidi="he-IL"/>
        </w:rPr>
        <w:t xml:space="preserve">misconduct, </w:t>
      </w:r>
      <w:r>
        <w:rPr>
          <w:lang w:val="en-US" w:bidi="he-IL"/>
        </w:rPr>
        <w:t>the court awarded $100,000 in damages</w:t>
      </w:r>
      <w:r w:rsidR="000E230D">
        <w:rPr>
          <w:lang w:val="en-US" w:bidi="he-IL"/>
        </w:rPr>
        <w:t>.</w:t>
      </w:r>
      <w:r w:rsidR="00AB7AFD" w:rsidRPr="00AB7AFD">
        <w:rPr>
          <w:vertAlign w:val="superscript"/>
          <w:lang w:val="en-US" w:bidi="he-IL"/>
        </w:rPr>
        <w:footnoteReference w:id="167"/>
      </w:r>
      <w:r w:rsidR="00AB7AFD" w:rsidRPr="00AB7AFD">
        <w:rPr>
          <w:lang w:val="en-US" w:bidi="he-IL"/>
        </w:rPr>
        <w:t xml:space="preserve"> </w:t>
      </w:r>
      <w:r w:rsidR="000E230D">
        <w:rPr>
          <w:lang w:val="en-US" w:bidi="he-IL"/>
        </w:rPr>
        <w:t xml:space="preserve">Likewise, and in another revenge porn case, </w:t>
      </w:r>
      <w:r w:rsidR="00AB7AFD" w:rsidRPr="00AB7AFD">
        <w:rPr>
          <w:i/>
          <w:iCs/>
          <w:lang w:val="en-US" w:bidi="he-IL"/>
        </w:rPr>
        <w:t>Jane Doe 464533 v ND</w:t>
      </w:r>
      <w:r w:rsidR="00FD49B4">
        <w:rPr>
          <w:i/>
          <w:iCs/>
          <w:lang w:val="en-US" w:bidi="he-IL"/>
        </w:rPr>
        <w:t xml:space="preserve"> </w:t>
      </w:r>
      <w:r w:rsidR="00FD49B4">
        <w:rPr>
          <w:lang w:val="en-US" w:bidi="he-IL"/>
        </w:rPr>
        <w:t>(</w:t>
      </w:r>
      <w:r w:rsidR="00187380">
        <w:rPr>
          <w:i/>
          <w:iCs/>
          <w:lang w:val="en-US" w:bidi="he-IL"/>
        </w:rPr>
        <w:t xml:space="preserve">Jane </w:t>
      </w:r>
      <w:r w:rsidR="00187380">
        <w:rPr>
          <w:i/>
          <w:iCs/>
          <w:lang w:val="en-US" w:bidi="he-IL"/>
        </w:rPr>
        <w:lastRenderedPageBreak/>
        <w:t>Doe 2016</w:t>
      </w:r>
      <w:r w:rsidR="00187380">
        <w:rPr>
          <w:lang w:val="en-US" w:bidi="he-IL"/>
        </w:rPr>
        <w:t>)</w:t>
      </w:r>
      <w:r w:rsidR="00AB7AFD" w:rsidRPr="00AB7AFD">
        <w:rPr>
          <w:lang w:val="en-US" w:bidi="he-IL"/>
        </w:rPr>
        <w:t>,</w:t>
      </w:r>
      <w:r w:rsidR="00AB7AFD" w:rsidRPr="00AB7AFD">
        <w:rPr>
          <w:vertAlign w:val="superscript"/>
          <w:lang w:val="en-US" w:bidi="he-IL"/>
        </w:rPr>
        <w:footnoteReference w:id="168"/>
      </w:r>
      <w:r w:rsidR="00AB7AFD" w:rsidRPr="00AB7AFD">
        <w:rPr>
          <w:lang w:val="en-US" w:bidi="he-IL"/>
        </w:rPr>
        <w:t xml:space="preserve"> damages of $100,000 were awarded. </w:t>
      </w:r>
      <w:r w:rsidR="00FD49B4">
        <w:rPr>
          <w:lang w:val="en-US" w:bidi="he-IL"/>
        </w:rPr>
        <w:t>Both</w:t>
      </w:r>
      <w:r w:rsidR="00AB7AFD" w:rsidRPr="00AB7AFD">
        <w:rPr>
          <w:lang w:val="en-US" w:bidi="he-IL"/>
        </w:rPr>
        <w:t xml:space="preserve"> these </w:t>
      </w:r>
      <w:r w:rsidR="00FD49B4">
        <w:rPr>
          <w:lang w:val="en-US" w:bidi="he-IL"/>
        </w:rPr>
        <w:t xml:space="preserve">cases involved </w:t>
      </w:r>
      <w:r w:rsidR="00AB7AFD" w:rsidRPr="00AB7AFD">
        <w:rPr>
          <w:lang w:val="en-US" w:bidi="he-IL"/>
        </w:rPr>
        <w:t xml:space="preserve">default judgments, </w:t>
      </w:r>
      <w:r w:rsidR="00FD49B4">
        <w:rPr>
          <w:lang w:val="en-US" w:bidi="he-IL"/>
        </w:rPr>
        <w:t xml:space="preserve">but as the court in </w:t>
      </w:r>
      <w:proofErr w:type="spellStart"/>
      <w:r w:rsidR="003C0F01" w:rsidRPr="00783889">
        <w:rPr>
          <w:i/>
          <w:iCs/>
          <w:lang w:bidi="he-IL"/>
        </w:rPr>
        <w:t>Yenovkian</w:t>
      </w:r>
      <w:proofErr w:type="spellEnd"/>
      <w:r w:rsidR="003C0F01" w:rsidRPr="00783889">
        <w:rPr>
          <w:i/>
          <w:iCs/>
          <w:lang w:bidi="he-IL"/>
        </w:rPr>
        <w:t xml:space="preserve"> v </w:t>
      </w:r>
      <w:proofErr w:type="spellStart"/>
      <w:r w:rsidR="003C0F01" w:rsidRPr="00783889">
        <w:rPr>
          <w:i/>
          <w:iCs/>
          <w:lang w:bidi="he-IL"/>
        </w:rPr>
        <w:t>Gulian</w:t>
      </w:r>
      <w:proofErr w:type="spellEnd"/>
      <w:r w:rsidR="003C0F01">
        <w:rPr>
          <w:lang w:val="en-US" w:bidi="he-IL"/>
        </w:rPr>
        <w:t xml:space="preserve"> </w:t>
      </w:r>
      <w:r w:rsidR="00FD49B4">
        <w:rPr>
          <w:lang w:val="en-US" w:bidi="he-IL"/>
        </w:rPr>
        <w:t>observed, “because the default judgment was set aside in Jane Doe, 2016, the cause of action was recognized anew in</w:t>
      </w:r>
      <w:r w:rsidR="00837325">
        <w:rPr>
          <w:lang w:val="en-US" w:bidi="he-IL"/>
        </w:rPr>
        <w:t xml:space="preserve"> </w:t>
      </w:r>
      <w:r w:rsidR="00FD49B4">
        <w:rPr>
          <w:lang w:val="en-US" w:bidi="he-IL"/>
        </w:rPr>
        <w:t>Jane Doe 2018.”</w:t>
      </w:r>
      <w:bookmarkStart w:id="34" w:name="_Ref78216794"/>
      <w:r w:rsidR="00FD49B4">
        <w:rPr>
          <w:rStyle w:val="FootnoteReference"/>
          <w:lang w:val="en-US" w:bidi="he-IL"/>
        </w:rPr>
        <w:footnoteReference w:id="169"/>
      </w:r>
      <w:bookmarkEnd w:id="34"/>
      <w:r w:rsidR="00FD49B4">
        <w:rPr>
          <w:lang w:val="en-US" w:bidi="he-IL"/>
        </w:rPr>
        <w:t xml:space="preserve"> Certainly, </w:t>
      </w:r>
      <w:r w:rsidR="00DC1712">
        <w:rPr>
          <w:lang w:val="en-US" w:bidi="he-IL"/>
        </w:rPr>
        <w:t>the discrepancy with the award and cap</w:t>
      </w:r>
      <w:r w:rsidR="00D80440">
        <w:rPr>
          <w:lang w:val="en-US" w:bidi="he-IL"/>
        </w:rPr>
        <w:t xml:space="preserve"> set in</w:t>
      </w:r>
      <w:r w:rsidR="00DC1712">
        <w:rPr>
          <w:lang w:val="en-US" w:bidi="he-IL"/>
        </w:rPr>
        <w:t xml:space="preserve"> </w:t>
      </w:r>
      <w:r w:rsidR="00DC1712" w:rsidRPr="00783889">
        <w:rPr>
          <w:i/>
          <w:iCs/>
          <w:lang w:val="en-US" w:bidi="he-IL"/>
        </w:rPr>
        <w:t>Tsige</w:t>
      </w:r>
      <w:r w:rsidR="00DC1712">
        <w:rPr>
          <w:lang w:val="en-US" w:bidi="he-IL"/>
        </w:rPr>
        <w:t xml:space="preserve"> is significant</w:t>
      </w:r>
      <w:r w:rsidR="002227B0">
        <w:rPr>
          <w:lang w:val="en-US" w:bidi="he-IL"/>
        </w:rPr>
        <w:t xml:space="preserve"> and appropriate</w:t>
      </w:r>
      <w:r w:rsidR="00DC1712">
        <w:rPr>
          <w:lang w:val="en-US" w:bidi="he-IL"/>
        </w:rPr>
        <w:t xml:space="preserve">. </w:t>
      </w:r>
      <w:r w:rsidR="004E2715">
        <w:rPr>
          <w:lang w:val="en-US" w:bidi="he-IL"/>
        </w:rPr>
        <w:t xml:space="preserve"> </w:t>
      </w:r>
    </w:p>
    <w:p w14:paraId="3328CFA6" w14:textId="77777777" w:rsidR="00B8699D" w:rsidRDefault="004E2715" w:rsidP="00324768">
      <w:pPr>
        <w:pStyle w:val="NormalWeb"/>
        <w:ind w:firstLine="720"/>
        <w:rPr>
          <w:rFonts w:ascii="Arial" w:hAnsi="Arial" w:cs="Arial"/>
          <w:lang w:val="en-US" w:bidi="he-IL"/>
        </w:rPr>
      </w:pPr>
      <w:r w:rsidRPr="00783889">
        <w:rPr>
          <w:rFonts w:ascii="Arial" w:hAnsi="Arial" w:cs="Arial"/>
          <w:lang w:val="en-US" w:bidi="he-IL"/>
        </w:rPr>
        <w:t xml:space="preserve">Though </w:t>
      </w:r>
      <w:r w:rsidR="00080EA7">
        <w:rPr>
          <w:rFonts w:ascii="Arial" w:hAnsi="Arial" w:cs="Arial"/>
          <w:lang w:val="en-US" w:bidi="he-IL"/>
        </w:rPr>
        <w:t xml:space="preserve">such highly personal cases </w:t>
      </w:r>
      <w:r w:rsidRPr="00783889">
        <w:rPr>
          <w:rFonts w:ascii="Arial" w:hAnsi="Arial" w:cs="Arial"/>
          <w:lang w:val="en-US" w:bidi="he-IL"/>
        </w:rPr>
        <w:t xml:space="preserve">are unlikely to arise under </w:t>
      </w:r>
      <w:r w:rsidRPr="006336E5">
        <w:rPr>
          <w:rFonts w:ascii="Arial" w:hAnsi="Arial" w:cs="Arial"/>
          <w:i/>
          <w:iCs/>
          <w:lang w:val="en-US" w:bidi="he-IL"/>
        </w:rPr>
        <w:t>PIPEDA</w:t>
      </w:r>
      <w:r w:rsidR="006336E5">
        <w:rPr>
          <w:rFonts w:ascii="Arial" w:hAnsi="Arial" w:cs="Arial"/>
          <w:lang w:val="en-US" w:bidi="he-IL"/>
        </w:rPr>
        <w:t xml:space="preserve"> </w:t>
      </w:r>
      <w:r w:rsidR="002227B0">
        <w:rPr>
          <w:rFonts w:ascii="Arial" w:hAnsi="Arial" w:cs="Arial"/>
          <w:lang w:val="en-US" w:bidi="he-IL"/>
        </w:rPr>
        <w:t>(</w:t>
      </w:r>
      <w:r w:rsidR="006336E5">
        <w:rPr>
          <w:rFonts w:ascii="Arial" w:hAnsi="Arial" w:cs="Arial"/>
          <w:lang w:val="en-US" w:bidi="he-IL"/>
        </w:rPr>
        <w:t>given its</w:t>
      </w:r>
      <w:r w:rsidRPr="00783889">
        <w:rPr>
          <w:rFonts w:ascii="Arial" w:hAnsi="Arial" w:cs="Arial"/>
          <w:lang w:val="en-US" w:bidi="he-IL"/>
        </w:rPr>
        <w:t xml:space="preserve"> focus on private sector</w:t>
      </w:r>
      <w:r w:rsidR="007C7950">
        <w:rPr>
          <w:rFonts w:ascii="Arial" w:hAnsi="Arial" w:cs="Arial"/>
          <w:lang w:val="en-US" w:bidi="he-IL"/>
        </w:rPr>
        <w:t xml:space="preserve"> businesses</w:t>
      </w:r>
      <w:r w:rsidR="002227B0">
        <w:rPr>
          <w:rFonts w:ascii="Arial" w:hAnsi="Arial" w:cs="Arial"/>
          <w:lang w:val="en-US" w:bidi="he-IL"/>
        </w:rPr>
        <w:t>)</w:t>
      </w:r>
      <w:r w:rsidRPr="00783889">
        <w:rPr>
          <w:rFonts w:ascii="Arial" w:hAnsi="Arial" w:cs="Arial"/>
          <w:lang w:val="en-US" w:bidi="he-IL"/>
        </w:rPr>
        <w:t>, there has been a</w:t>
      </w:r>
      <w:r w:rsidR="00D92480">
        <w:rPr>
          <w:rFonts w:ascii="Arial" w:hAnsi="Arial" w:cs="Arial"/>
          <w:lang w:val="en-US" w:bidi="he-IL"/>
        </w:rPr>
        <w:t>t</w:t>
      </w:r>
      <w:r w:rsidRPr="00783889">
        <w:rPr>
          <w:rFonts w:ascii="Arial" w:hAnsi="Arial" w:cs="Arial"/>
          <w:lang w:val="en-US" w:bidi="he-IL"/>
        </w:rPr>
        <w:t xml:space="preserve"> least one very well publicized data breach </w:t>
      </w:r>
      <w:r w:rsidR="00080EA7">
        <w:rPr>
          <w:rFonts w:ascii="Arial" w:hAnsi="Arial" w:cs="Arial"/>
          <w:lang w:val="en-US" w:bidi="he-IL"/>
        </w:rPr>
        <w:t xml:space="preserve">case </w:t>
      </w:r>
      <w:r w:rsidRPr="00783889">
        <w:rPr>
          <w:rFonts w:ascii="Arial" w:hAnsi="Arial" w:cs="Arial"/>
          <w:lang w:val="en-US" w:bidi="he-IL"/>
        </w:rPr>
        <w:t xml:space="preserve">which </w:t>
      </w:r>
      <w:r w:rsidR="0089794C">
        <w:rPr>
          <w:rFonts w:ascii="Arial" w:hAnsi="Arial" w:cs="Arial"/>
          <w:lang w:val="en-US" w:bidi="he-IL"/>
        </w:rPr>
        <w:t xml:space="preserve">possibly </w:t>
      </w:r>
      <w:r w:rsidR="002E66E6">
        <w:rPr>
          <w:rFonts w:ascii="Arial" w:hAnsi="Arial" w:cs="Arial"/>
          <w:lang w:val="en-US" w:bidi="he-IL"/>
        </w:rPr>
        <w:t xml:space="preserve">could have done so. </w:t>
      </w:r>
      <w:r w:rsidRPr="00783889">
        <w:rPr>
          <w:rFonts w:ascii="Arial" w:hAnsi="Arial" w:cs="Arial"/>
          <w:lang w:val="en-US" w:bidi="he-IL"/>
        </w:rPr>
        <w:t>The Ashley Madison data breach</w:t>
      </w:r>
      <w:r w:rsidR="00A05716">
        <w:rPr>
          <w:rFonts w:ascii="Arial" w:hAnsi="Arial" w:cs="Arial"/>
          <w:lang w:val="en-US" w:bidi="he-IL"/>
        </w:rPr>
        <w:t xml:space="preserve"> </w:t>
      </w:r>
      <w:r w:rsidRPr="00783889">
        <w:rPr>
          <w:rFonts w:ascii="Arial" w:hAnsi="Arial" w:cs="Arial"/>
          <w:lang w:val="en-US" w:bidi="he-IL"/>
        </w:rPr>
        <w:t>concerned a website service for those seeking to have dis</w:t>
      </w:r>
      <w:r w:rsidR="00324768">
        <w:rPr>
          <w:rFonts w:ascii="Arial" w:hAnsi="Arial" w:cs="Arial"/>
          <w:lang w:val="en-US" w:bidi="he-IL"/>
        </w:rPr>
        <w:t>creet</w:t>
      </w:r>
      <w:r w:rsidRPr="00783889">
        <w:rPr>
          <w:rFonts w:ascii="Arial" w:hAnsi="Arial" w:cs="Arial"/>
          <w:lang w:val="en-US" w:bidi="he-IL"/>
        </w:rPr>
        <w:t xml:space="preserve"> affairs. In 2015, a person or group hacked into the website and then threated to publish the names and other private information of its users. </w:t>
      </w:r>
      <w:r w:rsidR="00825473">
        <w:rPr>
          <w:rFonts w:ascii="Arial" w:hAnsi="Arial" w:cs="Arial"/>
          <w:lang w:val="en-US" w:bidi="he-IL"/>
        </w:rPr>
        <w:t>The person or persons</w:t>
      </w:r>
      <w:r w:rsidR="002E66E6">
        <w:rPr>
          <w:rFonts w:ascii="Arial" w:hAnsi="Arial" w:cs="Arial"/>
          <w:lang w:val="en-US" w:bidi="he-IL"/>
        </w:rPr>
        <w:t xml:space="preserve"> </w:t>
      </w:r>
      <w:r w:rsidR="00D66BC5">
        <w:rPr>
          <w:rFonts w:ascii="Arial" w:hAnsi="Arial" w:cs="Arial"/>
          <w:lang w:val="en-US" w:bidi="he-IL"/>
        </w:rPr>
        <w:t xml:space="preserve">apparently </w:t>
      </w:r>
      <w:r w:rsidR="002E66E6">
        <w:rPr>
          <w:rFonts w:ascii="Arial" w:hAnsi="Arial" w:cs="Arial"/>
          <w:lang w:val="en-US" w:bidi="he-IL"/>
        </w:rPr>
        <w:t xml:space="preserve">went on to </w:t>
      </w:r>
      <w:r w:rsidR="0089794C">
        <w:rPr>
          <w:rFonts w:ascii="Arial" w:hAnsi="Arial" w:cs="Arial"/>
          <w:lang w:val="en-US" w:bidi="he-IL"/>
        </w:rPr>
        <w:t>fulfill this threat</w:t>
      </w:r>
      <w:r w:rsidR="0089794C">
        <w:rPr>
          <w:rStyle w:val="FootnoteReference"/>
          <w:rFonts w:ascii="Arial" w:hAnsi="Arial" w:cs="Arial"/>
          <w:lang w:val="en-US" w:bidi="he-IL"/>
        </w:rPr>
        <w:footnoteReference w:id="170"/>
      </w:r>
      <w:r w:rsidR="0089794C">
        <w:rPr>
          <w:rFonts w:ascii="Arial" w:hAnsi="Arial" w:cs="Arial"/>
          <w:lang w:val="en-US" w:bidi="he-IL"/>
        </w:rPr>
        <w:t xml:space="preserve"> with subsequent suicides by some of those </w:t>
      </w:r>
      <w:r w:rsidR="00D66BC5">
        <w:rPr>
          <w:rFonts w:ascii="Arial" w:hAnsi="Arial" w:cs="Arial"/>
          <w:lang w:val="en-US" w:bidi="he-IL"/>
        </w:rPr>
        <w:t>affected</w:t>
      </w:r>
      <w:r w:rsidR="0089794C">
        <w:rPr>
          <w:rFonts w:ascii="Arial" w:hAnsi="Arial" w:cs="Arial"/>
          <w:lang w:val="en-US" w:bidi="he-IL"/>
        </w:rPr>
        <w:t>.</w:t>
      </w:r>
      <w:r w:rsidR="0089794C">
        <w:rPr>
          <w:rStyle w:val="FootnoteReference"/>
          <w:rFonts w:ascii="Arial" w:hAnsi="Arial" w:cs="Arial"/>
          <w:lang w:val="en-US" w:bidi="he-IL"/>
        </w:rPr>
        <w:footnoteReference w:id="171"/>
      </w:r>
      <w:r w:rsidRPr="00783889">
        <w:rPr>
          <w:rFonts w:ascii="Arial" w:hAnsi="Arial" w:cs="Arial"/>
          <w:lang w:val="en-US" w:bidi="he-IL"/>
        </w:rPr>
        <w:t xml:space="preserve"> </w:t>
      </w:r>
    </w:p>
    <w:p w14:paraId="1A537E8A" w14:textId="354F02BD" w:rsidR="00AB7AFD" w:rsidRPr="004A7CA0" w:rsidRDefault="002E66E6" w:rsidP="00324768">
      <w:pPr>
        <w:pStyle w:val="NormalWeb"/>
        <w:ind w:firstLine="720"/>
        <w:rPr>
          <w:lang w:val="en-US" w:bidi="he-IL"/>
        </w:rPr>
      </w:pPr>
      <w:r>
        <w:rPr>
          <w:rFonts w:ascii="Arial" w:hAnsi="Arial" w:cs="Arial"/>
          <w:lang w:val="en-US" w:bidi="he-IL"/>
        </w:rPr>
        <w:t>In response</w:t>
      </w:r>
      <w:r w:rsidR="0093175A">
        <w:rPr>
          <w:rFonts w:ascii="Arial" w:hAnsi="Arial" w:cs="Arial"/>
          <w:lang w:val="en-US" w:bidi="he-IL"/>
        </w:rPr>
        <w:t xml:space="preserve"> to the data breach</w:t>
      </w:r>
      <w:r>
        <w:rPr>
          <w:rFonts w:ascii="Arial" w:hAnsi="Arial" w:cs="Arial"/>
          <w:lang w:val="en-US" w:bidi="he-IL"/>
        </w:rPr>
        <w:t>, t</w:t>
      </w:r>
      <w:r w:rsidR="00080EA7" w:rsidRPr="00783889">
        <w:rPr>
          <w:rFonts w:ascii="Arial" w:hAnsi="Arial" w:cs="Arial"/>
          <w:lang w:val="en-US" w:bidi="he-IL"/>
        </w:rPr>
        <w:t>he Privacy Commission of Canada in</w:t>
      </w:r>
      <w:r w:rsidR="00080EA7">
        <w:rPr>
          <w:rFonts w:ascii="Arial" w:hAnsi="Arial" w:cs="Arial"/>
          <w:lang w:val="en-US" w:bidi="he-IL"/>
        </w:rPr>
        <w:t>i</w:t>
      </w:r>
      <w:r w:rsidR="00080EA7" w:rsidRPr="00783889">
        <w:rPr>
          <w:rFonts w:ascii="Arial" w:hAnsi="Arial" w:cs="Arial"/>
          <w:lang w:val="en-US" w:bidi="he-IL"/>
        </w:rPr>
        <w:t xml:space="preserve">tiated a Commissioner-led complaint </w:t>
      </w:r>
      <w:r w:rsidR="0093175A">
        <w:rPr>
          <w:rFonts w:ascii="Arial" w:hAnsi="Arial" w:cs="Arial"/>
          <w:lang w:val="en-US" w:bidi="he-IL"/>
        </w:rPr>
        <w:t xml:space="preserve">along with the Australian Privacy Commission </w:t>
      </w:r>
      <w:r w:rsidR="00080EA7" w:rsidRPr="00783889">
        <w:rPr>
          <w:rFonts w:ascii="Arial" w:hAnsi="Arial" w:cs="Arial"/>
          <w:lang w:val="en-US" w:bidi="he-IL"/>
        </w:rPr>
        <w:t xml:space="preserve">against </w:t>
      </w:r>
      <w:r w:rsidR="00080EA7">
        <w:rPr>
          <w:rFonts w:ascii="Arial" w:hAnsi="Arial" w:cs="Arial"/>
          <w:lang w:val="en-US" w:bidi="he-IL"/>
        </w:rPr>
        <w:t xml:space="preserve">the company which operated </w:t>
      </w:r>
      <w:r w:rsidR="004E2715" w:rsidRPr="00783889">
        <w:rPr>
          <w:rFonts w:ascii="Arial" w:hAnsi="Arial" w:cs="Arial"/>
          <w:lang w:val="en-US" w:bidi="he-IL"/>
        </w:rPr>
        <w:t>Ashley Madison</w:t>
      </w:r>
      <w:r w:rsidR="0093175A">
        <w:rPr>
          <w:rFonts w:ascii="Arial" w:hAnsi="Arial" w:cs="Arial"/>
          <w:lang w:val="en-US" w:bidi="he-IL"/>
        </w:rPr>
        <w:t xml:space="preserve">, namely </w:t>
      </w:r>
      <w:r w:rsidR="0093175A" w:rsidRPr="0093175A">
        <w:rPr>
          <w:rFonts w:ascii="Arial" w:hAnsi="Arial" w:cs="Arial"/>
          <w:lang w:val="en-US" w:bidi="he-IL"/>
        </w:rPr>
        <w:t>Avid Life Media Inc (ALM)</w:t>
      </w:r>
      <w:r w:rsidR="0093175A">
        <w:rPr>
          <w:rFonts w:ascii="Arial" w:hAnsi="Arial" w:cs="Arial"/>
          <w:lang w:val="en-US" w:bidi="he-IL"/>
        </w:rPr>
        <w:t>. T</w:t>
      </w:r>
      <w:r w:rsidR="00080EA7">
        <w:rPr>
          <w:rFonts w:ascii="Arial" w:hAnsi="Arial" w:cs="Arial"/>
          <w:lang w:val="en-US" w:bidi="he-IL"/>
        </w:rPr>
        <w:t>ogether,</w:t>
      </w:r>
      <w:r w:rsidR="0093175A">
        <w:rPr>
          <w:rFonts w:ascii="Arial" w:hAnsi="Arial" w:cs="Arial"/>
          <w:lang w:val="en-US" w:bidi="he-IL"/>
        </w:rPr>
        <w:t xml:space="preserve"> the Commissions</w:t>
      </w:r>
      <w:r w:rsidR="00080EA7" w:rsidRPr="00783889">
        <w:rPr>
          <w:rFonts w:ascii="Arial" w:hAnsi="Arial" w:cs="Arial"/>
          <w:lang w:val="en-US" w:bidi="he-IL"/>
        </w:rPr>
        <w:t xml:space="preserve"> produced </w:t>
      </w:r>
      <w:r w:rsidR="00080EA7">
        <w:rPr>
          <w:rFonts w:ascii="Arial" w:hAnsi="Arial" w:cs="Arial"/>
          <w:lang w:val="en-US" w:bidi="he-IL"/>
        </w:rPr>
        <w:t>“</w:t>
      </w:r>
      <w:r w:rsidR="00080EA7" w:rsidRPr="00D66BC5">
        <w:rPr>
          <w:rFonts w:ascii="Arial" w:hAnsi="Arial" w:cs="Arial"/>
          <w:bCs w:val="0"/>
          <w:i/>
          <w:iCs/>
        </w:rPr>
        <w:t>PIPEDA</w:t>
      </w:r>
      <w:r w:rsidR="00080EA7" w:rsidRPr="00783889">
        <w:rPr>
          <w:rFonts w:ascii="Arial" w:hAnsi="Arial" w:cs="Arial"/>
          <w:bCs w:val="0"/>
        </w:rPr>
        <w:t xml:space="preserve"> Report of Findings #2016-005, August 22, 2016</w:t>
      </w:r>
      <w:r w:rsidR="00D92480">
        <w:rPr>
          <w:rFonts w:ascii="Arial" w:hAnsi="Arial" w:cs="Arial"/>
          <w:bCs w:val="0"/>
        </w:rPr>
        <w:t>.</w:t>
      </w:r>
      <w:r w:rsidR="00080EA7">
        <w:rPr>
          <w:rFonts w:ascii="Arial" w:hAnsi="Arial" w:cs="Arial"/>
          <w:bCs w:val="0"/>
        </w:rPr>
        <w:t>”</w:t>
      </w:r>
      <w:r w:rsidR="006336E5">
        <w:rPr>
          <w:rStyle w:val="FootnoteReference"/>
          <w:rFonts w:ascii="Arial" w:hAnsi="Arial" w:cs="Arial"/>
          <w:bCs w:val="0"/>
        </w:rPr>
        <w:footnoteReference w:id="172"/>
      </w:r>
      <w:r w:rsidR="00080EA7" w:rsidRPr="00783889">
        <w:rPr>
          <w:rFonts w:ascii="Arial" w:hAnsi="Arial" w:cs="Arial"/>
          <w:bCs w:val="0"/>
        </w:rPr>
        <w:t xml:space="preserve"> </w:t>
      </w:r>
      <w:r w:rsidR="00F03818">
        <w:rPr>
          <w:rFonts w:ascii="Arial" w:hAnsi="Arial" w:cs="Arial"/>
          <w:bCs w:val="0"/>
        </w:rPr>
        <w:t>While the</w:t>
      </w:r>
      <w:r w:rsidR="00D92480">
        <w:rPr>
          <w:rFonts w:ascii="Arial" w:hAnsi="Arial" w:cs="Arial"/>
          <w:bCs w:val="0"/>
        </w:rPr>
        <w:t xml:space="preserve"> report </w:t>
      </w:r>
      <w:r w:rsidR="00F03818">
        <w:rPr>
          <w:rFonts w:ascii="Arial" w:hAnsi="Arial" w:cs="Arial"/>
          <w:bCs w:val="0"/>
        </w:rPr>
        <w:t xml:space="preserve">issued </w:t>
      </w:r>
      <w:r w:rsidR="00080EA7" w:rsidRPr="00783889">
        <w:rPr>
          <w:rFonts w:ascii="Arial" w:hAnsi="Arial" w:cs="Arial"/>
          <w:bCs w:val="0"/>
        </w:rPr>
        <w:t xml:space="preserve">a series of recommendations </w:t>
      </w:r>
      <w:r w:rsidR="00D92480">
        <w:rPr>
          <w:rFonts w:ascii="Arial" w:hAnsi="Arial" w:cs="Arial"/>
          <w:bCs w:val="0"/>
        </w:rPr>
        <w:t xml:space="preserve">and other content </w:t>
      </w:r>
      <w:r w:rsidR="00080EA7" w:rsidRPr="00783889">
        <w:rPr>
          <w:rFonts w:ascii="Arial" w:hAnsi="Arial" w:cs="Arial"/>
          <w:bCs w:val="0"/>
        </w:rPr>
        <w:t>that are beyond the</w:t>
      </w:r>
      <w:r w:rsidR="00F03818">
        <w:rPr>
          <w:rFonts w:ascii="Arial" w:hAnsi="Arial" w:cs="Arial"/>
          <w:bCs w:val="0"/>
        </w:rPr>
        <w:t xml:space="preserve"> scope of this </w:t>
      </w:r>
      <w:r w:rsidR="00852151">
        <w:rPr>
          <w:rFonts w:ascii="Arial" w:hAnsi="Arial" w:cs="Arial"/>
          <w:bCs w:val="0"/>
        </w:rPr>
        <w:t>article</w:t>
      </w:r>
      <w:r w:rsidR="00F03818">
        <w:rPr>
          <w:rFonts w:ascii="Arial" w:hAnsi="Arial" w:cs="Arial"/>
          <w:bCs w:val="0"/>
        </w:rPr>
        <w:t xml:space="preserve"> to explore</w:t>
      </w:r>
      <w:r w:rsidR="00AA65BB">
        <w:rPr>
          <w:rFonts w:ascii="Arial" w:hAnsi="Arial" w:cs="Arial"/>
          <w:bCs w:val="0"/>
        </w:rPr>
        <w:t>,</w:t>
      </w:r>
      <w:r w:rsidR="00F03818">
        <w:rPr>
          <w:rFonts w:ascii="Arial" w:hAnsi="Arial" w:cs="Arial"/>
          <w:bCs w:val="0"/>
        </w:rPr>
        <w:t xml:space="preserve"> our </w:t>
      </w:r>
      <w:r w:rsidR="00080EA7" w:rsidRPr="00783889">
        <w:rPr>
          <w:rFonts w:ascii="Arial" w:hAnsi="Arial" w:cs="Arial"/>
          <w:bCs w:val="0"/>
        </w:rPr>
        <w:t xml:space="preserve">point </w:t>
      </w:r>
      <w:r w:rsidR="00F03818">
        <w:rPr>
          <w:rFonts w:ascii="Arial" w:hAnsi="Arial" w:cs="Arial"/>
          <w:bCs w:val="0"/>
        </w:rPr>
        <w:t xml:space="preserve">here </w:t>
      </w:r>
      <w:r w:rsidR="00080EA7" w:rsidRPr="00783889">
        <w:rPr>
          <w:rFonts w:ascii="Arial" w:hAnsi="Arial" w:cs="Arial"/>
          <w:bCs w:val="0"/>
        </w:rPr>
        <w:t>is that</w:t>
      </w:r>
      <w:r w:rsidR="00837325">
        <w:rPr>
          <w:rFonts w:ascii="Arial" w:hAnsi="Arial" w:cs="Arial"/>
          <w:bCs w:val="0"/>
        </w:rPr>
        <w:t xml:space="preserve"> </w:t>
      </w:r>
      <w:r w:rsidR="002227B0">
        <w:rPr>
          <w:rFonts w:ascii="Arial" w:hAnsi="Arial" w:cs="Arial"/>
          <w:bCs w:val="0"/>
        </w:rPr>
        <w:t>a customer</w:t>
      </w:r>
      <w:r w:rsidR="00080EA7" w:rsidRPr="00783889">
        <w:rPr>
          <w:rFonts w:ascii="Arial" w:hAnsi="Arial" w:cs="Arial"/>
          <w:bCs w:val="0"/>
        </w:rPr>
        <w:t xml:space="preserve"> affected by the </w:t>
      </w:r>
      <w:r w:rsidR="00080EA7">
        <w:rPr>
          <w:rFonts w:ascii="Arial" w:hAnsi="Arial" w:cs="Arial"/>
          <w:bCs w:val="0"/>
        </w:rPr>
        <w:t xml:space="preserve">Ashley Madison </w:t>
      </w:r>
      <w:r w:rsidR="00080EA7" w:rsidRPr="00783889">
        <w:rPr>
          <w:rFonts w:ascii="Arial" w:hAnsi="Arial" w:cs="Arial"/>
          <w:bCs w:val="0"/>
        </w:rPr>
        <w:t xml:space="preserve">data breach could </w:t>
      </w:r>
      <w:r w:rsidR="00D92480">
        <w:rPr>
          <w:rFonts w:ascii="Arial" w:hAnsi="Arial" w:cs="Arial"/>
          <w:bCs w:val="0"/>
        </w:rPr>
        <w:t xml:space="preserve">most certainly </w:t>
      </w:r>
      <w:r w:rsidR="00080EA7" w:rsidRPr="00783889">
        <w:rPr>
          <w:rFonts w:ascii="Arial" w:hAnsi="Arial" w:cs="Arial"/>
          <w:bCs w:val="0"/>
        </w:rPr>
        <w:t xml:space="preserve">have pursued a complaint under </w:t>
      </w:r>
      <w:r w:rsidR="00080EA7" w:rsidRPr="00367A38">
        <w:rPr>
          <w:rFonts w:ascii="Arial" w:hAnsi="Arial" w:cs="Arial"/>
          <w:bCs w:val="0"/>
          <w:i/>
          <w:iCs/>
        </w:rPr>
        <w:t>PIPEDA</w:t>
      </w:r>
      <w:r w:rsidR="00080EA7" w:rsidRPr="00783889">
        <w:rPr>
          <w:rFonts w:ascii="Arial" w:hAnsi="Arial" w:cs="Arial"/>
          <w:bCs w:val="0"/>
        </w:rPr>
        <w:t xml:space="preserve"> against</w:t>
      </w:r>
      <w:r w:rsidR="00080EA7">
        <w:rPr>
          <w:rFonts w:ascii="Arial" w:hAnsi="Arial" w:cs="Arial"/>
          <w:bCs w:val="0"/>
        </w:rPr>
        <w:t xml:space="preserve"> </w:t>
      </w:r>
      <w:r w:rsidR="0093175A">
        <w:rPr>
          <w:rFonts w:ascii="Arial" w:hAnsi="Arial" w:cs="Arial"/>
          <w:bCs w:val="0"/>
        </w:rPr>
        <w:t xml:space="preserve">ALM </w:t>
      </w:r>
      <w:r w:rsidR="00080EA7" w:rsidRPr="00783889">
        <w:rPr>
          <w:rFonts w:ascii="Arial" w:hAnsi="Arial" w:cs="Arial"/>
          <w:bCs w:val="0"/>
        </w:rPr>
        <w:t>and sought damages</w:t>
      </w:r>
      <w:r w:rsidR="002227B0">
        <w:rPr>
          <w:rFonts w:ascii="Arial" w:hAnsi="Arial" w:cs="Arial"/>
          <w:bCs w:val="0"/>
        </w:rPr>
        <w:t>.</w:t>
      </w:r>
      <w:r w:rsidR="00F03818">
        <w:rPr>
          <w:rStyle w:val="FootnoteReference"/>
          <w:rFonts w:ascii="Arial" w:hAnsi="Arial" w:cs="Arial"/>
          <w:bCs w:val="0"/>
        </w:rPr>
        <w:footnoteReference w:id="173"/>
      </w:r>
      <w:r w:rsidR="00D92480">
        <w:rPr>
          <w:rFonts w:ascii="Arial" w:hAnsi="Arial" w:cs="Arial"/>
          <w:bCs w:val="0"/>
        </w:rPr>
        <w:t xml:space="preserve"> </w:t>
      </w:r>
      <w:r w:rsidR="00AA65BB">
        <w:rPr>
          <w:rFonts w:ascii="Arial" w:hAnsi="Arial" w:cs="Arial"/>
          <w:bCs w:val="0"/>
        </w:rPr>
        <w:t xml:space="preserve">In short, </w:t>
      </w:r>
      <w:r w:rsidR="00FB420E">
        <w:rPr>
          <w:rFonts w:ascii="Arial" w:hAnsi="Arial" w:cs="Arial"/>
          <w:bCs w:val="0"/>
        </w:rPr>
        <w:t>w</w:t>
      </w:r>
      <w:r w:rsidR="00D92480">
        <w:rPr>
          <w:rFonts w:ascii="Arial" w:hAnsi="Arial" w:cs="Arial"/>
          <w:bCs w:val="0"/>
        </w:rPr>
        <w:t xml:space="preserve">hile </w:t>
      </w:r>
      <w:r w:rsidR="00D92480" w:rsidRPr="00D66BC5">
        <w:rPr>
          <w:rFonts w:ascii="Arial" w:hAnsi="Arial" w:cs="Arial"/>
          <w:bCs w:val="0"/>
          <w:i/>
          <w:iCs/>
        </w:rPr>
        <w:t>PIPEDA</w:t>
      </w:r>
      <w:r w:rsidR="00D92480">
        <w:rPr>
          <w:rFonts w:ascii="Arial" w:hAnsi="Arial" w:cs="Arial"/>
          <w:bCs w:val="0"/>
        </w:rPr>
        <w:t xml:space="preserve"> and </w:t>
      </w:r>
      <w:r w:rsidR="00324768">
        <w:rPr>
          <w:rFonts w:ascii="Arial" w:hAnsi="Arial" w:cs="Arial"/>
          <w:bCs w:val="0"/>
        </w:rPr>
        <w:t xml:space="preserve">the </w:t>
      </w:r>
      <w:r w:rsidR="00D92480">
        <w:rPr>
          <w:rFonts w:ascii="Arial" w:hAnsi="Arial" w:cs="Arial"/>
          <w:bCs w:val="0"/>
        </w:rPr>
        <w:t xml:space="preserve">Public Disclosure of Private Facts </w:t>
      </w:r>
      <w:r w:rsidR="00AA65BB">
        <w:rPr>
          <w:rFonts w:ascii="Arial" w:hAnsi="Arial" w:cs="Arial"/>
          <w:bCs w:val="0"/>
        </w:rPr>
        <w:t xml:space="preserve">tort </w:t>
      </w:r>
      <w:r w:rsidR="005D5BCC">
        <w:rPr>
          <w:rFonts w:ascii="Arial" w:hAnsi="Arial" w:cs="Arial"/>
          <w:bCs w:val="0"/>
        </w:rPr>
        <w:t>are unlikely to</w:t>
      </w:r>
      <w:r w:rsidR="00A05716">
        <w:rPr>
          <w:rFonts w:ascii="Arial" w:hAnsi="Arial" w:cs="Arial"/>
          <w:bCs w:val="0"/>
        </w:rPr>
        <w:t xml:space="preserve"> </w:t>
      </w:r>
      <w:r w:rsidR="00D92480">
        <w:rPr>
          <w:rFonts w:ascii="Arial" w:hAnsi="Arial" w:cs="Arial"/>
          <w:bCs w:val="0"/>
        </w:rPr>
        <w:t>intersect, it is</w:t>
      </w:r>
      <w:r w:rsidR="00837325">
        <w:rPr>
          <w:rFonts w:ascii="Arial" w:hAnsi="Arial" w:cs="Arial"/>
          <w:bCs w:val="0"/>
        </w:rPr>
        <w:t xml:space="preserve"> nonetheless </w:t>
      </w:r>
      <w:r w:rsidR="005D5BCC">
        <w:rPr>
          <w:rFonts w:ascii="Arial" w:hAnsi="Arial" w:cs="Arial"/>
          <w:bCs w:val="0"/>
        </w:rPr>
        <w:t>possible</w:t>
      </w:r>
      <w:r w:rsidR="002227B0">
        <w:rPr>
          <w:rFonts w:ascii="Arial" w:hAnsi="Arial" w:cs="Arial"/>
          <w:bCs w:val="0"/>
        </w:rPr>
        <w:t xml:space="preserve">.  </w:t>
      </w:r>
      <w:r w:rsidR="00A05716">
        <w:rPr>
          <w:rFonts w:ascii="Arial" w:hAnsi="Arial" w:cs="Arial"/>
          <w:bCs w:val="0"/>
        </w:rPr>
        <w:t xml:space="preserve">  </w:t>
      </w:r>
    </w:p>
    <w:p w14:paraId="627CD8C9" w14:textId="19EE4D94" w:rsidR="00FB420E" w:rsidRPr="00551551" w:rsidRDefault="00AB7AFD" w:rsidP="003C0F01">
      <w:pPr>
        <w:ind w:firstLine="720"/>
        <w:rPr>
          <w:lang w:val="en-US" w:bidi="he-IL"/>
        </w:rPr>
      </w:pPr>
      <w:r w:rsidRPr="008801A1">
        <w:rPr>
          <w:lang w:val="en-US" w:bidi="he-IL"/>
        </w:rPr>
        <w:t xml:space="preserve">The last of the four privacy torts is the tort of </w:t>
      </w:r>
      <w:r w:rsidRPr="008801A1">
        <w:rPr>
          <w:lang w:bidi="he-IL"/>
        </w:rPr>
        <w:t>Publicit</w:t>
      </w:r>
      <w:r w:rsidR="00DC1712" w:rsidRPr="008801A1">
        <w:rPr>
          <w:lang w:bidi="he-IL"/>
        </w:rPr>
        <w:t>y Placing Person in False Light</w:t>
      </w:r>
      <w:r w:rsidR="00180F38">
        <w:rPr>
          <w:lang w:bidi="he-IL"/>
        </w:rPr>
        <w:t xml:space="preserve"> </w:t>
      </w:r>
      <w:r w:rsidR="002227B0" w:rsidRPr="008801A1">
        <w:rPr>
          <w:lang w:bidi="he-IL"/>
        </w:rPr>
        <w:t>or the False Light Tort. This tort</w:t>
      </w:r>
      <w:r w:rsidR="003B3806">
        <w:rPr>
          <w:lang w:bidi="he-IL"/>
        </w:rPr>
        <w:t xml:space="preserve"> </w:t>
      </w:r>
      <w:r w:rsidRPr="00783889">
        <w:rPr>
          <w:lang w:val="en-US" w:bidi="he-IL"/>
        </w:rPr>
        <w:t xml:space="preserve">was </w:t>
      </w:r>
      <w:r w:rsidR="002227B0" w:rsidRPr="008801A1">
        <w:rPr>
          <w:lang w:val="en-US" w:bidi="he-IL"/>
        </w:rPr>
        <w:t xml:space="preserve">recently </w:t>
      </w:r>
      <w:r w:rsidRPr="00783889">
        <w:rPr>
          <w:lang w:val="en-US" w:bidi="he-IL"/>
        </w:rPr>
        <w:t xml:space="preserve">recognized in Ontario in </w:t>
      </w:r>
      <w:proofErr w:type="spellStart"/>
      <w:r w:rsidRPr="00783889">
        <w:rPr>
          <w:i/>
          <w:iCs/>
          <w:lang w:bidi="he-IL"/>
        </w:rPr>
        <w:t>Yenovkian</w:t>
      </w:r>
      <w:proofErr w:type="spellEnd"/>
      <w:r w:rsidRPr="00783889">
        <w:rPr>
          <w:lang w:bidi="he-IL"/>
        </w:rPr>
        <w:t xml:space="preserve">, </w:t>
      </w:r>
      <w:r w:rsidR="00CF4ECE" w:rsidRPr="008801A1">
        <w:rPr>
          <w:lang w:bidi="he-IL"/>
        </w:rPr>
        <w:t xml:space="preserve">which </w:t>
      </w:r>
      <w:r w:rsidRPr="00783889">
        <w:rPr>
          <w:lang w:bidi="he-IL"/>
        </w:rPr>
        <w:t xml:space="preserve">dealt with </w:t>
      </w:r>
      <w:r w:rsidR="00CF4ECE" w:rsidRPr="008801A1">
        <w:rPr>
          <w:lang w:bidi="he-IL"/>
        </w:rPr>
        <w:t xml:space="preserve">highly objectionable and reprehensible </w:t>
      </w:r>
      <w:r w:rsidRPr="00783889">
        <w:rPr>
          <w:lang w:bidi="he-IL"/>
        </w:rPr>
        <w:t xml:space="preserve">online posts </w:t>
      </w:r>
      <w:r w:rsidR="00CF4ECE" w:rsidRPr="008801A1">
        <w:rPr>
          <w:lang w:bidi="he-IL"/>
        </w:rPr>
        <w:t>made by</w:t>
      </w:r>
      <w:r w:rsidRPr="00783889">
        <w:rPr>
          <w:lang w:bidi="he-IL"/>
        </w:rPr>
        <w:t xml:space="preserve"> </w:t>
      </w:r>
      <w:r w:rsidR="00CF4ECE" w:rsidRPr="008801A1">
        <w:rPr>
          <w:lang w:bidi="he-IL"/>
        </w:rPr>
        <w:t xml:space="preserve">the defendant concerning </w:t>
      </w:r>
      <w:r w:rsidRPr="00783889">
        <w:rPr>
          <w:lang w:bidi="he-IL"/>
        </w:rPr>
        <w:t>his ex-wife.</w:t>
      </w:r>
      <w:r w:rsidR="00837325">
        <w:rPr>
          <w:rStyle w:val="FootnoteReference"/>
          <w:lang w:bidi="he-IL"/>
        </w:rPr>
        <w:footnoteReference w:id="174"/>
      </w:r>
      <w:r w:rsidRPr="00783889">
        <w:rPr>
          <w:lang w:bidi="he-IL"/>
        </w:rPr>
        <w:t xml:space="preserve"> </w:t>
      </w:r>
      <w:r w:rsidR="00FB420E" w:rsidRPr="00783889">
        <w:rPr>
          <w:lang w:bidi="he-IL"/>
        </w:rPr>
        <w:t xml:space="preserve">More specifically, the court adopted the definition </w:t>
      </w:r>
      <w:r w:rsidR="00FB420E" w:rsidRPr="00783889">
        <w:rPr>
          <w:lang w:bidi="he-IL"/>
        </w:rPr>
        <w:lastRenderedPageBreak/>
        <w:t xml:space="preserve">of the tort offered in an American source, namely </w:t>
      </w:r>
      <w:r w:rsidR="006336E5">
        <w:rPr>
          <w:lang w:bidi="he-IL"/>
        </w:rPr>
        <w:t>section</w:t>
      </w:r>
      <w:r w:rsidR="00FB420E" w:rsidRPr="00783889">
        <w:t xml:space="preserve"> 652E of the </w:t>
      </w:r>
      <w:r w:rsidR="00FB420E" w:rsidRPr="00783889">
        <w:rPr>
          <w:i/>
          <w:iCs/>
        </w:rPr>
        <w:t>Restatement</w:t>
      </w:r>
      <w:r w:rsidR="00FB420E" w:rsidRPr="00783889">
        <w:t xml:space="preserve"> as follows:</w:t>
      </w:r>
    </w:p>
    <w:p w14:paraId="6A959186" w14:textId="77777777" w:rsidR="00FB420E" w:rsidRPr="00180F38" w:rsidRDefault="00FB420E" w:rsidP="00180F38">
      <w:pPr>
        <w:pStyle w:val="doubleindent-quote"/>
        <w:ind w:left="720"/>
        <w:contextualSpacing/>
        <w:rPr>
          <w:rFonts w:ascii="Arial" w:hAnsi="Arial" w:cs="Arial"/>
        </w:rPr>
      </w:pPr>
      <w:r w:rsidRPr="00180F38">
        <w:rPr>
          <w:rFonts w:ascii="Arial" w:hAnsi="Arial" w:cs="Arial"/>
          <w:i/>
          <w:iCs/>
        </w:rPr>
        <w:t xml:space="preserve">Publicity Placing Person in False Light </w:t>
      </w:r>
    </w:p>
    <w:p w14:paraId="06FCC136" w14:textId="77777777" w:rsidR="00FB420E" w:rsidRPr="00180F38" w:rsidRDefault="00FB420E" w:rsidP="00180F38">
      <w:pPr>
        <w:pStyle w:val="doubleindent-quote"/>
        <w:ind w:left="720"/>
        <w:contextualSpacing/>
        <w:rPr>
          <w:rFonts w:ascii="Arial" w:hAnsi="Arial" w:cs="Arial"/>
        </w:rPr>
      </w:pPr>
      <w:r w:rsidRPr="00180F38">
        <w:rPr>
          <w:rFonts w:ascii="Arial" w:hAnsi="Arial" w:cs="Arial"/>
        </w:rPr>
        <w:t xml:space="preserve">One who gives publicity to a matter concerning another that places the other before the public in a false light is subject to liability to the other for invasion of his privacy, if </w:t>
      </w:r>
    </w:p>
    <w:p w14:paraId="298CEDF0" w14:textId="77777777" w:rsidR="00FB420E" w:rsidRPr="00180F38" w:rsidRDefault="00FB420E" w:rsidP="00180F38">
      <w:pPr>
        <w:pStyle w:val="doubleindent-quote"/>
        <w:ind w:left="720"/>
        <w:contextualSpacing/>
        <w:rPr>
          <w:rFonts w:ascii="Arial" w:hAnsi="Arial" w:cs="Arial"/>
        </w:rPr>
      </w:pPr>
      <w:r w:rsidRPr="00180F38">
        <w:rPr>
          <w:rFonts w:ascii="Arial" w:hAnsi="Arial" w:cs="Arial"/>
        </w:rPr>
        <w:t xml:space="preserve">(a) the false light in which the other was placed would be highly offensive to a reasonable person, and </w:t>
      </w:r>
    </w:p>
    <w:p w14:paraId="1E90E84E" w14:textId="4FA4AF02" w:rsidR="00FB420E" w:rsidRPr="00180F38" w:rsidRDefault="00FB420E" w:rsidP="00180F38">
      <w:pPr>
        <w:pStyle w:val="doubleindent-quote"/>
        <w:ind w:left="720"/>
        <w:contextualSpacing/>
        <w:rPr>
          <w:rFonts w:ascii="Arial" w:hAnsi="Arial" w:cs="Arial"/>
        </w:rPr>
      </w:pPr>
      <w:r w:rsidRPr="00180F38">
        <w:rPr>
          <w:rFonts w:ascii="Arial" w:hAnsi="Arial" w:cs="Arial"/>
        </w:rPr>
        <w:t>(b) the actor had knowledge of or acted in reckless disregard as to the falsity of the publicized matter and the false light in which the other would be placed.</w:t>
      </w:r>
      <w:r w:rsidRPr="00180F38">
        <w:rPr>
          <w:rStyle w:val="FootnoteReference"/>
          <w:rFonts w:ascii="Arial" w:hAnsi="Arial" w:cs="Arial"/>
        </w:rPr>
        <w:footnoteReference w:id="175"/>
      </w:r>
    </w:p>
    <w:p w14:paraId="7C5E5B6F" w14:textId="77777777" w:rsidR="00CF4ECE" w:rsidRPr="008801A1" w:rsidRDefault="00CF4ECE" w:rsidP="00180F38">
      <w:r w:rsidRPr="008801A1">
        <w:t xml:space="preserve">As the court went on to explain: </w:t>
      </w:r>
    </w:p>
    <w:p w14:paraId="6063E709" w14:textId="587E1791" w:rsidR="00CF4ECE" w:rsidRDefault="00CF4ECE" w:rsidP="00180F38">
      <w:pPr>
        <w:ind w:left="720"/>
        <w:rPr>
          <w:lang w:bidi="he-IL"/>
        </w:rPr>
      </w:pPr>
      <w:r w:rsidRPr="008801A1">
        <w:t>while the publicity giving rise to this cause of action will often be defamatory, defamation is not required. It is enough for the plaintiff to show that a reasonable person would find it highly offensive to be publicly misrepresented as they have been. The wrong is in publicly repre</w:t>
      </w:r>
      <w:r w:rsidRPr="006C761C">
        <w:t xml:space="preserve">senting someone, not as worse than they </w:t>
      </w:r>
      <w:r>
        <w:t>are, but as other than they are. The value at stake is respect for a person’s privacy right to control the way they present themselves to the world.</w:t>
      </w:r>
      <w:r w:rsidR="00216887">
        <w:rPr>
          <w:rStyle w:val="FootnoteReference"/>
        </w:rPr>
        <w:footnoteReference w:id="176"/>
      </w:r>
    </w:p>
    <w:p w14:paraId="2DD63C40" w14:textId="46801150" w:rsidR="00AB7AFD" w:rsidRPr="00FB420E" w:rsidRDefault="00216887" w:rsidP="009410E3">
      <w:pPr>
        <w:rPr>
          <w:lang w:bidi="he-IL"/>
        </w:rPr>
      </w:pPr>
      <w:r>
        <w:rPr>
          <w:lang w:bidi="he-IL"/>
        </w:rPr>
        <w:t xml:space="preserve">The court also clarified a key difference between the False Light tort and the Public Disclosure of Private Facts tort as follows: </w:t>
      </w:r>
      <w:r>
        <w:t>“public disclosure of private facts involves true statements, while “false light” publicity involves false or misleading claims.”</w:t>
      </w:r>
      <w:r>
        <w:rPr>
          <w:rStyle w:val="FootnoteReference"/>
        </w:rPr>
        <w:footnoteReference w:id="177"/>
      </w:r>
      <w:r w:rsidR="00DB6188">
        <w:t xml:space="preserve"> </w:t>
      </w:r>
      <w:r w:rsidR="00523690">
        <w:rPr>
          <w:lang w:bidi="he-IL"/>
        </w:rPr>
        <w:t xml:space="preserve">Given </w:t>
      </w:r>
      <w:r w:rsidR="001112EF">
        <w:rPr>
          <w:lang w:bidi="he-IL"/>
        </w:rPr>
        <w:t xml:space="preserve">his </w:t>
      </w:r>
      <w:r w:rsidR="0079638C">
        <w:rPr>
          <w:lang w:bidi="he-IL"/>
        </w:rPr>
        <w:t xml:space="preserve">outrageous </w:t>
      </w:r>
      <w:r w:rsidR="00523690">
        <w:rPr>
          <w:lang w:bidi="he-IL"/>
        </w:rPr>
        <w:t xml:space="preserve">misconduct, </w:t>
      </w:r>
      <w:r w:rsidR="001112EF">
        <w:rPr>
          <w:lang w:bidi="he-IL"/>
        </w:rPr>
        <w:t>t</w:t>
      </w:r>
      <w:r w:rsidR="00523690">
        <w:rPr>
          <w:lang w:bidi="he-IL"/>
        </w:rPr>
        <w:t xml:space="preserve">he </w:t>
      </w:r>
      <w:r w:rsidR="001112EF">
        <w:rPr>
          <w:lang w:bidi="he-IL"/>
        </w:rPr>
        <w:t xml:space="preserve">defendant </w:t>
      </w:r>
      <w:r w:rsidR="0079638C">
        <w:rPr>
          <w:lang w:bidi="he-IL"/>
        </w:rPr>
        <w:t xml:space="preserve">in </w:t>
      </w:r>
      <w:proofErr w:type="spellStart"/>
      <w:r w:rsidR="0079638C" w:rsidRPr="00DB0983">
        <w:rPr>
          <w:i/>
          <w:iCs/>
          <w:lang w:bidi="he-IL"/>
        </w:rPr>
        <w:t>Yenovkian</w:t>
      </w:r>
      <w:proofErr w:type="spellEnd"/>
      <w:r w:rsidR="0079638C" w:rsidRPr="00FB420E">
        <w:rPr>
          <w:lang w:bidi="he-IL"/>
        </w:rPr>
        <w:t xml:space="preserve"> </w:t>
      </w:r>
      <w:r w:rsidR="00DC1712" w:rsidRPr="00FB420E">
        <w:rPr>
          <w:lang w:bidi="he-IL"/>
        </w:rPr>
        <w:t>was ordered to pay $50,000</w:t>
      </w:r>
      <w:r w:rsidR="00AB7AFD" w:rsidRPr="00FB420E">
        <w:rPr>
          <w:lang w:bidi="he-IL"/>
        </w:rPr>
        <w:t xml:space="preserve"> </w:t>
      </w:r>
      <w:r w:rsidR="008801A1">
        <w:rPr>
          <w:lang w:bidi="he-IL"/>
        </w:rPr>
        <w:t xml:space="preserve">in </w:t>
      </w:r>
      <w:r w:rsidR="00AB7AFD" w:rsidRPr="00FB420E">
        <w:rPr>
          <w:lang w:bidi="he-IL"/>
        </w:rPr>
        <w:t xml:space="preserve">damages for the tort of intentional infliction </w:t>
      </w:r>
      <w:r w:rsidR="00DC1712" w:rsidRPr="00FB420E">
        <w:rPr>
          <w:lang w:bidi="he-IL"/>
        </w:rPr>
        <w:t>of mental suffering, $100,000</w:t>
      </w:r>
      <w:r w:rsidR="00AB7AFD" w:rsidRPr="00FB420E">
        <w:rPr>
          <w:lang w:bidi="he-IL"/>
        </w:rPr>
        <w:t xml:space="preserve"> damages for the tort of invasion of privacy (which referred, according to the judgment, not only to publicity placing the plaintiff in a false light but to public disclosure of private facts</w:t>
      </w:r>
      <w:r w:rsidR="00AA2850">
        <w:rPr>
          <w:lang w:bidi="he-IL"/>
        </w:rPr>
        <w:t>)</w:t>
      </w:r>
      <w:r w:rsidR="00AB7AFD" w:rsidRPr="00FB420E">
        <w:rPr>
          <w:lang w:bidi="he-IL"/>
        </w:rPr>
        <w:t>, and</w:t>
      </w:r>
      <w:r w:rsidR="00DC1712" w:rsidRPr="00FB420E">
        <w:rPr>
          <w:lang w:bidi="he-IL"/>
        </w:rPr>
        <w:t xml:space="preserve"> punitive damages of $150,000</w:t>
      </w:r>
      <w:r w:rsidR="00AB7AFD" w:rsidRPr="00FB420E">
        <w:rPr>
          <w:lang w:bidi="he-IL"/>
        </w:rPr>
        <w:t>.</w:t>
      </w:r>
      <w:r w:rsidR="00AB7AFD" w:rsidRPr="00FB420E">
        <w:rPr>
          <w:vertAlign w:val="superscript"/>
          <w:lang w:bidi="he-IL"/>
        </w:rPr>
        <w:footnoteReference w:id="178"/>
      </w:r>
      <w:r w:rsidR="00AB7AFD" w:rsidRPr="00FB420E">
        <w:rPr>
          <w:lang w:bidi="he-IL"/>
        </w:rPr>
        <w:t xml:space="preserve"> </w:t>
      </w:r>
    </w:p>
    <w:p w14:paraId="1E5C851B" w14:textId="77777777" w:rsidR="00384DC2" w:rsidRDefault="00934E4C" w:rsidP="00DD1F5B">
      <w:pPr>
        <w:pStyle w:val="doubleindent-quote"/>
        <w:ind w:firstLine="720"/>
        <w:contextualSpacing/>
        <w:rPr>
          <w:rFonts w:ascii="Arial" w:hAnsi="Arial" w:cs="Arial"/>
          <w:lang w:bidi="he-IL"/>
        </w:rPr>
      </w:pPr>
      <w:r>
        <w:rPr>
          <w:rFonts w:ascii="Arial" w:hAnsi="Arial" w:cs="Arial"/>
          <w:lang w:bidi="he-IL"/>
        </w:rPr>
        <w:t>I</w:t>
      </w:r>
      <w:r w:rsidR="009E4905">
        <w:rPr>
          <w:rFonts w:ascii="Arial" w:hAnsi="Arial" w:cs="Arial"/>
          <w:lang w:bidi="he-IL"/>
        </w:rPr>
        <w:t xml:space="preserve">t would seem that </w:t>
      </w:r>
      <w:r w:rsidR="00E4210E" w:rsidRPr="00180F38">
        <w:rPr>
          <w:rFonts w:ascii="Arial" w:hAnsi="Arial" w:cs="Arial"/>
          <w:lang w:bidi="he-IL"/>
        </w:rPr>
        <w:t xml:space="preserve">the False Light tort </w:t>
      </w:r>
      <w:r w:rsidR="00D03CFD">
        <w:rPr>
          <w:rFonts w:ascii="Arial" w:hAnsi="Arial" w:cs="Arial"/>
          <w:lang w:bidi="he-IL"/>
        </w:rPr>
        <w:t xml:space="preserve">would not easily </w:t>
      </w:r>
      <w:r w:rsidR="00E4210E" w:rsidRPr="00180F38">
        <w:rPr>
          <w:rFonts w:ascii="Arial" w:hAnsi="Arial" w:cs="Arial"/>
          <w:lang w:bidi="he-IL"/>
        </w:rPr>
        <w:t xml:space="preserve">intersect with a </w:t>
      </w:r>
      <w:r w:rsidR="00E4210E" w:rsidRPr="00180F38">
        <w:rPr>
          <w:rFonts w:ascii="Arial" w:hAnsi="Arial" w:cs="Arial"/>
          <w:i/>
          <w:iCs/>
          <w:lang w:bidi="he-IL"/>
        </w:rPr>
        <w:t>PIPEDA</w:t>
      </w:r>
      <w:r w:rsidR="00DB6188">
        <w:rPr>
          <w:rFonts w:ascii="Arial" w:hAnsi="Arial" w:cs="Arial"/>
          <w:lang w:bidi="he-IL"/>
        </w:rPr>
        <w:t xml:space="preserve"> </w:t>
      </w:r>
      <w:r w:rsidR="002227B0" w:rsidRPr="00180F38">
        <w:rPr>
          <w:rFonts w:ascii="Arial" w:hAnsi="Arial" w:cs="Arial"/>
          <w:lang w:bidi="he-IL"/>
        </w:rPr>
        <w:t>scenario. This is</w:t>
      </w:r>
      <w:r w:rsidR="00E4210E" w:rsidRPr="00180F38">
        <w:rPr>
          <w:rFonts w:ascii="Arial" w:hAnsi="Arial" w:cs="Arial"/>
          <w:lang w:bidi="he-IL"/>
        </w:rPr>
        <w:t xml:space="preserve"> because a business </w:t>
      </w:r>
      <w:r w:rsidR="009E4905">
        <w:rPr>
          <w:rFonts w:ascii="Arial" w:hAnsi="Arial" w:cs="Arial"/>
          <w:lang w:bidi="he-IL"/>
        </w:rPr>
        <w:t xml:space="preserve">or other private sector organization </w:t>
      </w:r>
      <w:r w:rsidR="00E4210E" w:rsidRPr="00180F38">
        <w:rPr>
          <w:rFonts w:ascii="Arial" w:hAnsi="Arial" w:cs="Arial"/>
          <w:lang w:bidi="he-IL"/>
        </w:rPr>
        <w:t xml:space="preserve">would </w:t>
      </w:r>
      <w:r w:rsidR="00D03CFD">
        <w:rPr>
          <w:rFonts w:ascii="Arial" w:hAnsi="Arial" w:cs="Arial"/>
          <w:lang w:bidi="he-IL"/>
        </w:rPr>
        <w:t xml:space="preserve">be highly unlikely </w:t>
      </w:r>
      <w:r w:rsidR="00E4210E" w:rsidRPr="00180F38">
        <w:rPr>
          <w:rFonts w:ascii="Arial" w:hAnsi="Arial" w:cs="Arial"/>
          <w:lang w:bidi="he-IL"/>
        </w:rPr>
        <w:t xml:space="preserve">make “false or misleading” claims based on personal information they held </w:t>
      </w:r>
      <w:r w:rsidR="00D03CFD">
        <w:rPr>
          <w:rFonts w:ascii="Arial" w:hAnsi="Arial" w:cs="Arial"/>
          <w:lang w:bidi="he-IL"/>
        </w:rPr>
        <w:t xml:space="preserve">as opposed to </w:t>
      </w:r>
      <w:r w:rsidR="005171A0" w:rsidRPr="00180F38">
        <w:rPr>
          <w:rFonts w:ascii="Arial" w:hAnsi="Arial" w:cs="Arial"/>
          <w:lang w:bidi="he-IL"/>
        </w:rPr>
        <w:t xml:space="preserve">simply </w:t>
      </w:r>
      <w:r w:rsidR="00E4210E" w:rsidRPr="00180F38">
        <w:rPr>
          <w:rFonts w:ascii="Arial" w:hAnsi="Arial" w:cs="Arial"/>
          <w:lang w:bidi="he-IL"/>
        </w:rPr>
        <w:t>mishandl</w:t>
      </w:r>
      <w:r w:rsidR="009E4905">
        <w:rPr>
          <w:rFonts w:ascii="Arial" w:hAnsi="Arial" w:cs="Arial"/>
          <w:lang w:bidi="he-IL"/>
        </w:rPr>
        <w:t>ing</w:t>
      </w:r>
      <w:r w:rsidR="00E4210E" w:rsidRPr="00180F38">
        <w:rPr>
          <w:rFonts w:ascii="Arial" w:hAnsi="Arial" w:cs="Arial"/>
          <w:lang w:bidi="he-IL"/>
        </w:rPr>
        <w:t xml:space="preserve"> </w:t>
      </w:r>
      <w:r w:rsidR="0079638C">
        <w:rPr>
          <w:rFonts w:ascii="Arial" w:hAnsi="Arial" w:cs="Arial"/>
          <w:lang w:bidi="he-IL"/>
        </w:rPr>
        <w:t xml:space="preserve">otherwise </w:t>
      </w:r>
      <w:r w:rsidR="000D7C8B">
        <w:rPr>
          <w:rFonts w:ascii="Arial" w:hAnsi="Arial" w:cs="Arial"/>
          <w:lang w:bidi="he-IL"/>
        </w:rPr>
        <w:t xml:space="preserve">accurate </w:t>
      </w:r>
      <w:r w:rsidR="00E4210E" w:rsidRPr="00180F38">
        <w:rPr>
          <w:rFonts w:ascii="Arial" w:hAnsi="Arial" w:cs="Arial"/>
          <w:lang w:bidi="he-IL"/>
        </w:rPr>
        <w:t xml:space="preserve">information in some way.  </w:t>
      </w:r>
      <w:r w:rsidR="008801A1">
        <w:rPr>
          <w:rFonts w:ascii="Arial" w:hAnsi="Arial" w:cs="Arial"/>
          <w:lang w:bidi="he-IL"/>
        </w:rPr>
        <w:t xml:space="preserve">And yet, </w:t>
      </w:r>
      <w:r w:rsidR="005171A0" w:rsidRPr="00180F38">
        <w:rPr>
          <w:rFonts w:ascii="Arial" w:hAnsi="Arial" w:cs="Arial"/>
          <w:lang w:bidi="he-IL"/>
        </w:rPr>
        <w:t xml:space="preserve">the very significant </w:t>
      </w:r>
      <w:proofErr w:type="spellStart"/>
      <w:r w:rsidR="005171A0" w:rsidRPr="00180F38">
        <w:rPr>
          <w:rFonts w:ascii="Arial" w:hAnsi="Arial" w:cs="Arial"/>
          <w:i/>
          <w:iCs/>
          <w:lang w:bidi="he-IL"/>
        </w:rPr>
        <w:t>Nammo</w:t>
      </w:r>
      <w:proofErr w:type="spellEnd"/>
      <w:r w:rsidR="005171A0" w:rsidRPr="00180F38">
        <w:rPr>
          <w:rFonts w:ascii="Arial" w:hAnsi="Arial" w:cs="Arial"/>
          <w:lang w:bidi="he-IL"/>
        </w:rPr>
        <w:t xml:space="preserve"> case </w:t>
      </w:r>
      <w:r w:rsidR="008801A1">
        <w:rPr>
          <w:rFonts w:ascii="Arial" w:hAnsi="Arial" w:cs="Arial"/>
          <w:lang w:bidi="he-IL"/>
        </w:rPr>
        <w:t xml:space="preserve">under </w:t>
      </w:r>
      <w:r w:rsidR="008801A1" w:rsidRPr="00180F38">
        <w:rPr>
          <w:rFonts w:ascii="Arial" w:hAnsi="Arial" w:cs="Arial"/>
          <w:i/>
          <w:iCs/>
          <w:lang w:bidi="he-IL"/>
        </w:rPr>
        <w:t>PIPEDA</w:t>
      </w:r>
      <w:r w:rsidR="008801A1">
        <w:rPr>
          <w:rFonts w:ascii="Arial" w:hAnsi="Arial" w:cs="Arial"/>
          <w:lang w:bidi="he-IL"/>
        </w:rPr>
        <w:t xml:space="preserve"> </w:t>
      </w:r>
      <w:r w:rsidR="005171A0" w:rsidRPr="00180F38">
        <w:rPr>
          <w:rFonts w:ascii="Arial" w:hAnsi="Arial" w:cs="Arial"/>
          <w:lang w:bidi="he-IL"/>
        </w:rPr>
        <w:t>has facts that come close to establishing the False Light tort</w:t>
      </w:r>
      <w:r w:rsidR="00DB6188">
        <w:rPr>
          <w:rFonts w:ascii="Arial" w:hAnsi="Arial" w:cs="Arial"/>
          <w:lang w:bidi="he-IL"/>
        </w:rPr>
        <w:t>.</w:t>
      </w:r>
      <w:r w:rsidR="00C73073" w:rsidDel="00C73073">
        <w:rPr>
          <w:rStyle w:val="FootnoteReference"/>
          <w:rFonts w:ascii="Arial" w:hAnsi="Arial" w:cs="Arial"/>
          <w:lang w:bidi="he-IL"/>
        </w:rPr>
        <w:t xml:space="preserve"> </w:t>
      </w:r>
      <w:proofErr w:type="spellStart"/>
      <w:r w:rsidR="005171A0" w:rsidRPr="00180F38">
        <w:rPr>
          <w:rFonts w:ascii="Arial" w:hAnsi="Arial" w:cs="Arial"/>
          <w:i/>
          <w:iCs/>
          <w:lang w:bidi="he-IL"/>
        </w:rPr>
        <w:t>Nammo</w:t>
      </w:r>
      <w:proofErr w:type="spellEnd"/>
      <w:r w:rsidR="005171A0" w:rsidRPr="00180F38">
        <w:rPr>
          <w:rFonts w:ascii="Arial" w:hAnsi="Arial" w:cs="Arial"/>
          <w:lang w:bidi="he-IL"/>
        </w:rPr>
        <w:t xml:space="preserve"> concerned a claim for damages under </w:t>
      </w:r>
      <w:r w:rsidR="005171A0" w:rsidRPr="00DB6188">
        <w:rPr>
          <w:rFonts w:ascii="Arial" w:hAnsi="Arial" w:cs="Arial"/>
          <w:i/>
          <w:iCs/>
          <w:lang w:bidi="he-IL"/>
        </w:rPr>
        <w:t>PIPEDA</w:t>
      </w:r>
      <w:r w:rsidR="005171A0" w:rsidRPr="00180F38">
        <w:rPr>
          <w:rFonts w:ascii="Arial" w:hAnsi="Arial" w:cs="Arial"/>
          <w:lang w:bidi="he-IL"/>
        </w:rPr>
        <w:t xml:space="preserve"> and will be discussed in depth in Part</w:t>
      </w:r>
      <w:r w:rsidR="00324768">
        <w:rPr>
          <w:rFonts w:ascii="Arial" w:hAnsi="Arial" w:cs="Arial"/>
          <w:lang w:bidi="he-IL"/>
        </w:rPr>
        <w:t xml:space="preserve"> Two</w:t>
      </w:r>
      <w:r w:rsidR="000D7C8B">
        <w:rPr>
          <w:rFonts w:ascii="Arial" w:hAnsi="Arial" w:cs="Arial"/>
          <w:lang w:bidi="he-IL"/>
        </w:rPr>
        <w:t>. F</w:t>
      </w:r>
      <w:r w:rsidR="005171A0" w:rsidRPr="00180F38">
        <w:rPr>
          <w:rFonts w:ascii="Arial" w:hAnsi="Arial" w:cs="Arial"/>
          <w:lang w:bidi="he-IL"/>
        </w:rPr>
        <w:t xml:space="preserve">or now, it is sufficient to know that </w:t>
      </w:r>
      <w:proofErr w:type="spellStart"/>
      <w:r w:rsidR="005171A0" w:rsidRPr="00180F38">
        <w:rPr>
          <w:rFonts w:ascii="Arial" w:hAnsi="Arial" w:cs="Arial"/>
          <w:lang w:bidi="he-IL"/>
        </w:rPr>
        <w:t>Nammo</w:t>
      </w:r>
      <w:proofErr w:type="spellEnd"/>
      <w:r w:rsidR="005171A0" w:rsidRPr="00180F38">
        <w:rPr>
          <w:rFonts w:ascii="Arial" w:hAnsi="Arial" w:cs="Arial"/>
          <w:lang w:bidi="he-IL"/>
        </w:rPr>
        <w:t xml:space="preserve"> was refused a loan</w:t>
      </w:r>
      <w:r w:rsidR="000D7C8B">
        <w:rPr>
          <w:rFonts w:ascii="Arial" w:hAnsi="Arial" w:cs="Arial"/>
          <w:lang w:bidi="he-IL"/>
        </w:rPr>
        <w:t xml:space="preserve"> due to</w:t>
      </w:r>
      <w:r w:rsidR="009E4905">
        <w:rPr>
          <w:rFonts w:ascii="Arial" w:hAnsi="Arial" w:cs="Arial"/>
          <w:lang w:bidi="he-IL"/>
        </w:rPr>
        <w:t xml:space="preserve"> an erroneous </w:t>
      </w:r>
      <w:r w:rsidR="005171A0" w:rsidRPr="00180F38">
        <w:rPr>
          <w:rFonts w:ascii="Arial" w:hAnsi="Arial" w:cs="Arial"/>
          <w:lang w:bidi="he-IL"/>
        </w:rPr>
        <w:t>credit report supplied by the defendant credit agency.</w:t>
      </w:r>
      <w:r w:rsidR="008801A1">
        <w:rPr>
          <w:rStyle w:val="FootnoteReference"/>
          <w:rFonts w:ascii="Arial" w:hAnsi="Arial" w:cs="Arial"/>
          <w:lang w:bidi="he-IL"/>
        </w:rPr>
        <w:footnoteReference w:id="179"/>
      </w:r>
      <w:r w:rsidR="005171A0" w:rsidRPr="00180F38">
        <w:rPr>
          <w:rFonts w:ascii="Arial" w:hAnsi="Arial" w:cs="Arial"/>
          <w:lang w:bidi="he-IL"/>
        </w:rPr>
        <w:t xml:space="preserve"> </w:t>
      </w:r>
      <w:proofErr w:type="spellStart"/>
      <w:r w:rsidR="005171A0" w:rsidRPr="00180F38">
        <w:rPr>
          <w:rFonts w:ascii="Arial" w:hAnsi="Arial" w:cs="Arial"/>
          <w:lang w:bidi="he-IL"/>
        </w:rPr>
        <w:t>Nammo</w:t>
      </w:r>
      <w:proofErr w:type="spellEnd"/>
      <w:r w:rsidR="005171A0" w:rsidRPr="00180F38">
        <w:rPr>
          <w:rFonts w:ascii="Arial" w:hAnsi="Arial" w:cs="Arial"/>
          <w:lang w:bidi="he-IL"/>
        </w:rPr>
        <w:t xml:space="preserve"> immediately brought </w:t>
      </w:r>
      <w:r w:rsidR="009E4905">
        <w:rPr>
          <w:rFonts w:ascii="Arial" w:hAnsi="Arial" w:cs="Arial"/>
          <w:lang w:bidi="he-IL"/>
        </w:rPr>
        <w:t xml:space="preserve">to </w:t>
      </w:r>
      <w:r w:rsidR="005171A0" w:rsidRPr="00180F38">
        <w:rPr>
          <w:rFonts w:ascii="Arial" w:hAnsi="Arial" w:cs="Arial"/>
          <w:lang w:bidi="he-IL"/>
        </w:rPr>
        <w:t xml:space="preserve">the defendant’s attention that they had </w:t>
      </w:r>
      <w:r w:rsidR="005171A0" w:rsidRPr="00180F38">
        <w:rPr>
          <w:rFonts w:ascii="Arial" w:hAnsi="Arial" w:cs="Arial"/>
          <w:lang w:bidi="he-IL"/>
        </w:rPr>
        <w:lastRenderedPageBreak/>
        <w:t xml:space="preserve">mistaken him for someone else but inexplicably, the defendant failed to correct the </w:t>
      </w:r>
      <w:r w:rsidR="009E4905">
        <w:rPr>
          <w:rFonts w:ascii="Arial" w:hAnsi="Arial" w:cs="Arial"/>
          <w:lang w:bidi="he-IL"/>
        </w:rPr>
        <w:t>record</w:t>
      </w:r>
      <w:r w:rsidR="005171A0" w:rsidRPr="00180F38">
        <w:rPr>
          <w:rFonts w:ascii="Arial" w:hAnsi="Arial" w:cs="Arial"/>
          <w:lang w:bidi="he-IL"/>
        </w:rPr>
        <w:t xml:space="preserve"> with the bank in a prompt and effective way</w:t>
      </w:r>
      <w:r w:rsidR="008801A1">
        <w:rPr>
          <w:rFonts w:ascii="Arial" w:hAnsi="Arial" w:cs="Arial"/>
          <w:lang w:bidi="he-IL"/>
        </w:rPr>
        <w:t>.</w:t>
      </w:r>
      <w:r w:rsidR="008801A1">
        <w:rPr>
          <w:rStyle w:val="FootnoteReference"/>
          <w:rFonts w:ascii="Arial" w:hAnsi="Arial" w:cs="Arial"/>
          <w:lang w:bidi="he-IL"/>
        </w:rPr>
        <w:footnoteReference w:id="180"/>
      </w:r>
      <w:r w:rsidR="008801A1">
        <w:rPr>
          <w:rFonts w:ascii="Arial" w:hAnsi="Arial" w:cs="Arial"/>
          <w:lang w:bidi="he-IL"/>
        </w:rPr>
        <w:t xml:space="preserve"> </w:t>
      </w:r>
    </w:p>
    <w:p w14:paraId="19C9F048" w14:textId="77777777" w:rsidR="00384DC2" w:rsidRDefault="00384DC2" w:rsidP="00DD1F5B">
      <w:pPr>
        <w:pStyle w:val="doubleindent-quote"/>
        <w:ind w:firstLine="720"/>
        <w:contextualSpacing/>
        <w:rPr>
          <w:rFonts w:ascii="Arial" w:hAnsi="Arial" w:cs="Arial"/>
          <w:lang w:bidi="he-IL"/>
        </w:rPr>
      </w:pPr>
    </w:p>
    <w:p w14:paraId="1EF069F1" w14:textId="5477FA4B" w:rsidR="009E4905" w:rsidRDefault="005171A0" w:rsidP="00DD1F5B">
      <w:pPr>
        <w:pStyle w:val="doubleindent-quote"/>
        <w:ind w:firstLine="720"/>
        <w:contextualSpacing/>
        <w:rPr>
          <w:rFonts w:ascii="Arial" w:hAnsi="Arial" w:cs="Arial"/>
        </w:rPr>
      </w:pPr>
      <w:r w:rsidRPr="00180F38">
        <w:rPr>
          <w:rFonts w:ascii="Arial" w:hAnsi="Arial" w:cs="Arial"/>
          <w:lang w:bidi="he-IL"/>
        </w:rPr>
        <w:t xml:space="preserve">In relation to the ingredients for the False Light tort, </w:t>
      </w:r>
      <w:r w:rsidR="006C761C">
        <w:rPr>
          <w:rFonts w:ascii="Arial" w:hAnsi="Arial" w:cs="Arial"/>
          <w:lang w:bidi="he-IL"/>
        </w:rPr>
        <w:t xml:space="preserve">the argument is </w:t>
      </w:r>
      <w:r w:rsidR="000D7C8B">
        <w:rPr>
          <w:rFonts w:ascii="Arial" w:hAnsi="Arial" w:cs="Arial"/>
          <w:lang w:bidi="he-IL"/>
        </w:rPr>
        <w:t xml:space="preserve">this: </w:t>
      </w:r>
      <w:r w:rsidRPr="00180F38">
        <w:rPr>
          <w:rFonts w:ascii="Arial" w:hAnsi="Arial" w:cs="Arial"/>
          <w:lang w:bidi="he-IL"/>
        </w:rPr>
        <w:t xml:space="preserve">the credit agency placed </w:t>
      </w:r>
      <w:proofErr w:type="spellStart"/>
      <w:r w:rsidRPr="00180F38">
        <w:rPr>
          <w:rFonts w:ascii="Arial" w:hAnsi="Arial" w:cs="Arial"/>
          <w:lang w:bidi="he-IL"/>
        </w:rPr>
        <w:t>Nammo</w:t>
      </w:r>
      <w:proofErr w:type="spellEnd"/>
      <w:r w:rsidRPr="00180F38">
        <w:rPr>
          <w:rFonts w:ascii="Arial" w:hAnsi="Arial" w:cs="Arial"/>
          <w:lang w:bidi="he-IL"/>
        </w:rPr>
        <w:t xml:space="preserve"> in a false light (</w:t>
      </w:r>
      <w:r w:rsidR="00934E4C">
        <w:rPr>
          <w:rFonts w:ascii="Arial" w:hAnsi="Arial" w:cs="Arial"/>
          <w:lang w:bidi="he-IL"/>
        </w:rPr>
        <w:t xml:space="preserve">stating </w:t>
      </w:r>
      <w:r w:rsidRPr="00180F38">
        <w:rPr>
          <w:rFonts w:ascii="Arial" w:hAnsi="Arial" w:cs="Arial"/>
          <w:lang w:bidi="he-IL"/>
        </w:rPr>
        <w:t>that he had a bad credit rating</w:t>
      </w:r>
      <w:r w:rsidR="008801A1">
        <w:rPr>
          <w:rFonts w:ascii="Arial" w:hAnsi="Arial" w:cs="Arial"/>
          <w:lang w:bidi="he-IL"/>
        </w:rPr>
        <w:t xml:space="preserve"> when he did</w:t>
      </w:r>
      <w:r w:rsidR="000D7C8B">
        <w:rPr>
          <w:rFonts w:ascii="Arial" w:hAnsi="Arial" w:cs="Arial"/>
          <w:lang w:bidi="he-IL"/>
        </w:rPr>
        <w:t xml:space="preserve"> not</w:t>
      </w:r>
      <w:r w:rsidRPr="00180F38">
        <w:rPr>
          <w:rFonts w:ascii="Arial" w:hAnsi="Arial" w:cs="Arial"/>
          <w:lang w:bidi="he-IL"/>
        </w:rPr>
        <w:t>)</w:t>
      </w:r>
      <w:r w:rsidR="008801A1">
        <w:rPr>
          <w:rFonts w:ascii="Arial" w:hAnsi="Arial" w:cs="Arial"/>
          <w:lang w:bidi="he-IL"/>
        </w:rPr>
        <w:t xml:space="preserve"> </w:t>
      </w:r>
      <w:r w:rsidRPr="00180F38">
        <w:rPr>
          <w:rFonts w:ascii="Arial" w:hAnsi="Arial" w:cs="Arial"/>
          <w:lang w:bidi="he-IL"/>
        </w:rPr>
        <w:t>which would be highly offensive to a reasonable person. Offensiveness is present in the fact</w:t>
      </w:r>
      <w:r w:rsidR="009E4905">
        <w:rPr>
          <w:rFonts w:ascii="Arial" w:hAnsi="Arial" w:cs="Arial"/>
          <w:lang w:bidi="he-IL"/>
        </w:rPr>
        <w:t xml:space="preserve">s since a bad credit rating is a </w:t>
      </w:r>
      <w:r w:rsidR="008801A1">
        <w:rPr>
          <w:rFonts w:ascii="Arial" w:hAnsi="Arial" w:cs="Arial"/>
          <w:lang w:bidi="he-IL"/>
        </w:rPr>
        <w:t xml:space="preserve">serious </w:t>
      </w:r>
      <w:r w:rsidR="009E4905">
        <w:rPr>
          <w:rFonts w:ascii="Arial" w:hAnsi="Arial" w:cs="Arial"/>
          <w:lang w:bidi="he-IL"/>
        </w:rPr>
        <w:t>mark against a person</w:t>
      </w:r>
      <w:r w:rsidR="006C761C">
        <w:rPr>
          <w:rFonts w:ascii="Arial" w:hAnsi="Arial" w:cs="Arial"/>
          <w:lang w:bidi="he-IL"/>
        </w:rPr>
        <w:t xml:space="preserve"> and is also f</w:t>
      </w:r>
      <w:r w:rsidR="009E4905">
        <w:rPr>
          <w:rFonts w:ascii="Arial" w:hAnsi="Arial" w:cs="Arial"/>
          <w:lang w:bidi="he-IL"/>
        </w:rPr>
        <w:t>ound</w:t>
      </w:r>
      <w:r w:rsidRPr="00180F38">
        <w:rPr>
          <w:rFonts w:ascii="Arial" w:hAnsi="Arial" w:cs="Arial"/>
          <w:lang w:bidi="he-IL"/>
        </w:rPr>
        <w:t xml:space="preserve"> in the defendant’s failure to correct i</w:t>
      </w:r>
      <w:r w:rsidR="00DB6188">
        <w:rPr>
          <w:rFonts w:ascii="Arial" w:hAnsi="Arial" w:cs="Arial"/>
          <w:lang w:bidi="he-IL"/>
        </w:rPr>
        <w:t>t</w:t>
      </w:r>
      <w:r w:rsidRPr="00180F38">
        <w:rPr>
          <w:rFonts w:ascii="Arial" w:hAnsi="Arial" w:cs="Arial"/>
          <w:lang w:bidi="he-IL"/>
        </w:rPr>
        <w:t xml:space="preserve">s own mistake </w:t>
      </w:r>
      <w:r w:rsidR="008801A1">
        <w:rPr>
          <w:rFonts w:ascii="Arial" w:hAnsi="Arial" w:cs="Arial"/>
          <w:lang w:bidi="he-IL"/>
        </w:rPr>
        <w:t xml:space="preserve">promptly </w:t>
      </w:r>
      <w:r w:rsidR="000D7C8B">
        <w:rPr>
          <w:rFonts w:ascii="Arial" w:hAnsi="Arial" w:cs="Arial"/>
          <w:lang w:bidi="he-IL"/>
        </w:rPr>
        <w:t xml:space="preserve">and </w:t>
      </w:r>
      <w:r w:rsidRPr="00180F38">
        <w:rPr>
          <w:rFonts w:ascii="Arial" w:hAnsi="Arial" w:cs="Arial"/>
          <w:lang w:bidi="he-IL"/>
        </w:rPr>
        <w:t xml:space="preserve">properly. </w:t>
      </w:r>
      <w:r w:rsidR="009E4905">
        <w:rPr>
          <w:rFonts w:ascii="Arial" w:hAnsi="Arial" w:cs="Arial"/>
          <w:lang w:bidi="he-IL"/>
        </w:rPr>
        <w:t xml:space="preserve">As to the second ingredient in the tort, </w:t>
      </w:r>
      <w:r w:rsidRPr="00180F38">
        <w:rPr>
          <w:rFonts w:ascii="Arial" w:hAnsi="Arial" w:cs="Arial"/>
          <w:lang w:bidi="he-IL"/>
        </w:rPr>
        <w:t xml:space="preserve">the credit agency had knowledge or acted in reckless disregard as to </w:t>
      </w:r>
      <w:r w:rsidRPr="009E4905">
        <w:rPr>
          <w:rFonts w:ascii="Arial" w:hAnsi="Arial" w:cs="Arial"/>
        </w:rPr>
        <w:t>the falsity of the publicized matter</w:t>
      </w:r>
      <w:r w:rsidR="00E160D4">
        <w:rPr>
          <w:rFonts w:ascii="Arial" w:hAnsi="Arial" w:cs="Arial"/>
        </w:rPr>
        <w:t xml:space="preserve"> – </w:t>
      </w:r>
      <w:r w:rsidR="009E4905" w:rsidRPr="009E4905">
        <w:rPr>
          <w:rFonts w:ascii="Arial" w:hAnsi="Arial" w:cs="Arial"/>
        </w:rPr>
        <w:t>perhaps in making the mistake itself</w:t>
      </w:r>
      <w:r w:rsidR="00E160D4">
        <w:rPr>
          <w:rFonts w:ascii="Arial" w:hAnsi="Arial" w:cs="Arial"/>
        </w:rPr>
        <w:t xml:space="preserve"> – </w:t>
      </w:r>
      <w:r w:rsidR="009E4905" w:rsidRPr="009E4905">
        <w:rPr>
          <w:rFonts w:ascii="Arial" w:hAnsi="Arial" w:cs="Arial"/>
        </w:rPr>
        <w:t>but certainly</w:t>
      </w:r>
      <w:r w:rsidRPr="009E4905">
        <w:rPr>
          <w:rFonts w:ascii="Arial" w:hAnsi="Arial" w:cs="Arial"/>
        </w:rPr>
        <w:t xml:space="preserve"> w</w:t>
      </w:r>
      <w:r w:rsidR="009E4905" w:rsidRPr="009E4905">
        <w:rPr>
          <w:rFonts w:ascii="Arial" w:hAnsi="Arial" w:cs="Arial"/>
        </w:rPr>
        <w:t xml:space="preserve">hen it failed to </w:t>
      </w:r>
      <w:r w:rsidR="006C761C">
        <w:rPr>
          <w:rFonts w:ascii="Arial" w:hAnsi="Arial" w:cs="Arial"/>
        </w:rPr>
        <w:t xml:space="preserve">promptly and </w:t>
      </w:r>
      <w:r w:rsidR="009E4905" w:rsidRPr="009E4905">
        <w:rPr>
          <w:rFonts w:ascii="Arial" w:hAnsi="Arial" w:cs="Arial"/>
        </w:rPr>
        <w:t xml:space="preserve">properly alert the bank to its mistake. </w:t>
      </w:r>
      <w:r w:rsidR="00C73073">
        <w:rPr>
          <w:rFonts w:ascii="Arial" w:hAnsi="Arial" w:cs="Arial"/>
        </w:rPr>
        <w:t>However, there arguably was insufficient “publici</w:t>
      </w:r>
      <w:r w:rsidR="00DD1F5B">
        <w:rPr>
          <w:rFonts w:ascii="Arial" w:hAnsi="Arial" w:cs="Arial"/>
        </w:rPr>
        <w:t>ty</w:t>
      </w:r>
      <w:r w:rsidR="00C73073">
        <w:rPr>
          <w:rFonts w:ascii="Arial" w:hAnsi="Arial" w:cs="Arial"/>
        </w:rPr>
        <w:t>” to found the cause of action.</w:t>
      </w:r>
      <w:r w:rsidR="00C73073">
        <w:rPr>
          <w:rStyle w:val="FootnoteReference"/>
          <w:rFonts w:ascii="Arial" w:hAnsi="Arial" w:cs="Arial"/>
          <w:lang w:bidi="he-IL"/>
        </w:rPr>
        <w:footnoteReference w:id="181"/>
      </w:r>
    </w:p>
    <w:p w14:paraId="2417C3B2" w14:textId="77777777" w:rsidR="00B8699D" w:rsidRDefault="000D7C8B" w:rsidP="00130DE3">
      <w:pPr>
        <w:ind w:firstLine="720"/>
        <w:rPr>
          <w:bCs/>
          <w:lang w:bidi="he-IL"/>
        </w:rPr>
      </w:pPr>
      <w:r>
        <w:rPr>
          <w:rFonts w:eastAsia="Times New Roman"/>
          <w:bCs/>
          <w:lang w:eastAsia="en-CA" w:bidi="he-IL"/>
        </w:rPr>
        <w:t xml:space="preserve">As </w:t>
      </w:r>
      <w:r w:rsidR="00BF6F2A">
        <w:rPr>
          <w:rFonts w:eastAsia="Times New Roman"/>
          <w:bCs/>
          <w:lang w:eastAsia="en-CA" w:bidi="he-IL"/>
        </w:rPr>
        <w:t>the foregoing seeks to illustrate</w:t>
      </w:r>
      <w:r>
        <w:rPr>
          <w:rFonts w:eastAsia="Times New Roman"/>
          <w:bCs/>
          <w:lang w:eastAsia="en-CA" w:bidi="he-IL"/>
        </w:rPr>
        <w:t xml:space="preserve">, </w:t>
      </w:r>
      <w:r w:rsidR="008801A1">
        <w:rPr>
          <w:rFonts w:eastAsia="Times New Roman"/>
          <w:bCs/>
          <w:lang w:eastAsia="en-CA" w:bidi="he-IL"/>
        </w:rPr>
        <w:t xml:space="preserve">the common law privacy torts </w:t>
      </w:r>
      <w:r w:rsidR="00D7287E">
        <w:rPr>
          <w:rFonts w:eastAsia="Times New Roman"/>
          <w:bCs/>
          <w:lang w:eastAsia="en-CA" w:bidi="he-IL"/>
        </w:rPr>
        <w:t>share</w:t>
      </w:r>
      <w:r w:rsidR="008801A1">
        <w:rPr>
          <w:rFonts w:eastAsia="Times New Roman"/>
          <w:bCs/>
          <w:lang w:eastAsia="en-CA" w:bidi="he-IL"/>
        </w:rPr>
        <w:t xml:space="preserve"> links </w:t>
      </w:r>
      <w:r w:rsidR="00D7287E">
        <w:rPr>
          <w:rFonts w:eastAsia="Times New Roman"/>
          <w:bCs/>
          <w:lang w:eastAsia="en-CA" w:bidi="he-IL"/>
        </w:rPr>
        <w:t xml:space="preserve">with </w:t>
      </w:r>
      <w:r w:rsidR="008801A1">
        <w:rPr>
          <w:rFonts w:eastAsia="Times New Roman"/>
          <w:bCs/>
          <w:lang w:eastAsia="en-CA" w:bidi="he-IL"/>
        </w:rPr>
        <w:t xml:space="preserve">the privacy interests protected by </w:t>
      </w:r>
      <w:r w:rsidR="008801A1" w:rsidRPr="00DB6188">
        <w:rPr>
          <w:rFonts w:eastAsia="Times New Roman"/>
          <w:bCs/>
          <w:i/>
          <w:iCs/>
          <w:lang w:eastAsia="en-CA" w:bidi="he-IL"/>
        </w:rPr>
        <w:t>PIPEDA</w:t>
      </w:r>
      <w:r w:rsidR="008801A1">
        <w:rPr>
          <w:rFonts w:eastAsia="Times New Roman"/>
          <w:bCs/>
          <w:lang w:eastAsia="en-CA" w:bidi="he-IL"/>
        </w:rPr>
        <w:t xml:space="preserve">. </w:t>
      </w:r>
      <w:r w:rsidR="00874F2B">
        <w:rPr>
          <w:bCs/>
          <w:lang w:bidi="he-IL"/>
        </w:rPr>
        <w:t xml:space="preserve">The shared </w:t>
      </w:r>
      <w:r w:rsidR="006C761C">
        <w:rPr>
          <w:bCs/>
          <w:lang w:bidi="he-IL"/>
        </w:rPr>
        <w:t xml:space="preserve">core is a concern over personal dignity, including </w:t>
      </w:r>
      <w:r>
        <w:rPr>
          <w:bCs/>
          <w:lang w:bidi="he-IL"/>
        </w:rPr>
        <w:t>who</w:t>
      </w:r>
      <w:r w:rsidR="006C761C">
        <w:rPr>
          <w:bCs/>
          <w:lang w:bidi="he-IL"/>
        </w:rPr>
        <w:t xml:space="preserve"> has access to one’s personal information </w:t>
      </w:r>
      <w:r>
        <w:rPr>
          <w:bCs/>
          <w:lang w:bidi="he-IL"/>
        </w:rPr>
        <w:t>(e</w:t>
      </w:r>
      <w:r w:rsidR="00DB6188">
        <w:rPr>
          <w:bCs/>
          <w:lang w:bidi="he-IL"/>
        </w:rPr>
        <w:t>.</w:t>
      </w:r>
      <w:r>
        <w:rPr>
          <w:bCs/>
          <w:lang w:bidi="he-IL"/>
        </w:rPr>
        <w:t>g</w:t>
      </w:r>
      <w:r w:rsidR="00DB6188">
        <w:rPr>
          <w:bCs/>
          <w:lang w:bidi="he-IL"/>
        </w:rPr>
        <w:t>.</w:t>
      </w:r>
      <w:r>
        <w:rPr>
          <w:bCs/>
          <w:lang w:bidi="he-IL"/>
        </w:rPr>
        <w:t xml:space="preserve">:  the Intrusion upon Seclusion tort, the Appropriation of Name and Likeness tort, and the Public Disclosure of Private Facts tort) as well as </w:t>
      </w:r>
      <w:r w:rsidR="006C761C">
        <w:rPr>
          <w:bCs/>
          <w:lang w:bidi="he-IL"/>
        </w:rPr>
        <w:t>how one is presented to the world</w:t>
      </w:r>
      <w:r>
        <w:rPr>
          <w:bCs/>
          <w:lang w:bidi="he-IL"/>
        </w:rPr>
        <w:t xml:space="preserve"> (e</w:t>
      </w:r>
      <w:r w:rsidR="00DB6188">
        <w:rPr>
          <w:bCs/>
          <w:lang w:bidi="he-IL"/>
        </w:rPr>
        <w:t>.</w:t>
      </w:r>
      <w:r>
        <w:rPr>
          <w:bCs/>
          <w:lang w:bidi="he-IL"/>
        </w:rPr>
        <w:t>g</w:t>
      </w:r>
      <w:r w:rsidR="00DB6188">
        <w:rPr>
          <w:bCs/>
          <w:lang w:bidi="he-IL"/>
        </w:rPr>
        <w:t>.</w:t>
      </w:r>
      <w:r>
        <w:rPr>
          <w:bCs/>
          <w:lang w:bidi="he-IL"/>
        </w:rPr>
        <w:t>:  the False Light tort)</w:t>
      </w:r>
      <w:r w:rsidR="006C761C">
        <w:rPr>
          <w:bCs/>
          <w:lang w:bidi="he-IL"/>
        </w:rPr>
        <w:t xml:space="preserve">. </w:t>
      </w:r>
      <w:r w:rsidR="00F2069F">
        <w:rPr>
          <w:bCs/>
          <w:lang w:bidi="he-IL"/>
        </w:rPr>
        <w:t xml:space="preserve">Also </w:t>
      </w:r>
      <w:r w:rsidR="00874F2B">
        <w:rPr>
          <w:bCs/>
          <w:lang w:bidi="he-IL"/>
        </w:rPr>
        <w:t xml:space="preserve">pointing to common ground is </w:t>
      </w:r>
      <w:r w:rsidR="00F2069F">
        <w:rPr>
          <w:bCs/>
          <w:lang w:bidi="he-IL"/>
        </w:rPr>
        <w:t>the extent to which the</w:t>
      </w:r>
      <w:r w:rsidR="00552B75">
        <w:rPr>
          <w:bCs/>
          <w:lang w:bidi="he-IL"/>
        </w:rPr>
        <w:t xml:space="preserve"> privacy torts</w:t>
      </w:r>
      <w:r w:rsidR="00F2069F">
        <w:rPr>
          <w:bCs/>
          <w:lang w:bidi="he-IL"/>
        </w:rPr>
        <w:t xml:space="preserve"> overlap </w:t>
      </w:r>
      <w:r w:rsidR="00552B75">
        <w:rPr>
          <w:bCs/>
          <w:lang w:bidi="he-IL"/>
        </w:rPr>
        <w:t xml:space="preserve">with </w:t>
      </w:r>
      <w:r w:rsidR="00552B75" w:rsidRPr="00DB6188">
        <w:rPr>
          <w:bCs/>
          <w:i/>
          <w:iCs/>
          <w:lang w:bidi="he-IL"/>
        </w:rPr>
        <w:t>PIPEDA</w:t>
      </w:r>
      <w:r w:rsidR="00552B75">
        <w:rPr>
          <w:bCs/>
          <w:lang w:bidi="he-IL"/>
        </w:rPr>
        <w:t xml:space="preserve"> </w:t>
      </w:r>
      <w:r w:rsidR="00F2069F">
        <w:rPr>
          <w:bCs/>
          <w:lang w:bidi="he-IL"/>
        </w:rPr>
        <w:t xml:space="preserve">and could </w:t>
      </w:r>
      <w:r w:rsidR="009B1E1D">
        <w:rPr>
          <w:bCs/>
          <w:lang w:bidi="he-IL"/>
        </w:rPr>
        <w:t xml:space="preserve">equally be </w:t>
      </w:r>
      <w:r w:rsidR="00F2069F">
        <w:rPr>
          <w:bCs/>
          <w:lang w:bidi="he-IL"/>
        </w:rPr>
        <w:t xml:space="preserve">pursued </w:t>
      </w:r>
      <w:r w:rsidR="009B1E1D">
        <w:rPr>
          <w:bCs/>
          <w:lang w:bidi="he-IL"/>
        </w:rPr>
        <w:t xml:space="preserve">as </w:t>
      </w:r>
      <w:r w:rsidR="00BF6F2A">
        <w:rPr>
          <w:bCs/>
          <w:lang w:bidi="he-IL"/>
        </w:rPr>
        <w:t xml:space="preserve">a </w:t>
      </w:r>
      <w:r w:rsidR="00BF6F2A" w:rsidRPr="00DB6188">
        <w:rPr>
          <w:bCs/>
          <w:i/>
          <w:iCs/>
          <w:lang w:bidi="he-IL"/>
        </w:rPr>
        <w:t>PIPEDA</w:t>
      </w:r>
      <w:r w:rsidR="00BF6F2A">
        <w:rPr>
          <w:bCs/>
          <w:lang w:bidi="he-IL"/>
        </w:rPr>
        <w:t xml:space="preserve"> </w:t>
      </w:r>
      <w:r w:rsidR="00DB6188">
        <w:rPr>
          <w:bCs/>
          <w:lang w:bidi="he-IL"/>
        </w:rPr>
        <w:t>c</w:t>
      </w:r>
      <w:r w:rsidR="00BF6F2A">
        <w:rPr>
          <w:bCs/>
          <w:lang w:bidi="he-IL"/>
        </w:rPr>
        <w:t>laim</w:t>
      </w:r>
      <w:r w:rsidR="00F2069F">
        <w:rPr>
          <w:bCs/>
          <w:lang w:bidi="he-IL"/>
        </w:rPr>
        <w:t xml:space="preserve">. </w:t>
      </w:r>
      <w:r w:rsidR="00EC50FC">
        <w:rPr>
          <w:bCs/>
          <w:lang w:bidi="he-IL"/>
        </w:rPr>
        <w:t xml:space="preserve">And yet, </w:t>
      </w:r>
      <w:r w:rsidR="00BF6F2A">
        <w:rPr>
          <w:bCs/>
          <w:lang w:bidi="he-IL"/>
        </w:rPr>
        <w:t xml:space="preserve">the damage quanta associated with the common law privacy torts is higher than is found under </w:t>
      </w:r>
      <w:r w:rsidR="00BF6F2A" w:rsidRPr="00DB6188">
        <w:rPr>
          <w:bCs/>
          <w:i/>
          <w:iCs/>
          <w:lang w:bidi="he-IL"/>
        </w:rPr>
        <w:t>PIPEDA</w:t>
      </w:r>
      <w:r w:rsidR="00BF6F2A">
        <w:rPr>
          <w:bCs/>
          <w:lang w:bidi="he-IL"/>
        </w:rPr>
        <w:t xml:space="preserve"> and</w:t>
      </w:r>
      <w:r w:rsidR="006C761C">
        <w:rPr>
          <w:bCs/>
          <w:lang w:bidi="he-IL"/>
        </w:rPr>
        <w:t xml:space="preserve"> sometimes dramatically </w:t>
      </w:r>
      <w:r w:rsidR="00552B75">
        <w:rPr>
          <w:bCs/>
          <w:lang w:bidi="he-IL"/>
        </w:rPr>
        <w:t xml:space="preserve">so. </w:t>
      </w:r>
    </w:p>
    <w:p w14:paraId="5F35C12C" w14:textId="12C517FE" w:rsidR="001B2465" w:rsidRPr="009E4905" w:rsidRDefault="00874F2B" w:rsidP="00486D7A">
      <w:pPr>
        <w:ind w:firstLine="720"/>
        <w:rPr>
          <w:lang w:bidi="he-IL"/>
        </w:rPr>
      </w:pPr>
      <w:r>
        <w:rPr>
          <w:bCs/>
          <w:lang w:bidi="he-IL"/>
        </w:rPr>
        <w:t xml:space="preserve">Part of the </w:t>
      </w:r>
      <w:r w:rsidR="007348B6">
        <w:rPr>
          <w:bCs/>
          <w:lang w:bidi="he-IL"/>
        </w:rPr>
        <w:t>explanation</w:t>
      </w:r>
      <w:r>
        <w:rPr>
          <w:bCs/>
          <w:lang w:bidi="he-IL"/>
        </w:rPr>
        <w:t xml:space="preserve"> for a higher quantum is </w:t>
      </w:r>
      <w:r w:rsidR="00EC50FC">
        <w:rPr>
          <w:bCs/>
          <w:lang w:bidi="he-IL"/>
        </w:rPr>
        <w:t xml:space="preserve">simply this: </w:t>
      </w:r>
      <w:r>
        <w:rPr>
          <w:bCs/>
          <w:lang w:bidi="he-IL"/>
        </w:rPr>
        <w:t xml:space="preserve">the </w:t>
      </w:r>
      <w:r w:rsidR="007348B6">
        <w:rPr>
          <w:bCs/>
          <w:lang w:bidi="he-IL"/>
        </w:rPr>
        <w:t xml:space="preserve">privacy </w:t>
      </w:r>
      <w:r>
        <w:rPr>
          <w:bCs/>
          <w:lang w:bidi="he-IL"/>
        </w:rPr>
        <w:t>tort</w:t>
      </w:r>
      <w:r w:rsidR="009B1E1D">
        <w:rPr>
          <w:bCs/>
          <w:lang w:bidi="he-IL"/>
        </w:rPr>
        <w:t>s</w:t>
      </w:r>
      <w:r>
        <w:rPr>
          <w:bCs/>
          <w:lang w:bidi="he-IL"/>
        </w:rPr>
        <w:t xml:space="preserve"> </w:t>
      </w:r>
      <w:r w:rsidR="009B1E1D">
        <w:rPr>
          <w:bCs/>
          <w:lang w:bidi="he-IL"/>
        </w:rPr>
        <w:t xml:space="preserve">generally </w:t>
      </w:r>
      <w:r>
        <w:rPr>
          <w:bCs/>
          <w:lang w:bidi="he-IL"/>
        </w:rPr>
        <w:t>require more extreme misconduct</w:t>
      </w:r>
      <w:r w:rsidR="007348B6">
        <w:rPr>
          <w:bCs/>
          <w:lang w:bidi="he-IL"/>
        </w:rPr>
        <w:t xml:space="preserve"> </w:t>
      </w:r>
      <w:r w:rsidR="009B1E1D">
        <w:rPr>
          <w:bCs/>
          <w:lang w:bidi="he-IL"/>
        </w:rPr>
        <w:t xml:space="preserve">to found the cause of action </w:t>
      </w:r>
      <w:r w:rsidR="007348B6">
        <w:rPr>
          <w:bCs/>
          <w:lang w:bidi="he-IL"/>
        </w:rPr>
        <w:t>and this flows</w:t>
      </w:r>
      <w:r>
        <w:rPr>
          <w:bCs/>
          <w:lang w:bidi="he-IL"/>
        </w:rPr>
        <w:t xml:space="preserve"> naturally in</w:t>
      </w:r>
      <w:r w:rsidR="007348B6">
        <w:rPr>
          <w:bCs/>
          <w:lang w:bidi="he-IL"/>
        </w:rPr>
        <w:t>to</w:t>
      </w:r>
      <w:r>
        <w:rPr>
          <w:bCs/>
          <w:lang w:bidi="he-IL"/>
        </w:rPr>
        <w:t xml:space="preserve"> the damages </w:t>
      </w:r>
      <w:r w:rsidR="009B1E1D">
        <w:rPr>
          <w:bCs/>
          <w:lang w:bidi="he-IL"/>
        </w:rPr>
        <w:t xml:space="preserve">component. </w:t>
      </w:r>
      <w:r>
        <w:rPr>
          <w:bCs/>
          <w:lang w:bidi="he-IL"/>
        </w:rPr>
        <w:t xml:space="preserve">But, as will be discussed in </w:t>
      </w:r>
      <w:r w:rsidR="00EC50FC">
        <w:rPr>
          <w:bCs/>
          <w:lang w:bidi="he-IL"/>
        </w:rPr>
        <w:t xml:space="preserve">detail in </w:t>
      </w:r>
      <w:r w:rsidR="00C051A3">
        <w:rPr>
          <w:bCs/>
          <w:lang w:bidi="he-IL"/>
        </w:rPr>
        <w:t>Part</w:t>
      </w:r>
      <w:r w:rsidR="00FA034B">
        <w:rPr>
          <w:bCs/>
          <w:lang w:bidi="he-IL"/>
        </w:rPr>
        <w:t xml:space="preserve"> Two, </w:t>
      </w:r>
      <w:r w:rsidR="00486D7A" w:rsidRPr="005F592D">
        <w:t xml:space="preserve">forthcoming in the June </w:t>
      </w:r>
      <w:r w:rsidR="00B00624">
        <w:t xml:space="preserve">2022 </w:t>
      </w:r>
      <w:r w:rsidR="00486D7A" w:rsidRPr="005F592D">
        <w:t>issue of The Advocates’ Quarterly</w:t>
      </w:r>
      <w:r>
        <w:rPr>
          <w:bCs/>
          <w:lang w:bidi="he-IL"/>
        </w:rPr>
        <w:t xml:space="preserve">, the other </w:t>
      </w:r>
      <w:r w:rsidR="00EC50FC">
        <w:rPr>
          <w:bCs/>
          <w:lang w:bidi="he-IL"/>
        </w:rPr>
        <w:t xml:space="preserve">piece of </w:t>
      </w:r>
      <w:r w:rsidR="007348B6">
        <w:rPr>
          <w:bCs/>
          <w:lang w:bidi="he-IL"/>
        </w:rPr>
        <w:t xml:space="preserve">the explanation </w:t>
      </w:r>
      <w:r>
        <w:rPr>
          <w:bCs/>
          <w:lang w:bidi="he-IL"/>
        </w:rPr>
        <w:t xml:space="preserve">is that </w:t>
      </w:r>
      <w:r w:rsidR="00EC50FC" w:rsidRPr="00DB6188">
        <w:rPr>
          <w:bCs/>
          <w:i/>
          <w:iCs/>
          <w:lang w:bidi="he-IL"/>
        </w:rPr>
        <w:t>PIPEDA</w:t>
      </w:r>
      <w:r w:rsidR="00EC50FC">
        <w:rPr>
          <w:bCs/>
          <w:lang w:bidi="he-IL"/>
        </w:rPr>
        <w:t xml:space="preserve"> </w:t>
      </w:r>
      <w:r>
        <w:rPr>
          <w:bCs/>
          <w:lang w:bidi="he-IL"/>
        </w:rPr>
        <w:t xml:space="preserve">courts are undervaluing </w:t>
      </w:r>
      <w:r w:rsidR="009B1E1D">
        <w:rPr>
          <w:bCs/>
          <w:lang w:bidi="he-IL"/>
        </w:rPr>
        <w:t xml:space="preserve">breach of privacy </w:t>
      </w:r>
      <w:r>
        <w:rPr>
          <w:bCs/>
          <w:lang w:bidi="he-IL"/>
        </w:rPr>
        <w:t>claims</w:t>
      </w:r>
      <w:r w:rsidR="009B1E1D">
        <w:rPr>
          <w:bCs/>
          <w:lang w:bidi="he-IL"/>
        </w:rPr>
        <w:t xml:space="preserve">. </w:t>
      </w:r>
      <w:r w:rsidR="007348B6">
        <w:rPr>
          <w:bCs/>
          <w:lang w:bidi="he-IL"/>
        </w:rPr>
        <w:t xml:space="preserve">Fortunately, the higher awards pursuant to the common law privacy torts leave enough scope for </w:t>
      </w:r>
      <w:r w:rsidR="007348B6" w:rsidRPr="00DB6188">
        <w:rPr>
          <w:bCs/>
          <w:i/>
          <w:iCs/>
          <w:lang w:bidi="he-IL"/>
        </w:rPr>
        <w:t>PIPEDA</w:t>
      </w:r>
      <w:r w:rsidR="007348B6">
        <w:rPr>
          <w:bCs/>
          <w:lang w:bidi="he-IL"/>
        </w:rPr>
        <w:t xml:space="preserve"> quanta to rise accordingly and still be relatively proportionate. </w:t>
      </w:r>
    </w:p>
    <w:p w14:paraId="332DDB2D" w14:textId="1831806F" w:rsidR="009B68E3" w:rsidRPr="009B68E3" w:rsidRDefault="009208D7">
      <w:pPr>
        <w:pStyle w:val="ListParagraph"/>
        <w:numPr>
          <w:ilvl w:val="0"/>
          <w:numId w:val="9"/>
        </w:numPr>
        <w:rPr>
          <w:b/>
          <w:bCs/>
          <w:lang w:bidi="he-IL"/>
        </w:rPr>
      </w:pPr>
      <w:r>
        <w:rPr>
          <w:b/>
          <w:bCs/>
          <w:lang w:bidi="he-IL"/>
        </w:rPr>
        <w:t>Defamation</w:t>
      </w:r>
      <w:r w:rsidR="009B68E3" w:rsidRPr="009B68E3">
        <w:rPr>
          <w:b/>
          <w:bCs/>
          <w:lang w:bidi="he-IL"/>
        </w:rPr>
        <w:t xml:space="preserve"> as a Dignitary Tort</w:t>
      </w:r>
    </w:p>
    <w:p w14:paraId="334E6ADC" w14:textId="33530214" w:rsidR="00EC50FC" w:rsidRDefault="00145340" w:rsidP="008E3060">
      <w:pPr>
        <w:spacing w:after="200" w:line="252" w:lineRule="auto"/>
        <w:rPr>
          <w:lang w:bidi="he-IL"/>
        </w:rPr>
      </w:pPr>
      <w:r>
        <w:rPr>
          <w:lang w:bidi="he-IL"/>
        </w:rPr>
        <w:t xml:space="preserve">While it is beyond the scope of this </w:t>
      </w:r>
      <w:r w:rsidR="00852151">
        <w:rPr>
          <w:lang w:bidi="he-IL"/>
        </w:rPr>
        <w:t>article</w:t>
      </w:r>
      <w:r>
        <w:rPr>
          <w:lang w:bidi="he-IL"/>
        </w:rPr>
        <w:t xml:space="preserve"> to discuss the </w:t>
      </w:r>
      <w:r w:rsidR="00537739">
        <w:rPr>
          <w:lang w:bidi="he-IL"/>
        </w:rPr>
        <w:t xml:space="preserve">dignitary </w:t>
      </w:r>
      <w:r>
        <w:rPr>
          <w:lang w:bidi="he-IL"/>
        </w:rPr>
        <w:t xml:space="preserve">tort of defamation in any detail, it too has been closely associated with the </w:t>
      </w:r>
      <w:r w:rsidR="00EB12F2">
        <w:rPr>
          <w:lang w:bidi="he-IL"/>
        </w:rPr>
        <w:t xml:space="preserve">informational </w:t>
      </w:r>
      <w:r>
        <w:rPr>
          <w:lang w:bidi="he-IL"/>
        </w:rPr>
        <w:t>privacy interest</w:t>
      </w:r>
      <w:r w:rsidR="00537739">
        <w:rPr>
          <w:lang w:bidi="he-IL"/>
        </w:rPr>
        <w:t xml:space="preserve"> and merits some analysis</w:t>
      </w:r>
      <w:r w:rsidR="00DF6E64">
        <w:rPr>
          <w:lang w:bidi="he-IL"/>
        </w:rPr>
        <w:t>,</w:t>
      </w:r>
      <w:bookmarkStart w:id="35" w:name="_Hlk73868563"/>
      <w:r w:rsidR="002346F6">
        <w:rPr>
          <w:lang w:bidi="he-IL"/>
        </w:rPr>
        <w:t xml:space="preserve"> </w:t>
      </w:r>
      <w:r w:rsidR="007A3195">
        <w:rPr>
          <w:lang w:bidi="he-IL"/>
        </w:rPr>
        <w:t xml:space="preserve">especially given that its </w:t>
      </w:r>
      <w:r w:rsidR="007A3195" w:rsidRPr="003061DB">
        <w:rPr>
          <w:lang w:bidi="he-IL"/>
        </w:rPr>
        <w:t>awards</w:t>
      </w:r>
      <w:r w:rsidR="007A3195">
        <w:rPr>
          <w:lang w:bidi="he-IL"/>
        </w:rPr>
        <w:t xml:space="preserve"> are significantly higher</w:t>
      </w:r>
      <w:r w:rsidR="00903695">
        <w:rPr>
          <w:lang w:bidi="he-IL"/>
        </w:rPr>
        <w:t xml:space="preserve"> than </w:t>
      </w:r>
      <w:r w:rsidR="00903695">
        <w:rPr>
          <w:lang w:bidi="he-IL"/>
        </w:rPr>
        <w:lastRenderedPageBreak/>
        <w:t xml:space="preserve">awards under </w:t>
      </w:r>
      <w:r w:rsidR="00903695" w:rsidRPr="004D1173">
        <w:rPr>
          <w:i/>
          <w:iCs/>
          <w:lang w:bidi="he-IL"/>
        </w:rPr>
        <w:t>PI</w:t>
      </w:r>
      <w:r w:rsidR="00D7287E" w:rsidRPr="004D1173">
        <w:rPr>
          <w:i/>
          <w:iCs/>
          <w:lang w:bidi="he-IL"/>
        </w:rPr>
        <w:t>P</w:t>
      </w:r>
      <w:r w:rsidR="00903695" w:rsidRPr="004D1173">
        <w:rPr>
          <w:i/>
          <w:iCs/>
          <w:lang w:bidi="he-IL"/>
        </w:rPr>
        <w:t>EDA</w:t>
      </w:r>
      <w:r w:rsidR="007A3195">
        <w:rPr>
          <w:lang w:bidi="he-IL"/>
        </w:rPr>
        <w:t xml:space="preserve">. </w:t>
      </w:r>
      <w:r w:rsidR="00EA2534">
        <w:rPr>
          <w:lang w:bidi="he-IL"/>
        </w:rPr>
        <w:t xml:space="preserve">The dignitary foundation </w:t>
      </w:r>
      <w:r w:rsidR="00903695">
        <w:rPr>
          <w:lang w:bidi="he-IL"/>
        </w:rPr>
        <w:t xml:space="preserve">that defamation shares with </w:t>
      </w:r>
      <w:r w:rsidR="00EA2534" w:rsidRPr="004D1173">
        <w:rPr>
          <w:i/>
          <w:iCs/>
          <w:lang w:bidi="he-IL"/>
        </w:rPr>
        <w:t xml:space="preserve">PIPEDA </w:t>
      </w:r>
      <w:r w:rsidR="00EA2534">
        <w:rPr>
          <w:lang w:bidi="he-IL"/>
        </w:rPr>
        <w:t xml:space="preserve">offers another </w:t>
      </w:r>
      <w:r w:rsidR="00F00A25">
        <w:rPr>
          <w:lang w:bidi="he-IL"/>
        </w:rPr>
        <w:t>argument</w:t>
      </w:r>
      <w:r w:rsidR="00EC50FC">
        <w:rPr>
          <w:lang w:bidi="he-IL"/>
        </w:rPr>
        <w:t xml:space="preserve"> </w:t>
      </w:r>
      <w:r w:rsidR="00EA2534">
        <w:rPr>
          <w:lang w:bidi="he-IL"/>
        </w:rPr>
        <w:t>why</w:t>
      </w:r>
      <w:r w:rsidR="00EC50FC">
        <w:rPr>
          <w:lang w:bidi="he-IL"/>
        </w:rPr>
        <w:t xml:space="preserve"> higher awards under </w:t>
      </w:r>
      <w:r w:rsidR="00EC50FC" w:rsidRPr="004D1173">
        <w:rPr>
          <w:i/>
          <w:iCs/>
          <w:lang w:bidi="he-IL"/>
        </w:rPr>
        <w:t>PIPEDA</w:t>
      </w:r>
      <w:r w:rsidR="00EC50FC">
        <w:rPr>
          <w:lang w:bidi="he-IL"/>
        </w:rPr>
        <w:t xml:space="preserve"> </w:t>
      </w:r>
      <w:r w:rsidR="00EA2534">
        <w:rPr>
          <w:lang w:bidi="he-IL"/>
        </w:rPr>
        <w:t>are warranted</w:t>
      </w:r>
      <w:r w:rsidR="00825473">
        <w:rPr>
          <w:lang w:bidi="he-IL"/>
        </w:rPr>
        <w:t>.</w:t>
      </w:r>
      <w:r w:rsidR="0019084D">
        <w:rPr>
          <w:lang w:bidi="he-IL"/>
        </w:rPr>
        <w:t xml:space="preserve"> </w:t>
      </w:r>
    </w:p>
    <w:p w14:paraId="192623D3" w14:textId="77777777" w:rsidR="00384DC2" w:rsidRDefault="00BF173A" w:rsidP="00324768">
      <w:pPr>
        <w:ind w:firstLine="720"/>
        <w:rPr>
          <w:lang w:bidi="he-IL"/>
        </w:rPr>
      </w:pPr>
      <w:r>
        <w:rPr>
          <w:lang w:bidi="he-IL"/>
        </w:rPr>
        <w:t xml:space="preserve">One traditional </w:t>
      </w:r>
      <w:r w:rsidR="004713BE">
        <w:rPr>
          <w:lang w:bidi="he-IL"/>
        </w:rPr>
        <w:t>(English)</w:t>
      </w:r>
      <w:r w:rsidR="008E3060">
        <w:rPr>
          <w:rStyle w:val="FootnoteReference"/>
          <w:lang w:bidi="he-IL"/>
        </w:rPr>
        <w:footnoteReference w:id="182"/>
      </w:r>
      <w:r w:rsidR="004713BE">
        <w:rPr>
          <w:lang w:bidi="he-IL"/>
        </w:rPr>
        <w:t xml:space="preserve"> </w:t>
      </w:r>
      <w:r>
        <w:rPr>
          <w:lang w:bidi="he-IL"/>
        </w:rPr>
        <w:t>explanation for the</w:t>
      </w:r>
      <w:r w:rsidR="008D4C79">
        <w:rPr>
          <w:lang w:bidi="he-IL"/>
        </w:rPr>
        <w:t xml:space="preserve"> differen</w:t>
      </w:r>
      <w:r>
        <w:rPr>
          <w:lang w:bidi="he-IL"/>
        </w:rPr>
        <w:t xml:space="preserve">ce in quantum </w:t>
      </w:r>
      <w:r w:rsidR="00F00A25">
        <w:rPr>
          <w:lang w:bidi="he-IL"/>
        </w:rPr>
        <w:t>between defamation and invasion of privacy claims</w:t>
      </w:r>
      <w:r w:rsidR="00AC66D5">
        <w:rPr>
          <w:lang w:bidi="he-IL"/>
        </w:rPr>
        <w:t xml:space="preserve"> </w:t>
      </w:r>
      <w:r w:rsidR="0093421A">
        <w:rPr>
          <w:lang w:bidi="he-IL"/>
        </w:rPr>
        <w:t>(</w:t>
      </w:r>
      <w:r w:rsidR="00AC66D5">
        <w:rPr>
          <w:lang w:bidi="he-IL"/>
        </w:rPr>
        <w:t xml:space="preserve">traditionally pursued </w:t>
      </w:r>
      <w:r w:rsidR="00EA2534">
        <w:rPr>
          <w:lang w:bidi="he-IL"/>
        </w:rPr>
        <w:t xml:space="preserve">in England </w:t>
      </w:r>
      <w:r w:rsidR="00AC66D5">
        <w:rPr>
          <w:lang w:bidi="he-IL"/>
        </w:rPr>
        <w:t>via the breach of confidence action</w:t>
      </w:r>
      <w:r w:rsidR="0093421A">
        <w:rPr>
          <w:lang w:bidi="he-IL"/>
        </w:rPr>
        <w:t>),</w:t>
      </w:r>
      <w:r w:rsidR="00180F38">
        <w:rPr>
          <w:rStyle w:val="FootnoteReference"/>
          <w:lang w:bidi="he-IL"/>
        </w:rPr>
        <w:footnoteReference w:id="183"/>
      </w:r>
      <w:r w:rsidR="00F00A25">
        <w:rPr>
          <w:lang w:bidi="he-IL"/>
        </w:rPr>
        <w:t xml:space="preserve"> </w:t>
      </w:r>
      <w:r>
        <w:rPr>
          <w:lang w:bidi="he-IL"/>
        </w:rPr>
        <w:t>has been the failure of damages for invasion of privacy to compensate for the loss of privacy.</w:t>
      </w:r>
      <w:r w:rsidR="001A7291">
        <w:rPr>
          <w:rStyle w:val="FootnoteReference"/>
          <w:lang w:bidi="he-IL"/>
        </w:rPr>
        <w:footnoteReference w:id="184"/>
      </w:r>
      <w:r>
        <w:rPr>
          <w:lang w:bidi="he-IL"/>
        </w:rPr>
        <w:t xml:space="preserve"> There was no sense, according to this line of thought, in awarding high quantum when in principle the loss of privacy was irremediable.</w:t>
      </w:r>
      <w:r w:rsidR="001A7291">
        <w:rPr>
          <w:rStyle w:val="FootnoteReference"/>
          <w:lang w:bidi="he-IL"/>
        </w:rPr>
        <w:footnoteReference w:id="185"/>
      </w:r>
      <w:r>
        <w:rPr>
          <w:lang w:bidi="he-IL"/>
        </w:rPr>
        <w:t xml:space="preserve"> This is an odd argument, considering that it could be applied to almost every instance of monetary compensation for loss or injury (such as the loss of a limb or bodily function). Nevertheless, reputation was considered, in contrast with privacy, to be remediable. It was possible to rebuild one’s reputation, providing that sufficient monetary compensation was provided.</w:t>
      </w:r>
      <w:r w:rsidR="00AC65DB">
        <w:rPr>
          <w:rStyle w:val="FootnoteReference"/>
          <w:lang w:bidi="he-IL"/>
        </w:rPr>
        <w:footnoteReference w:id="186"/>
      </w:r>
      <w:r>
        <w:rPr>
          <w:lang w:bidi="he-IL"/>
        </w:rPr>
        <w:t xml:space="preserve"> Entangled in this compensatory function was a symbolic, vindicatory one</w:t>
      </w:r>
      <w:r w:rsidR="004713BE">
        <w:rPr>
          <w:lang w:bidi="he-IL"/>
        </w:rPr>
        <w:t>. A significant monetary amount symbolized the importance of reputation, vindicated the unjust harm suffered to a reputation by defamation, and restored reputation consequently to its original, pre-harm state.</w:t>
      </w:r>
      <w:r w:rsidR="00AC65DB">
        <w:rPr>
          <w:rStyle w:val="FootnoteReference"/>
          <w:lang w:bidi="he-IL"/>
        </w:rPr>
        <w:footnoteReference w:id="187"/>
      </w:r>
      <w:r w:rsidR="004713BE">
        <w:rPr>
          <w:lang w:bidi="he-IL"/>
        </w:rPr>
        <w:t xml:space="preserve"> </w:t>
      </w:r>
    </w:p>
    <w:p w14:paraId="7BA01730" w14:textId="1C057A00" w:rsidR="00AC65DB" w:rsidRDefault="004713BE" w:rsidP="00324768">
      <w:pPr>
        <w:ind w:firstLine="720"/>
        <w:rPr>
          <w:lang w:bidi="he-IL"/>
        </w:rPr>
      </w:pPr>
      <w:r>
        <w:rPr>
          <w:lang w:bidi="he-IL"/>
        </w:rPr>
        <w:t>None of this was possible with privacy. Once invaded, it was lost, and no amount could r</w:t>
      </w:r>
      <w:r w:rsidR="00AC65DB">
        <w:rPr>
          <w:lang w:bidi="he-IL"/>
        </w:rPr>
        <w:t>estore it to its original state</w:t>
      </w:r>
      <w:r w:rsidR="0008331A">
        <w:rPr>
          <w:lang w:bidi="he-IL"/>
        </w:rPr>
        <w:t xml:space="preserve">. As the court stated in </w:t>
      </w:r>
      <w:r w:rsidR="0008331A" w:rsidRPr="00180F38">
        <w:rPr>
          <w:i/>
          <w:iCs/>
          <w:lang w:bidi="he-IL"/>
        </w:rPr>
        <w:t>Mosley</w:t>
      </w:r>
      <w:r w:rsidR="0008331A">
        <w:rPr>
          <w:lang w:bidi="he-IL"/>
        </w:rPr>
        <w:t>:</w:t>
      </w:r>
      <w:r w:rsidR="00AC65DB">
        <w:rPr>
          <w:lang w:bidi="he-IL"/>
        </w:rPr>
        <w:t xml:space="preserve"> “</w:t>
      </w:r>
      <w:r w:rsidR="00AC65DB" w:rsidRPr="00AC65DB">
        <w:rPr>
          <w:lang w:bidi="he-IL"/>
        </w:rPr>
        <w:t>Judges cannot achieve what is, in the nature of things, impossible.</w:t>
      </w:r>
      <w:r w:rsidR="00AC65DB">
        <w:rPr>
          <w:lang w:bidi="he-IL"/>
        </w:rPr>
        <w:t>”</w:t>
      </w:r>
      <w:r w:rsidR="00AC65DB">
        <w:rPr>
          <w:rStyle w:val="FootnoteReference"/>
          <w:lang w:bidi="he-IL"/>
        </w:rPr>
        <w:footnoteReference w:id="188"/>
      </w:r>
      <w:r w:rsidR="00EA2534">
        <w:rPr>
          <w:lang w:bidi="he-IL"/>
        </w:rPr>
        <w:t xml:space="preserve"> </w:t>
      </w:r>
      <w:r w:rsidR="007F5819">
        <w:rPr>
          <w:lang w:bidi="he-IL"/>
        </w:rPr>
        <w:t>T</w:t>
      </w:r>
      <w:r>
        <w:rPr>
          <w:lang w:bidi="he-IL"/>
        </w:rPr>
        <w:t xml:space="preserve">his </w:t>
      </w:r>
      <w:r w:rsidR="00C73073">
        <w:rPr>
          <w:lang w:bidi="he-IL"/>
        </w:rPr>
        <w:t xml:space="preserve">judicial </w:t>
      </w:r>
      <w:r>
        <w:rPr>
          <w:lang w:bidi="he-IL"/>
        </w:rPr>
        <w:t>characterization of reputation is increasingly inaccurate, and probably never was accurate to begin with.</w:t>
      </w:r>
      <w:bookmarkStart w:id="36" w:name="_Ref77418046"/>
      <w:r w:rsidR="00D7300A">
        <w:rPr>
          <w:rStyle w:val="FootnoteReference"/>
          <w:lang w:bidi="he-IL"/>
        </w:rPr>
        <w:footnoteReference w:id="189"/>
      </w:r>
      <w:bookmarkEnd w:id="36"/>
      <w:r>
        <w:rPr>
          <w:lang w:bidi="he-IL"/>
        </w:rPr>
        <w:t xml:space="preserve"> Reputation, too, </w:t>
      </w:r>
      <w:r w:rsidR="00C73073">
        <w:rPr>
          <w:lang w:bidi="he-IL"/>
        </w:rPr>
        <w:t xml:space="preserve">risks being </w:t>
      </w:r>
      <w:r>
        <w:rPr>
          <w:lang w:bidi="he-IL"/>
        </w:rPr>
        <w:t>irrevocably harmed.</w:t>
      </w:r>
      <w:r w:rsidR="00D7300A">
        <w:rPr>
          <w:rStyle w:val="FootnoteReference"/>
          <w:lang w:bidi="he-IL"/>
        </w:rPr>
        <w:footnoteReference w:id="190"/>
      </w:r>
      <w:r>
        <w:rPr>
          <w:lang w:bidi="he-IL"/>
        </w:rPr>
        <w:t xml:space="preserve"> In a digital </w:t>
      </w:r>
      <w:r w:rsidR="00AC65DB">
        <w:rPr>
          <w:lang w:bidi="he-IL"/>
        </w:rPr>
        <w:t>era,</w:t>
      </w:r>
      <w:r>
        <w:rPr>
          <w:lang w:bidi="he-IL"/>
        </w:rPr>
        <w:t xml:space="preserve"> it</w:t>
      </w:r>
      <w:r w:rsidR="007F5819">
        <w:rPr>
          <w:lang w:bidi="he-IL"/>
        </w:rPr>
        <w:t xml:space="preserve"> can be</w:t>
      </w:r>
      <w:r>
        <w:rPr>
          <w:lang w:bidi="he-IL"/>
        </w:rPr>
        <w:t xml:space="preserve"> impossible to undo the effects of a defamatory statement, just as it is impossible to restore privacy. </w:t>
      </w:r>
      <w:r w:rsidR="007F5819">
        <w:rPr>
          <w:lang w:bidi="he-IL"/>
        </w:rPr>
        <w:t xml:space="preserve">Damages can seek to make the plaintiff whole in relation to the interests of </w:t>
      </w:r>
      <w:r>
        <w:rPr>
          <w:lang w:bidi="he-IL"/>
        </w:rPr>
        <w:t>reputation and privacy</w:t>
      </w:r>
      <w:r w:rsidR="00324768">
        <w:rPr>
          <w:lang w:bidi="he-IL"/>
        </w:rPr>
        <w:t xml:space="preserve">, </w:t>
      </w:r>
      <w:r w:rsidR="007F5819">
        <w:rPr>
          <w:lang w:bidi="he-IL"/>
        </w:rPr>
        <w:t xml:space="preserve">but monetary recognition of </w:t>
      </w:r>
      <w:r w:rsidR="00EA2534">
        <w:rPr>
          <w:lang w:bidi="he-IL"/>
        </w:rPr>
        <w:t xml:space="preserve">the </w:t>
      </w:r>
      <w:r>
        <w:rPr>
          <w:lang w:bidi="he-IL"/>
        </w:rPr>
        <w:t>dignity</w:t>
      </w:r>
      <w:r w:rsidR="007F5819">
        <w:rPr>
          <w:lang w:bidi="he-IL"/>
        </w:rPr>
        <w:t xml:space="preserve"> interest itself is also crucial. </w:t>
      </w:r>
    </w:p>
    <w:p w14:paraId="4D8DEE16" w14:textId="0480BA39" w:rsidR="007A3195" w:rsidRDefault="007A3195">
      <w:pPr>
        <w:ind w:firstLine="720"/>
      </w:pPr>
      <w:r>
        <w:rPr>
          <w:lang w:bidi="he-IL"/>
        </w:rPr>
        <w:t>There is perhaps no clearer authority for the link between defamation</w:t>
      </w:r>
      <w:r w:rsidR="00AC65DB">
        <w:rPr>
          <w:lang w:bidi="he-IL"/>
        </w:rPr>
        <w:t>,</w:t>
      </w:r>
      <w:r>
        <w:rPr>
          <w:lang w:bidi="he-IL"/>
        </w:rPr>
        <w:t xml:space="preserve"> privacy </w:t>
      </w:r>
      <w:r w:rsidR="00AC65DB">
        <w:rPr>
          <w:lang w:bidi="he-IL"/>
        </w:rPr>
        <w:t xml:space="preserve">and dignity </w:t>
      </w:r>
      <w:r>
        <w:rPr>
          <w:lang w:bidi="he-IL"/>
        </w:rPr>
        <w:t xml:space="preserve">than </w:t>
      </w:r>
      <w:r w:rsidRPr="003363A4">
        <w:rPr>
          <w:i/>
          <w:iCs/>
        </w:rPr>
        <w:t>Hill v Church of Scientology of Toronto</w:t>
      </w:r>
      <w:r>
        <w:t>.</w:t>
      </w:r>
      <w:r>
        <w:rPr>
          <w:rStyle w:val="FootnoteReference"/>
        </w:rPr>
        <w:footnoteReference w:id="191"/>
      </w:r>
      <w:r w:rsidRPr="003363A4">
        <w:t xml:space="preserve"> </w:t>
      </w:r>
      <w:r w:rsidRPr="009E3C53">
        <w:t>Cory</w:t>
      </w:r>
      <w:r>
        <w:t xml:space="preserve"> J, writing for the majority, explained first that reputation protects and reflects dignity:</w:t>
      </w:r>
    </w:p>
    <w:p w14:paraId="58F3A4D2" w14:textId="77777777" w:rsidR="007A3195" w:rsidRDefault="007A3195" w:rsidP="007A3195">
      <w:pPr>
        <w:ind w:left="720"/>
      </w:pPr>
      <w:r>
        <w:t>…</w:t>
      </w:r>
      <w:r w:rsidRPr="0047789B">
        <w:t xml:space="preserve"> the good reputation of the individual represents and reflects the innate dignity of the individual, a concept which underlies all the </w:t>
      </w:r>
      <w:r w:rsidRPr="00D753C4">
        <w:rPr>
          <w:i/>
          <w:iCs/>
        </w:rPr>
        <w:t>Charter</w:t>
      </w:r>
      <w:r w:rsidRPr="0047789B">
        <w:t xml:space="preserve"> rights. It follows that </w:t>
      </w:r>
      <w:r w:rsidRPr="0047789B">
        <w:lastRenderedPageBreak/>
        <w:t>the protection of the good reputation of an individual is of fundamental importance to our democratic society.</w:t>
      </w:r>
      <w:r>
        <w:rPr>
          <w:rStyle w:val="FootnoteReference"/>
        </w:rPr>
        <w:footnoteReference w:id="192"/>
      </w:r>
    </w:p>
    <w:p w14:paraId="1606FC89" w14:textId="7B062224" w:rsidR="007A3195" w:rsidRDefault="007A3195" w:rsidP="007A3195">
      <w:r>
        <w:t>Cory J went on to directly describe the link between reputation and privacy:</w:t>
      </w:r>
    </w:p>
    <w:p w14:paraId="2512CAFE" w14:textId="103BF945" w:rsidR="007A3195" w:rsidRPr="0047789B" w:rsidRDefault="007A3195" w:rsidP="007A3195">
      <w:pPr>
        <w:ind w:left="720"/>
      </w:pPr>
      <w:r w:rsidRPr="0047789B">
        <w:t xml:space="preserve">Further, reputation is intimately related to the right to privacy which has been accorded constitutional protection. As La Forest J. wrote in R. v. </w:t>
      </w:r>
      <w:proofErr w:type="spellStart"/>
      <w:r w:rsidRPr="0047789B">
        <w:t>Dyment</w:t>
      </w:r>
      <w:proofErr w:type="spellEnd"/>
      <w:r w:rsidRPr="0047789B">
        <w:t>, </w:t>
      </w:r>
      <w:r w:rsidRPr="00EA2534">
        <w:t>[1988] 2 S.C.R. 417</w:t>
      </w:r>
      <w:r w:rsidRPr="0047789B">
        <w:t xml:space="preserve">, at p. 427, privacy, including informational privacy, is "[g]rounded in man's physical and moral autonomy" and "is essential for the well-being of the individual". </w:t>
      </w:r>
      <w:r w:rsidRPr="009E3C53">
        <w:rPr>
          <w:b/>
          <w:bCs/>
        </w:rPr>
        <w:t>The publication of defamatory comments constitutes an invasion of the individual's personal privacy and is an affront to that person's dignity.</w:t>
      </w:r>
      <w:r w:rsidRPr="00F04531">
        <w:rPr>
          <w:rStyle w:val="FootnoteReference"/>
        </w:rPr>
        <w:footnoteReference w:id="193"/>
      </w:r>
      <w:r w:rsidRPr="0047789B">
        <w:t xml:space="preserve"> </w:t>
      </w:r>
    </w:p>
    <w:p w14:paraId="6E0AD296" w14:textId="6B15111A" w:rsidR="003F698E" w:rsidRDefault="007A3195">
      <w:pPr>
        <w:contextualSpacing/>
      </w:pPr>
      <w:r>
        <w:rPr>
          <w:i/>
          <w:iCs/>
        </w:rPr>
        <w:t>Hill</w:t>
      </w:r>
      <w:r>
        <w:t xml:space="preserve"> establishes therefore that reputation and privacy both protect dignity, and furthermore, that dignity is at the foundation of all </w:t>
      </w:r>
      <w:r w:rsidRPr="00D044BC">
        <w:rPr>
          <w:i/>
          <w:iCs/>
        </w:rPr>
        <w:t>Charter</w:t>
      </w:r>
      <w:r>
        <w:t xml:space="preserve"> rights.</w:t>
      </w:r>
      <w:r w:rsidR="00AE2D43">
        <w:rPr>
          <w:rStyle w:val="FootnoteReference"/>
        </w:rPr>
        <w:footnoteReference w:id="194"/>
      </w:r>
      <w:r>
        <w:t xml:space="preserve"> These are therefore immediately strong arguments why damages for defamation and for privacy harms should not only be of comparable range, but also that damages for both should be symbolic or vindicatory of the rights breached in each situation.</w:t>
      </w:r>
      <w:r w:rsidR="00FD3307">
        <w:rPr>
          <w:rStyle w:val="FootnoteReference"/>
        </w:rPr>
        <w:footnoteReference w:id="195"/>
      </w:r>
      <w:r w:rsidR="00757B0C">
        <w:t xml:space="preserve"> Indeed, in quite a few cases in which both torts were claimed</w:t>
      </w:r>
      <w:r w:rsidR="00AC66D5">
        <w:t>,</w:t>
      </w:r>
      <w:r w:rsidR="00757B0C">
        <w:t xml:space="preserve"> courts tended to focus on defamation and argue that it subsumed invasion of privacy arguments.</w:t>
      </w:r>
      <w:r w:rsidR="00757B0C">
        <w:rPr>
          <w:rStyle w:val="FootnoteReference"/>
        </w:rPr>
        <w:footnoteReference w:id="196"/>
      </w:r>
    </w:p>
    <w:p w14:paraId="4D7128C4" w14:textId="77777777" w:rsidR="00184324" w:rsidRDefault="00184324">
      <w:pPr>
        <w:contextualSpacing/>
      </w:pPr>
    </w:p>
    <w:p w14:paraId="326DF917" w14:textId="39A92366" w:rsidR="007A3195" w:rsidRDefault="007A3195" w:rsidP="0061057F">
      <w:pPr>
        <w:contextualSpacing/>
      </w:pPr>
      <w:r>
        <w:tab/>
      </w:r>
      <w:r w:rsidRPr="007A3195">
        <w:rPr>
          <w:i/>
          <w:iCs/>
        </w:rPr>
        <w:t>Hill</w:t>
      </w:r>
      <w:r>
        <w:t xml:space="preserve"> further established that d</w:t>
      </w:r>
      <w:r w:rsidRPr="007A3195">
        <w:t>efamation</w:t>
      </w:r>
      <w:r>
        <w:t xml:space="preserve"> is not subject to </w:t>
      </w:r>
      <w:r w:rsidR="00917132">
        <w:t xml:space="preserve">the cap on non-pecuniary losses related to physical damages established in </w:t>
      </w:r>
      <w:r w:rsidR="00917132" w:rsidRPr="00917132">
        <w:rPr>
          <w:i/>
          <w:iCs/>
        </w:rPr>
        <w:t>Andrews v Grand &amp; Toy</w:t>
      </w:r>
      <w:r>
        <w:t>.</w:t>
      </w:r>
      <w:r>
        <w:rPr>
          <w:rStyle w:val="FootnoteReference"/>
        </w:rPr>
        <w:footnoteReference w:id="197"/>
      </w:r>
      <w:r>
        <w:t xml:space="preserve"> </w:t>
      </w:r>
      <w:r w:rsidR="007873EE">
        <w:t>Among the reasons for declining to extend the cap to defama</w:t>
      </w:r>
      <w:r w:rsidR="002B4CB2">
        <w:t>tion</w:t>
      </w:r>
      <w:r w:rsidR="00825473">
        <w:t>,</w:t>
      </w:r>
      <w:r w:rsidR="002B4CB2">
        <w:t xml:space="preserve"> the </w:t>
      </w:r>
      <w:r w:rsidR="00D316C1">
        <w:rPr>
          <w:i/>
          <w:iCs/>
        </w:rPr>
        <w:t xml:space="preserve">Hill </w:t>
      </w:r>
      <w:r w:rsidR="002B4CB2">
        <w:t>court noted</w:t>
      </w:r>
      <w:r w:rsidR="007873EE">
        <w:t xml:space="preserve">: </w:t>
      </w:r>
      <w:r w:rsidR="002B4CB2">
        <w:t>“</w:t>
      </w:r>
      <w:r w:rsidR="007873EE">
        <w:t>I</w:t>
      </w:r>
      <w:r w:rsidR="007873EE" w:rsidRPr="007873EE">
        <w:t xml:space="preserve">n these cases, </w:t>
      </w:r>
      <w:r w:rsidR="007873EE" w:rsidRPr="007F5819">
        <w:rPr>
          <w:b/>
          <w:bCs/>
        </w:rPr>
        <w:t>special damages for pecuniary loss are rarely claimed and often exceedingly difficult to prove</w:t>
      </w:r>
      <w:r w:rsidR="007873EE" w:rsidRPr="007873EE">
        <w:t>. Rather, the whole basis for recovery for loss of reputation usually lies in the general damages award.</w:t>
      </w:r>
      <w:r w:rsidR="002B4CB2">
        <w:t>”</w:t>
      </w:r>
      <w:r w:rsidR="007873EE">
        <w:rPr>
          <w:rStyle w:val="FootnoteReference"/>
        </w:rPr>
        <w:footnoteReference w:id="198"/>
      </w:r>
      <w:r w:rsidR="007873EE" w:rsidRPr="007873EE">
        <w:t> </w:t>
      </w:r>
      <w:r w:rsidR="002B4CB2">
        <w:t xml:space="preserve">The court is speaking of libel cases, but the </w:t>
      </w:r>
      <w:r w:rsidR="002B4CB2" w:rsidRPr="00324768">
        <w:rPr>
          <w:i/>
          <w:iCs/>
        </w:rPr>
        <w:t>ratio</w:t>
      </w:r>
      <w:r w:rsidR="002B4CB2">
        <w:t xml:space="preserve"> easily and equally applies to invasion of privacy cases.</w:t>
      </w:r>
      <w:r w:rsidR="00FD3307">
        <w:rPr>
          <w:rStyle w:val="FootnoteReference"/>
        </w:rPr>
        <w:footnoteReference w:id="199"/>
      </w:r>
      <w:r w:rsidR="002B4CB2">
        <w:t xml:space="preserve"> </w:t>
      </w:r>
      <w:r w:rsidR="003E6483">
        <w:t xml:space="preserve">Of course, </w:t>
      </w:r>
      <w:r w:rsidR="000E43BE">
        <w:lastRenderedPageBreak/>
        <w:t xml:space="preserve">the harm at issue </w:t>
      </w:r>
      <w:r w:rsidR="00D7287E">
        <w:t>includes</w:t>
      </w:r>
      <w:r w:rsidR="003E6483">
        <w:t xml:space="preserve"> damage done to a person’s dignity, either to a person’s reputation, or through an invasion of privacy, </w:t>
      </w:r>
      <w:r w:rsidR="0051498F">
        <w:t xml:space="preserve">with there being </w:t>
      </w:r>
      <w:r w:rsidR="003E6483">
        <w:t>no requirement to prove actual damages, pecuniary or not.</w:t>
      </w:r>
      <w:r w:rsidR="00BE6D9B">
        <w:rPr>
          <w:rStyle w:val="FootnoteReference"/>
        </w:rPr>
        <w:footnoteReference w:id="200"/>
      </w:r>
      <w:r w:rsidR="003E6483">
        <w:t xml:space="preserve"> </w:t>
      </w:r>
      <w:r w:rsidR="002B4CB2">
        <w:t xml:space="preserve">Since privacy and reputation protect the same </w:t>
      </w:r>
      <w:r w:rsidR="001A2EAC">
        <w:t xml:space="preserve">foundational </w:t>
      </w:r>
      <w:r w:rsidR="002B4CB2">
        <w:t>interests</w:t>
      </w:r>
      <w:r w:rsidR="008B4650">
        <w:t>,</w:t>
      </w:r>
      <w:r w:rsidR="00295638">
        <w:rPr>
          <w:rStyle w:val="FootnoteReference"/>
        </w:rPr>
        <w:footnoteReference w:id="201"/>
      </w:r>
      <w:r w:rsidR="008B4650">
        <w:t xml:space="preserve"> </w:t>
      </w:r>
      <w:r w:rsidR="001A2EAC">
        <w:t xml:space="preserve">it would be </w:t>
      </w:r>
      <w:r w:rsidR="00D316C1">
        <w:t>suitably consistent for</w:t>
      </w:r>
      <w:r w:rsidR="00B774D1">
        <w:t xml:space="preserve"> </w:t>
      </w:r>
      <w:r w:rsidR="000E43BE" w:rsidRPr="00E64595">
        <w:rPr>
          <w:i/>
          <w:iCs/>
        </w:rPr>
        <w:t>PIPEDA</w:t>
      </w:r>
      <w:r w:rsidR="000E43BE">
        <w:t xml:space="preserve"> </w:t>
      </w:r>
      <w:r w:rsidR="00B774D1">
        <w:t xml:space="preserve">to follow defamation </w:t>
      </w:r>
      <w:r w:rsidR="0051498F">
        <w:t xml:space="preserve">law </w:t>
      </w:r>
      <w:r w:rsidR="00DF686D">
        <w:t xml:space="preserve">by </w:t>
      </w:r>
      <w:r w:rsidR="000E43BE" w:rsidRPr="00E64595">
        <w:t>continu</w:t>
      </w:r>
      <w:r w:rsidR="00DF686D">
        <w:t>ing</w:t>
      </w:r>
      <w:r w:rsidR="000E43BE">
        <w:t xml:space="preserve"> to</w:t>
      </w:r>
      <w:r w:rsidR="00B774D1">
        <w:t xml:space="preserve"> </w:t>
      </w:r>
      <w:r w:rsidR="00295638">
        <w:t>eschew</w:t>
      </w:r>
      <w:r w:rsidR="00B774D1">
        <w:t xml:space="preserve"> damage caps</w:t>
      </w:r>
      <w:r w:rsidR="00295638">
        <w:t xml:space="preserve"> as well as increasing quantum.</w:t>
      </w:r>
      <w:r w:rsidR="00C97C00">
        <w:rPr>
          <w:rStyle w:val="FootnoteReference"/>
        </w:rPr>
        <w:footnoteReference w:id="202"/>
      </w:r>
      <w:r w:rsidR="00DF686D">
        <w:t xml:space="preserve"> </w:t>
      </w:r>
    </w:p>
    <w:p w14:paraId="45A81661" w14:textId="56B1E6C2" w:rsidR="00BE6D9B" w:rsidRDefault="00BE6D9B">
      <w:pPr>
        <w:contextualSpacing/>
      </w:pPr>
    </w:p>
    <w:p w14:paraId="52FC05AC" w14:textId="77777777" w:rsidR="00B8699D" w:rsidRDefault="00BE6D9B" w:rsidP="00184324">
      <w:pPr>
        <w:contextualSpacing/>
        <w:rPr>
          <w:lang w:bidi="he-IL"/>
        </w:rPr>
      </w:pPr>
      <w:r>
        <w:tab/>
        <w:t>Interestingly, the new statutory tort established in Nova Scotia for cyber-bullying</w:t>
      </w:r>
      <w:r w:rsidR="00F92CA7">
        <w:t xml:space="preserve">, the </w:t>
      </w:r>
      <w:r w:rsidR="00F92CA7" w:rsidRPr="00D36D81">
        <w:rPr>
          <w:i/>
          <w:iCs/>
        </w:rPr>
        <w:t>Intimate Images and Cyber-protection Act</w:t>
      </w:r>
      <w:r w:rsidR="00F92CA7">
        <w:t>,</w:t>
      </w:r>
      <w:r w:rsidR="00F92CA7">
        <w:rPr>
          <w:rStyle w:val="FootnoteReference"/>
        </w:rPr>
        <w:footnoteReference w:id="203"/>
      </w:r>
      <w:r>
        <w:t xml:space="preserve"> appears to combine within it both d</w:t>
      </w:r>
      <w:r w:rsidR="00757B0C">
        <w:t>efamatory and privacy elements</w:t>
      </w:r>
      <w:r w:rsidR="00AC66D5">
        <w:t xml:space="preserve"> </w:t>
      </w:r>
      <w:r w:rsidR="00825473">
        <w:rPr>
          <w:lang w:bidi="he-IL"/>
        </w:rPr>
        <w:t>–</w:t>
      </w:r>
      <w:r w:rsidR="00AC66D5">
        <w:t xml:space="preserve"> yet</w:t>
      </w:r>
      <w:r w:rsidR="00757B0C">
        <w:t xml:space="preserve"> another indication of the closer links established between the two torts in this day and age.</w:t>
      </w:r>
      <w:r w:rsidR="004200E9">
        <w:t xml:space="preserve"> Damages under this Act were discussed in </w:t>
      </w:r>
      <w:proofErr w:type="spellStart"/>
      <w:r w:rsidR="00804E23" w:rsidRPr="007F5819">
        <w:rPr>
          <w:i/>
          <w:iCs/>
        </w:rPr>
        <w:t>Candelora</w:t>
      </w:r>
      <w:proofErr w:type="spellEnd"/>
      <w:r w:rsidR="00804E23" w:rsidRPr="007F5819">
        <w:rPr>
          <w:i/>
          <w:iCs/>
        </w:rPr>
        <w:t xml:space="preserve"> v </w:t>
      </w:r>
      <w:proofErr w:type="spellStart"/>
      <w:r w:rsidR="00804E23" w:rsidRPr="007F5819">
        <w:rPr>
          <w:i/>
          <w:iCs/>
        </w:rPr>
        <w:t>Feser</w:t>
      </w:r>
      <w:proofErr w:type="spellEnd"/>
      <w:r w:rsidR="00E63D0C">
        <w:rPr>
          <w:i/>
          <w:iCs/>
        </w:rPr>
        <w:t>.</w:t>
      </w:r>
      <w:bookmarkStart w:id="37" w:name="_Ref78210563"/>
      <w:r w:rsidR="00E63D0C">
        <w:rPr>
          <w:rStyle w:val="FootnoteReference"/>
          <w:i/>
          <w:iCs/>
        </w:rPr>
        <w:footnoteReference w:id="204"/>
      </w:r>
      <w:bookmarkEnd w:id="37"/>
      <w:r w:rsidR="00804E23">
        <w:t xml:space="preserve"> The court found that </w:t>
      </w:r>
      <w:proofErr w:type="spellStart"/>
      <w:r w:rsidR="00804E23">
        <w:t>Feser</w:t>
      </w:r>
      <w:proofErr w:type="spellEnd"/>
      <w:r w:rsidR="00804E23">
        <w:t xml:space="preserve"> engaged in a “campaign of cyber-bullying” against </w:t>
      </w:r>
      <w:proofErr w:type="spellStart"/>
      <w:r w:rsidR="00804E23">
        <w:t>Candelora</w:t>
      </w:r>
      <w:proofErr w:type="spellEnd"/>
      <w:r w:rsidR="00804E23">
        <w:t>, his ex-wife, in the form of “</w:t>
      </w:r>
      <w:r w:rsidR="00804E23" w:rsidRPr="00804E23">
        <w:t>venomous Facebook postings</w:t>
      </w:r>
      <w:r w:rsidR="007546CA">
        <w:t>.</w:t>
      </w:r>
      <w:r w:rsidR="00804E23">
        <w:t>”</w:t>
      </w:r>
      <w:r w:rsidR="00804E23">
        <w:rPr>
          <w:rStyle w:val="FootnoteReference"/>
        </w:rPr>
        <w:footnoteReference w:id="205"/>
      </w:r>
      <w:r w:rsidR="00804E23" w:rsidRPr="00804E23">
        <w:t xml:space="preserve"> </w:t>
      </w:r>
      <w:r w:rsidR="00F9273E">
        <w:t xml:space="preserve">The court found similarities between this conduct and the conduct in </w:t>
      </w:r>
      <w:proofErr w:type="spellStart"/>
      <w:r w:rsidR="00F9273E" w:rsidRPr="00AB7AFD">
        <w:rPr>
          <w:i/>
          <w:iCs/>
          <w:lang w:bidi="he-IL"/>
        </w:rPr>
        <w:t>Yenovkian</w:t>
      </w:r>
      <w:proofErr w:type="spellEnd"/>
      <w:r w:rsidR="00F9273E">
        <w:rPr>
          <w:i/>
          <w:iCs/>
          <w:lang w:bidi="he-IL"/>
        </w:rPr>
        <w:t>,</w:t>
      </w:r>
      <w:r w:rsidR="00F9273E">
        <w:rPr>
          <w:lang w:bidi="he-IL"/>
        </w:rPr>
        <w:t xml:space="preserve"> and specific similarity between the statutory remedy provided in the Act (which</w:t>
      </w:r>
      <w:r w:rsidR="0008777F">
        <w:t xml:space="preserve"> allows for “</w:t>
      </w:r>
      <w:r w:rsidR="0008777F" w:rsidRPr="0008777F">
        <w:t>general, special, aggravated or punitive damages</w:t>
      </w:r>
      <w:r w:rsidR="0008777F">
        <w:t>”</w:t>
      </w:r>
      <w:r w:rsidR="00F9273E">
        <w:t>)</w:t>
      </w:r>
      <w:r w:rsidR="0008777F">
        <w:rPr>
          <w:rStyle w:val="FootnoteReference"/>
        </w:rPr>
        <w:footnoteReference w:id="206"/>
      </w:r>
      <w:r w:rsidR="00F9273E">
        <w:t xml:space="preserve"> and the remedies of both defamation and privacy torts.</w:t>
      </w:r>
      <w:r w:rsidR="00F9273E">
        <w:rPr>
          <w:rStyle w:val="FootnoteReference"/>
        </w:rPr>
        <w:footnoteReference w:id="207"/>
      </w:r>
      <w:r w:rsidR="0098190F">
        <w:rPr>
          <w:rFonts w:hint="cs"/>
          <w:rtl/>
          <w:lang w:bidi="he-IL"/>
        </w:rPr>
        <w:t xml:space="preserve"> </w:t>
      </w:r>
      <w:r w:rsidR="0098190F">
        <w:rPr>
          <w:lang w:bidi="he-IL"/>
        </w:rPr>
        <w:t>Similar to both, the harm is found in the cyber-bullying itself, and proof of loss or injury (pecuniary, or not) is not required.</w:t>
      </w:r>
      <w:r w:rsidR="0098190F">
        <w:rPr>
          <w:rStyle w:val="FootnoteReference"/>
          <w:lang w:bidi="he-IL"/>
        </w:rPr>
        <w:footnoteReference w:id="208"/>
      </w:r>
      <w:r w:rsidR="0098190F">
        <w:rPr>
          <w:lang w:bidi="he-IL"/>
        </w:rPr>
        <w:t xml:space="preserve"> The court also noted that only the tort of intrusion upon seclusion is subject to a cap, while the other three privacy torts (and defamation) are not.</w:t>
      </w:r>
      <w:r w:rsidR="0098190F">
        <w:rPr>
          <w:rStyle w:val="FootnoteReference"/>
          <w:lang w:bidi="he-IL"/>
        </w:rPr>
        <w:footnoteReference w:id="209"/>
      </w:r>
      <w:r w:rsidR="0098190F">
        <w:rPr>
          <w:lang w:bidi="he-IL"/>
        </w:rPr>
        <w:t xml:space="preserve"> </w:t>
      </w:r>
    </w:p>
    <w:p w14:paraId="70D941D9" w14:textId="77777777" w:rsidR="00B8699D" w:rsidRDefault="00B8699D" w:rsidP="00075F15">
      <w:pPr>
        <w:ind w:firstLine="720"/>
        <w:contextualSpacing/>
        <w:rPr>
          <w:lang w:bidi="he-IL"/>
        </w:rPr>
      </w:pPr>
    </w:p>
    <w:p w14:paraId="1456ACBC" w14:textId="4BED7CCA" w:rsidR="00804E23" w:rsidRDefault="00C31912" w:rsidP="00075F15">
      <w:pPr>
        <w:ind w:firstLine="720"/>
        <w:contextualSpacing/>
        <w:rPr>
          <w:lang w:bidi="he-IL"/>
        </w:rPr>
      </w:pPr>
      <w:r>
        <w:rPr>
          <w:lang w:bidi="he-IL"/>
        </w:rPr>
        <w:t xml:space="preserve">Following a review of </w:t>
      </w:r>
      <w:r w:rsidR="0008331A">
        <w:rPr>
          <w:lang w:bidi="he-IL"/>
        </w:rPr>
        <w:t>quanta</w:t>
      </w:r>
      <w:r>
        <w:rPr>
          <w:lang w:bidi="he-IL"/>
        </w:rPr>
        <w:t xml:space="preserve"> case-law in both defamation and invasion of privacy, the court awarded </w:t>
      </w:r>
      <w:proofErr w:type="spellStart"/>
      <w:r>
        <w:rPr>
          <w:lang w:bidi="he-IL"/>
        </w:rPr>
        <w:t>Candelora</w:t>
      </w:r>
      <w:proofErr w:type="spellEnd"/>
      <w:r>
        <w:rPr>
          <w:lang w:bidi="he-IL"/>
        </w:rPr>
        <w:t xml:space="preserve"> $50,000 in general damages, $20,000 in aggravated damages, and $15,000 in punitive damages (for a total of $85,000.)</w:t>
      </w:r>
      <w:r>
        <w:rPr>
          <w:rStyle w:val="FootnoteReference"/>
          <w:lang w:bidi="he-IL"/>
        </w:rPr>
        <w:footnoteReference w:id="210"/>
      </w:r>
      <w:r>
        <w:rPr>
          <w:lang w:bidi="he-IL"/>
        </w:rPr>
        <w:t xml:space="preserve"> This relatively high quantum demonstrates the influence of the defamation analysis on privacy damages, and supports the argument that PIPEDA quanta should be increased.</w:t>
      </w:r>
    </w:p>
    <w:p w14:paraId="13654A11" w14:textId="77777777" w:rsidR="00D24326" w:rsidRDefault="00D24326" w:rsidP="00184324">
      <w:pPr>
        <w:contextualSpacing/>
        <w:rPr>
          <w:lang w:bidi="he-IL"/>
        </w:rPr>
      </w:pPr>
    </w:p>
    <w:p w14:paraId="39FD22BD" w14:textId="77777777" w:rsidR="00B934B5" w:rsidRDefault="00B934B5" w:rsidP="00184324">
      <w:pPr>
        <w:contextualSpacing/>
        <w:rPr>
          <w:lang w:bidi="he-IL"/>
        </w:rPr>
      </w:pPr>
    </w:p>
    <w:p w14:paraId="3A9B0E29" w14:textId="29BD1204" w:rsidR="00675290" w:rsidRPr="00AF61EA" w:rsidRDefault="00C051A3" w:rsidP="00130DE3">
      <w:pPr>
        <w:jc w:val="center"/>
        <w:rPr>
          <w:b/>
          <w:bCs/>
        </w:rPr>
      </w:pPr>
      <w:r>
        <w:rPr>
          <w:b/>
          <w:bCs/>
        </w:rPr>
        <w:t xml:space="preserve">Section </w:t>
      </w:r>
      <w:r w:rsidR="004360D8">
        <w:rPr>
          <w:b/>
          <w:bCs/>
        </w:rPr>
        <w:t>III</w:t>
      </w:r>
      <w:r w:rsidR="00130DE3">
        <w:rPr>
          <w:b/>
          <w:bCs/>
        </w:rPr>
        <w:t>:</w:t>
      </w:r>
      <w:r w:rsidR="004360D8">
        <w:rPr>
          <w:b/>
          <w:bCs/>
        </w:rPr>
        <w:t xml:space="preserve"> </w:t>
      </w:r>
      <w:r w:rsidR="00675290" w:rsidRPr="00AF61EA">
        <w:rPr>
          <w:b/>
          <w:bCs/>
        </w:rPr>
        <w:t xml:space="preserve">Brief Conclusion </w:t>
      </w:r>
      <w:r w:rsidR="009929FE">
        <w:rPr>
          <w:b/>
          <w:bCs/>
        </w:rPr>
        <w:t>to</w:t>
      </w:r>
      <w:r w:rsidR="00675290" w:rsidRPr="00AF61EA">
        <w:rPr>
          <w:b/>
          <w:bCs/>
        </w:rPr>
        <w:t xml:space="preserve"> Part </w:t>
      </w:r>
      <w:r w:rsidR="009929FE">
        <w:rPr>
          <w:b/>
          <w:bCs/>
        </w:rPr>
        <w:t>One</w:t>
      </w:r>
    </w:p>
    <w:p w14:paraId="3F63BC00" w14:textId="61ADFEE4" w:rsidR="00A97F99" w:rsidRPr="00675290" w:rsidRDefault="00FA6A8B" w:rsidP="00590E7C">
      <w:pPr>
        <w:ind w:firstLine="720"/>
        <w:contextualSpacing/>
        <w:rPr>
          <w:lang w:bidi="he-IL"/>
        </w:rPr>
      </w:pPr>
      <w:r>
        <w:lastRenderedPageBreak/>
        <w:t xml:space="preserve">Part One </w:t>
      </w:r>
      <w:r w:rsidR="00851CCB">
        <w:t xml:space="preserve">of this article </w:t>
      </w:r>
      <w:r w:rsidR="005F3EF5">
        <w:t xml:space="preserve">has </w:t>
      </w:r>
      <w:r w:rsidR="00064EDA">
        <w:t>argu</w:t>
      </w:r>
      <w:r w:rsidR="005F3EF5">
        <w:t xml:space="preserve">ed </w:t>
      </w:r>
      <w:r w:rsidR="00851CCB">
        <w:t>that</w:t>
      </w:r>
      <w:bookmarkEnd w:id="35"/>
      <w:r w:rsidR="005E66EC">
        <w:rPr>
          <w:lang w:bidi="he-IL"/>
        </w:rPr>
        <w:t xml:space="preserve"> </w:t>
      </w:r>
      <w:r w:rsidR="00537739">
        <w:rPr>
          <w:lang w:bidi="he-IL"/>
        </w:rPr>
        <w:t xml:space="preserve">privacy </w:t>
      </w:r>
      <w:r w:rsidR="00C17EAD">
        <w:rPr>
          <w:lang w:bidi="he-IL"/>
        </w:rPr>
        <w:t xml:space="preserve">under </w:t>
      </w:r>
      <w:r w:rsidR="003061DB" w:rsidRPr="003061DB">
        <w:rPr>
          <w:i/>
          <w:iCs/>
          <w:lang w:bidi="he-IL"/>
        </w:rPr>
        <w:t>PIPEDA</w:t>
      </w:r>
      <w:r w:rsidR="00537739">
        <w:rPr>
          <w:lang w:bidi="he-IL"/>
        </w:rPr>
        <w:t xml:space="preserve"> </w:t>
      </w:r>
      <w:r w:rsidR="005F3EF5">
        <w:rPr>
          <w:lang w:bidi="he-IL"/>
        </w:rPr>
        <w:t>(</w:t>
      </w:r>
      <w:r w:rsidR="00537739">
        <w:rPr>
          <w:lang w:bidi="he-IL"/>
        </w:rPr>
        <w:t xml:space="preserve">like </w:t>
      </w:r>
      <w:r w:rsidR="00A62969">
        <w:rPr>
          <w:lang w:bidi="he-IL"/>
        </w:rPr>
        <w:t>its</w:t>
      </w:r>
      <w:r w:rsidR="002346F6">
        <w:rPr>
          <w:lang w:bidi="he-IL"/>
        </w:rPr>
        <w:t xml:space="preserve"> </w:t>
      </w:r>
      <w:r w:rsidR="00537739">
        <w:rPr>
          <w:lang w:bidi="he-IL"/>
        </w:rPr>
        <w:t xml:space="preserve">common law </w:t>
      </w:r>
      <w:r w:rsidR="002346F6">
        <w:rPr>
          <w:lang w:bidi="he-IL"/>
        </w:rPr>
        <w:t xml:space="preserve">and provincial statutory </w:t>
      </w:r>
      <w:r w:rsidR="00537739">
        <w:rPr>
          <w:lang w:bidi="he-IL"/>
        </w:rPr>
        <w:t>counterparts</w:t>
      </w:r>
      <w:r w:rsidR="005F3EF5">
        <w:rPr>
          <w:lang w:bidi="he-IL"/>
        </w:rPr>
        <w:t>)</w:t>
      </w:r>
      <w:r w:rsidR="00537739">
        <w:rPr>
          <w:lang w:bidi="he-IL"/>
        </w:rPr>
        <w:t xml:space="preserve"> incorporate</w:t>
      </w:r>
      <w:r w:rsidR="00A62969">
        <w:rPr>
          <w:lang w:bidi="he-IL"/>
        </w:rPr>
        <w:t>s</w:t>
      </w:r>
      <w:r w:rsidR="00537739">
        <w:rPr>
          <w:lang w:bidi="he-IL"/>
        </w:rPr>
        <w:t xml:space="preserve"> a </w:t>
      </w:r>
      <w:r w:rsidR="009929FE">
        <w:rPr>
          <w:lang w:bidi="he-IL"/>
        </w:rPr>
        <w:t xml:space="preserve">constitutional interest, and on a related front, a </w:t>
      </w:r>
      <w:r w:rsidR="00537739">
        <w:rPr>
          <w:lang w:bidi="he-IL"/>
        </w:rPr>
        <w:t>dignit</w:t>
      </w:r>
      <w:r w:rsidR="009929FE">
        <w:rPr>
          <w:lang w:bidi="he-IL"/>
        </w:rPr>
        <w:t>ary one. These important interests</w:t>
      </w:r>
      <w:r w:rsidR="00537739">
        <w:rPr>
          <w:lang w:bidi="he-IL"/>
        </w:rPr>
        <w:t xml:space="preserve"> must be reflected in </w:t>
      </w:r>
      <w:r w:rsidR="003061DB" w:rsidRPr="003061DB">
        <w:rPr>
          <w:i/>
          <w:iCs/>
          <w:lang w:bidi="he-IL"/>
        </w:rPr>
        <w:t>PIPEDA</w:t>
      </w:r>
      <w:r w:rsidR="00537739">
        <w:rPr>
          <w:lang w:bidi="he-IL"/>
        </w:rPr>
        <w:t xml:space="preserve"> damage </w:t>
      </w:r>
      <w:r w:rsidR="003061DB" w:rsidRPr="003061DB">
        <w:rPr>
          <w:lang w:bidi="he-IL"/>
        </w:rPr>
        <w:t>awa</w:t>
      </w:r>
      <w:r w:rsidR="003061DB" w:rsidRPr="008A30A9">
        <w:rPr>
          <w:lang w:bidi="he-IL"/>
        </w:rPr>
        <w:t>rds</w:t>
      </w:r>
      <w:r w:rsidR="001B2465" w:rsidRPr="008A30A9">
        <w:rPr>
          <w:lang w:bidi="he-IL"/>
        </w:rPr>
        <w:t xml:space="preserve">, including an openness to enhanced </w:t>
      </w:r>
      <w:r w:rsidR="003061DB" w:rsidRPr="008A30A9">
        <w:rPr>
          <w:lang w:bidi="he-IL"/>
        </w:rPr>
        <w:t>awards</w:t>
      </w:r>
      <w:r w:rsidR="001B2465" w:rsidRPr="008A30A9">
        <w:rPr>
          <w:lang w:bidi="he-IL"/>
        </w:rPr>
        <w:t xml:space="preserve"> as seen in related areas of law such as defamation</w:t>
      </w:r>
      <w:r w:rsidR="00DC76A3" w:rsidRPr="008A30A9">
        <w:rPr>
          <w:lang w:bidi="he-IL"/>
        </w:rPr>
        <w:t xml:space="preserve"> and cyber-bullying </w:t>
      </w:r>
      <w:r w:rsidR="004013FE" w:rsidRPr="008A30A9">
        <w:rPr>
          <w:lang w:bidi="he-IL"/>
        </w:rPr>
        <w:t>(where there is no ceiling on damages)</w:t>
      </w:r>
      <w:r w:rsidR="005E66EC" w:rsidRPr="008A30A9">
        <w:rPr>
          <w:lang w:bidi="he-IL"/>
        </w:rPr>
        <w:t>, the privacy torts</w:t>
      </w:r>
      <w:r w:rsidR="00DC76A3" w:rsidRPr="008A30A9">
        <w:rPr>
          <w:lang w:bidi="he-IL"/>
        </w:rPr>
        <w:t xml:space="preserve"> of Appropriation of Name or Likeness, Public Disclosure of Private Facts and False Light (</w:t>
      </w:r>
      <w:r w:rsidR="005E66EC" w:rsidRPr="008A30A9">
        <w:rPr>
          <w:lang w:bidi="he-IL"/>
        </w:rPr>
        <w:t>to which a cap does not apply</w:t>
      </w:r>
      <w:r w:rsidR="00DC76A3" w:rsidRPr="008A30A9">
        <w:rPr>
          <w:lang w:bidi="he-IL"/>
        </w:rPr>
        <w:t>)</w:t>
      </w:r>
      <w:r w:rsidR="005E66EC" w:rsidRPr="008A30A9">
        <w:rPr>
          <w:lang w:bidi="he-IL"/>
        </w:rPr>
        <w:t xml:space="preserve">, </w:t>
      </w:r>
      <w:r w:rsidR="001B2465" w:rsidRPr="008A30A9">
        <w:rPr>
          <w:lang w:bidi="he-IL"/>
        </w:rPr>
        <w:t xml:space="preserve">and </w:t>
      </w:r>
      <w:r w:rsidR="00DC76A3" w:rsidRPr="008A30A9">
        <w:rPr>
          <w:lang w:bidi="he-IL"/>
        </w:rPr>
        <w:t>I</w:t>
      </w:r>
      <w:r w:rsidR="001B2465" w:rsidRPr="008A30A9">
        <w:rPr>
          <w:lang w:bidi="he-IL"/>
        </w:rPr>
        <w:t xml:space="preserve">ntrusion upon </w:t>
      </w:r>
      <w:r w:rsidR="00DC76A3" w:rsidRPr="008A30A9">
        <w:rPr>
          <w:lang w:bidi="he-IL"/>
        </w:rPr>
        <w:t>S</w:t>
      </w:r>
      <w:r w:rsidR="001B2465" w:rsidRPr="008A30A9">
        <w:rPr>
          <w:lang w:bidi="he-IL"/>
        </w:rPr>
        <w:t>eclusion</w:t>
      </w:r>
      <w:r w:rsidR="004013FE" w:rsidRPr="008A30A9">
        <w:rPr>
          <w:lang w:bidi="he-IL"/>
        </w:rPr>
        <w:t xml:space="preserve"> (where the </w:t>
      </w:r>
      <w:r w:rsidR="005E66EC" w:rsidRPr="008A30A9">
        <w:rPr>
          <w:lang w:bidi="he-IL"/>
        </w:rPr>
        <w:t>cap</w:t>
      </w:r>
      <w:r w:rsidR="004013FE" w:rsidRPr="008A30A9">
        <w:rPr>
          <w:lang w:bidi="he-IL"/>
        </w:rPr>
        <w:t xml:space="preserve">, while </w:t>
      </w:r>
      <w:r w:rsidR="00C9713B" w:rsidRPr="008A30A9">
        <w:rPr>
          <w:lang w:bidi="he-IL"/>
        </w:rPr>
        <w:t xml:space="preserve">arguably </w:t>
      </w:r>
      <w:r w:rsidR="004013FE" w:rsidRPr="008A30A9">
        <w:rPr>
          <w:lang w:bidi="he-IL"/>
        </w:rPr>
        <w:t xml:space="preserve">too low, at least exceeds the average </w:t>
      </w:r>
      <w:r w:rsidR="003061DB" w:rsidRPr="008A30A9">
        <w:rPr>
          <w:i/>
          <w:iCs/>
          <w:lang w:bidi="he-IL"/>
        </w:rPr>
        <w:t>PIPEDA</w:t>
      </w:r>
      <w:r w:rsidR="004013FE" w:rsidRPr="008A30A9">
        <w:rPr>
          <w:lang w:bidi="he-IL"/>
        </w:rPr>
        <w:t xml:space="preserve"> </w:t>
      </w:r>
      <w:r w:rsidR="003061DB" w:rsidRPr="008A30A9">
        <w:rPr>
          <w:lang w:bidi="he-IL"/>
        </w:rPr>
        <w:t>award</w:t>
      </w:r>
      <w:r w:rsidR="004013FE" w:rsidRPr="008A30A9">
        <w:rPr>
          <w:lang w:bidi="he-IL"/>
        </w:rPr>
        <w:t>)</w:t>
      </w:r>
      <w:r w:rsidR="00537739" w:rsidRPr="008A30A9">
        <w:rPr>
          <w:lang w:bidi="he-IL"/>
        </w:rPr>
        <w:t xml:space="preserve">. </w:t>
      </w:r>
      <w:r w:rsidR="004013FE" w:rsidRPr="008A30A9">
        <w:rPr>
          <w:lang w:bidi="he-IL"/>
        </w:rPr>
        <w:t>O</w:t>
      </w:r>
      <w:r w:rsidR="00C9713B" w:rsidRPr="008A30A9">
        <w:rPr>
          <w:lang w:bidi="he-IL"/>
        </w:rPr>
        <w:t>th</w:t>
      </w:r>
      <w:r w:rsidR="00C9713B">
        <w:rPr>
          <w:lang w:bidi="he-IL"/>
        </w:rPr>
        <w:t>erwise</w:t>
      </w:r>
      <w:r w:rsidR="004013FE">
        <w:rPr>
          <w:lang w:bidi="he-IL"/>
        </w:rPr>
        <w:t xml:space="preserve">, </w:t>
      </w:r>
      <w:r w:rsidR="00537739">
        <w:rPr>
          <w:lang w:bidi="he-IL"/>
        </w:rPr>
        <w:t xml:space="preserve">the remedy fails to advance an important policy aspect of </w:t>
      </w:r>
      <w:r w:rsidR="003061DB" w:rsidRPr="003061DB">
        <w:rPr>
          <w:i/>
          <w:iCs/>
          <w:lang w:bidi="he-IL"/>
        </w:rPr>
        <w:t>PIPEDA</w:t>
      </w:r>
      <w:r w:rsidR="00537739">
        <w:rPr>
          <w:lang w:bidi="he-IL"/>
        </w:rPr>
        <w:t xml:space="preserve"> thereby run</w:t>
      </w:r>
      <w:r w:rsidR="000C17A3">
        <w:rPr>
          <w:lang w:bidi="he-IL"/>
        </w:rPr>
        <w:t>ning</w:t>
      </w:r>
      <w:r w:rsidR="00D044BC">
        <w:rPr>
          <w:lang w:bidi="he-IL"/>
        </w:rPr>
        <w:t xml:space="preserve"> afoul of </w:t>
      </w:r>
      <w:r w:rsidR="00537739">
        <w:rPr>
          <w:lang w:bidi="he-IL"/>
        </w:rPr>
        <w:t xml:space="preserve">Justice Cromwell’s functional approach to </w:t>
      </w:r>
      <w:r w:rsidR="003061DB" w:rsidRPr="003061DB">
        <w:rPr>
          <w:lang w:bidi="he-IL"/>
        </w:rPr>
        <w:t>awarding</w:t>
      </w:r>
      <w:r w:rsidR="00537739">
        <w:rPr>
          <w:lang w:bidi="he-IL"/>
        </w:rPr>
        <w:t xml:space="preserve"> monetary damages</w:t>
      </w:r>
      <w:r w:rsidR="00D24326">
        <w:rPr>
          <w:lang w:bidi="he-IL"/>
        </w:rPr>
        <w:t xml:space="preserve">. </w:t>
      </w:r>
      <w:r w:rsidR="00886D0D">
        <w:rPr>
          <w:lang w:bidi="he-IL"/>
        </w:rPr>
        <w:t>In Part Two</w:t>
      </w:r>
      <w:r w:rsidR="009D3436">
        <w:rPr>
          <w:lang w:bidi="he-IL"/>
        </w:rPr>
        <w:t>,</w:t>
      </w:r>
      <w:r w:rsidR="00C17EAD">
        <w:rPr>
          <w:lang w:bidi="he-IL"/>
        </w:rPr>
        <w:t xml:space="preserve"> </w:t>
      </w:r>
      <w:r w:rsidR="004360D8" w:rsidRPr="00590E7C">
        <w:rPr>
          <w:lang w:bidi="he-IL"/>
        </w:rPr>
        <w:t>forthcoming in</w:t>
      </w:r>
      <w:r w:rsidR="00066166" w:rsidRPr="00590E7C">
        <w:rPr>
          <w:lang w:bidi="he-IL"/>
        </w:rPr>
        <w:t xml:space="preserve"> </w:t>
      </w:r>
      <w:r w:rsidR="00590E7C" w:rsidRPr="00590E7C">
        <w:rPr>
          <w:lang w:bidi="he-IL"/>
        </w:rPr>
        <w:t xml:space="preserve">the June </w:t>
      </w:r>
      <w:r w:rsidR="00B00624">
        <w:rPr>
          <w:lang w:bidi="he-IL"/>
        </w:rPr>
        <w:t xml:space="preserve">2022 </w:t>
      </w:r>
      <w:r w:rsidR="00590E7C" w:rsidRPr="00590E7C">
        <w:rPr>
          <w:lang w:bidi="he-IL"/>
        </w:rPr>
        <w:t>issue of The Advocates’ Quarterly</w:t>
      </w:r>
      <w:r w:rsidR="00C17EAD" w:rsidRPr="00590E7C">
        <w:rPr>
          <w:lang w:bidi="he-IL"/>
        </w:rPr>
        <w:t>,</w:t>
      </w:r>
      <w:r w:rsidR="00C17EAD">
        <w:rPr>
          <w:lang w:bidi="he-IL"/>
        </w:rPr>
        <w:t xml:space="preserve"> we apply the insights of </w:t>
      </w:r>
      <w:r w:rsidR="00C051A3">
        <w:rPr>
          <w:lang w:bidi="he-IL"/>
        </w:rPr>
        <w:t>Part</w:t>
      </w:r>
      <w:r w:rsidR="00C17EAD">
        <w:rPr>
          <w:lang w:bidi="he-IL"/>
        </w:rPr>
        <w:t xml:space="preserve"> One to </w:t>
      </w:r>
      <w:r w:rsidR="00C17EAD" w:rsidRPr="002F3D77">
        <w:rPr>
          <w:i/>
          <w:iCs/>
          <w:lang w:bidi="he-IL"/>
        </w:rPr>
        <w:t>PIPEDA</w:t>
      </w:r>
      <w:r w:rsidR="00C17EAD">
        <w:rPr>
          <w:lang w:bidi="he-IL"/>
        </w:rPr>
        <w:t xml:space="preserve"> case</w:t>
      </w:r>
      <w:r w:rsidR="00486D7A">
        <w:rPr>
          <w:lang w:bidi="he-IL"/>
        </w:rPr>
        <w:t xml:space="preserve"> </w:t>
      </w:r>
      <w:r w:rsidR="00C17EAD">
        <w:rPr>
          <w:lang w:bidi="he-IL"/>
        </w:rPr>
        <w:t>law</w:t>
      </w:r>
      <w:r w:rsidR="00FA4752">
        <w:rPr>
          <w:lang w:bidi="he-IL"/>
        </w:rPr>
        <w:t xml:space="preserve"> to support our call for increased damage awards. </w:t>
      </w:r>
    </w:p>
    <w:p w14:paraId="78B99736" w14:textId="53392B06" w:rsidR="00EF30C7" w:rsidRDefault="00EF30C7" w:rsidP="008A30A9">
      <w:pPr>
        <w:ind w:firstLine="720"/>
        <w:contextualSpacing/>
        <w:rPr>
          <w:b/>
          <w:bCs/>
          <w:lang w:bidi="he-IL"/>
        </w:rPr>
      </w:pPr>
    </w:p>
    <w:p w14:paraId="35E4BEDC" w14:textId="40CAB892" w:rsidR="00112207" w:rsidRDefault="00112207">
      <w:pPr>
        <w:rPr>
          <w:b/>
          <w:bCs/>
        </w:rPr>
      </w:pPr>
    </w:p>
    <w:p w14:paraId="4E6ADCE3" w14:textId="071E6FA5" w:rsidR="00112207" w:rsidRDefault="00112207" w:rsidP="00112207">
      <w:pPr>
        <w:ind w:firstLine="720"/>
        <w:contextualSpacing/>
        <w:jc w:val="center"/>
        <w:rPr>
          <w:b/>
          <w:bCs/>
        </w:rPr>
      </w:pPr>
      <w:r w:rsidRPr="00112207">
        <w:rPr>
          <w:b/>
          <w:bCs/>
        </w:rPr>
        <w:t>Table 1: Personal Information Protection Legislation in Canada</w:t>
      </w:r>
    </w:p>
    <w:p w14:paraId="35ADB75A" w14:textId="2DDB1986" w:rsidR="00112207" w:rsidRDefault="00112207" w:rsidP="00112207">
      <w:pPr>
        <w:ind w:firstLine="720"/>
        <w:contextualSpacing/>
        <w:jc w:val="center"/>
        <w:rPr>
          <w:b/>
          <w:bCs/>
        </w:rPr>
      </w:pPr>
    </w:p>
    <w:tbl>
      <w:tblPr>
        <w:tblStyle w:val="GridTable1Light"/>
        <w:tblW w:w="0" w:type="auto"/>
        <w:tblLook w:val="04A0" w:firstRow="1" w:lastRow="0" w:firstColumn="1" w:lastColumn="0" w:noHBand="0" w:noVBand="1"/>
      </w:tblPr>
      <w:tblGrid>
        <w:gridCol w:w="3116"/>
        <w:gridCol w:w="3117"/>
        <w:gridCol w:w="3117"/>
      </w:tblGrid>
      <w:tr w:rsidR="00112207" w:rsidRPr="00112207" w14:paraId="6963352F" w14:textId="77777777" w:rsidTr="008314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CB1900B" w14:textId="55F9EFC2" w:rsidR="00112207" w:rsidRPr="008314A1" w:rsidRDefault="000A2E4A" w:rsidP="00112207">
            <w:pPr>
              <w:contextualSpacing/>
              <w:jc w:val="center"/>
              <w:rPr>
                <w:rFonts w:asciiTheme="minorBidi" w:hAnsiTheme="minorBidi" w:cstheme="minorBidi"/>
                <w:lang w:bidi="he-IL"/>
              </w:rPr>
            </w:pPr>
            <w:r w:rsidRPr="008314A1">
              <w:rPr>
                <w:rFonts w:asciiTheme="minorBidi" w:hAnsiTheme="minorBidi" w:cstheme="minorBidi"/>
                <w:lang w:bidi="he-IL"/>
              </w:rPr>
              <w:t>Ti</w:t>
            </w:r>
            <w:r>
              <w:rPr>
                <w:rFonts w:asciiTheme="minorBidi" w:hAnsiTheme="minorBidi" w:cstheme="minorBidi"/>
                <w:lang w:bidi="he-IL"/>
              </w:rPr>
              <w:t>tle</w:t>
            </w:r>
          </w:p>
        </w:tc>
        <w:tc>
          <w:tcPr>
            <w:tcW w:w="3117" w:type="dxa"/>
          </w:tcPr>
          <w:p w14:paraId="22EFE0C5" w14:textId="22EA7048" w:rsidR="00112207" w:rsidRPr="008314A1" w:rsidRDefault="00112207" w:rsidP="00112207">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lang w:bidi="he-IL"/>
              </w:rPr>
            </w:pPr>
            <w:r w:rsidRPr="008314A1">
              <w:rPr>
                <w:rFonts w:asciiTheme="minorBidi" w:hAnsiTheme="minorBidi" w:cstheme="minorBidi"/>
                <w:lang w:bidi="he-IL"/>
              </w:rPr>
              <w:t>Jurisdiction</w:t>
            </w:r>
          </w:p>
        </w:tc>
        <w:tc>
          <w:tcPr>
            <w:tcW w:w="3117" w:type="dxa"/>
          </w:tcPr>
          <w:p w14:paraId="678EB92F" w14:textId="24C38185" w:rsidR="00112207" w:rsidRPr="008314A1" w:rsidRDefault="00112207" w:rsidP="00112207">
            <w:pPr>
              <w:contextualSpacing/>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lang w:bidi="he-IL"/>
              </w:rPr>
            </w:pPr>
            <w:r w:rsidRPr="008314A1">
              <w:rPr>
                <w:rFonts w:asciiTheme="minorBidi" w:hAnsiTheme="minorBidi" w:cstheme="minorBidi"/>
                <w:lang w:bidi="he-IL"/>
              </w:rPr>
              <w:t>Citation</w:t>
            </w:r>
          </w:p>
        </w:tc>
      </w:tr>
      <w:tr w:rsidR="00112207" w:rsidRPr="008314A1" w14:paraId="189BD70E" w14:textId="77777777" w:rsidTr="008314A1">
        <w:tc>
          <w:tcPr>
            <w:cnfStyle w:val="001000000000" w:firstRow="0" w:lastRow="0" w:firstColumn="1" w:lastColumn="0" w:oddVBand="0" w:evenVBand="0" w:oddHBand="0" w:evenHBand="0" w:firstRowFirstColumn="0" w:firstRowLastColumn="0" w:lastRowFirstColumn="0" w:lastRowLastColumn="0"/>
            <w:tcW w:w="3116" w:type="dxa"/>
          </w:tcPr>
          <w:p w14:paraId="1DFC489C" w14:textId="7CC6E889" w:rsidR="00112207" w:rsidRPr="008314A1" w:rsidRDefault="000A2E4A" w:rsidP="008314A1">
            <w:pPr>
              <w:contextualSpacing/>
              <w:jc w:val="center"/>
              <w:rPr>
                <w:rFonts w:asciiTheme="minorBidi" w:hAnsiTheme="minorBidi" w:cstheme="minorBidi"/>
                <w:b w:val="0"/>
                <w:bCs w:val="0"/>
                <w:lang w:bidi="he-IL"/>
              </w:rPr>
            </w:pPr>
            <w:r w:rsidRPr="000A2E4A">
              <w:rPr>
                <w:rFonts w:asciiTheme="minorBidi" w:hAnsiTheme="minorBidi" w:cstheme="minorBidi"/>
                <w:b w:val="0"/>
                <w:bCs w:val="0"/>
                <w:i/>
                <w:iCs/>
                <w:lang w:bidi="he-IL"/>
              </w:rPr>
              <w:t>Personal Information Protection Act</w:t>
            </w:r>
          </w:p>
        </w:tc>
        <w:tc>
          <w:tcPr>
            <w:tcW w:w="3117" w:type="dxa"/>
          </w:tcPr>
          <w:p w14:paraId="727A37CD" w14:textId="43191B87" w:rsidR="00112207" w:rsidRPr="008314A1" w:rsidRDefault="000A2E4A" w:rsidP="0011220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lang w:bidi="he-IL"/>
              </w:rPr>
            </w:pPr>
            <w:r w:rsidRPr="008314A1">
              <w:rPr>
                <w:rFonts w:asciiTheme="minorBidi" w:hAnsiTheme="minorBidi" w:cstheme="minorBidi"/>
                <w:lang w:bidi="he-IL"/>
              </w:rPr>
              <w:t>Alberta</w:t>
            </w:r>
          </w:p>
        </w:tc>
        <w:tc>
          <w:tcPr>
            <w:tcW w:w="3117" w:type="dxa"/>
          </w:tcPr>
          <w:p w14:paraId="55BB96FA" w14:textId="5841DA07" w:rsidR="00112207" w:rsidRPr="008314A1" w:rsidRDefault="000A2E4A" w:rsidP="0011220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lang w:bidi="he-IL"/>
              </w:rPr>
            </w:pPr>
            <w:r w:rsidRPr="000A2E4A">
              <w:rPr>
                <w:rFonts w:asciiTheme="minorBidi" w:hAnsiTheme="minorBidi" w:cstheme="minorBidi"/>
                <w:lang w:bidi="he-IL"/>
              </w:rPr>
              <w:t>SA 2003 cP-6.5</w:t>
            </w:r>
          </w:p>
        </w:tc>
      </w:tr>
      <w:tr w:rsidR="00112207" w:rsidRPr="008314A1" w14:paraId="4FAC3EFF" w14:textId="77777777" w:rsidTr="008314A1">
        <w:tc>
          <w:tcPr>
            <w:cnfStyle w:val="001000000000" w:firstRow="0" w:lastRow="0" w:firstColumn="1" w:lastColumn="0" w:oddVBand="0" w:evenVBand="0" w:oddHBand="0" w:evenHBand="0" w:firstRowFirstColumn="0" w:firstRowLastColumn="0" w:lastRowFirstColumn="0" w:lastRowLastColumn="0"/>
            <w:tcW w:w="3116" w:type="dxa"/>
          </w:tcPr>
          <w:p w14:paraId="2D95EC95" w14:textId="277E22A6" w:rsidR="00112207" w:rsidRPr="008314A1" w:rsidRDefault="000A2E4A" w:rsidP="00112207">
            <w:pPr>
              <w:contextualSpacing/>
              <w:jc w:val="center"/>
              <w:rPr>
                <w:rFonts w:asciiTheme="minorBidi" w:hAnsiTheme="minorBidi" w:cstheme="minorBidi"/>
                <w:b w:val="0"/>
                <w:bCs w:val="0"/>
                <w:lang w:bidi="he-IL"/>
              </w:rPr>
            </w:pPr>
            <w:r w:rsidRPr="000A2E4A">
              <w:rPr>
                <w:rFonts w:asciiTheme="minorBidi" w:hAnsiTheme="minorBidi" w:cstheme="minorBidi"/>
                <w:b w:val="0"/>
                <w:bCs w:val="0"/>
                <w:i/>
                <w:iCs/>
                <w:lang w:bidi="he-IL"/>
              </w:rPr>
              <w:t>Personal Information Protection Act</w:t>
            </w:r>
          </w:p>
        </w:tc>
        <w:tc>
          <w:tcPr>
            <w:tcW w:w="3117" w:type="dxa"/>
          </w:tcPr>
          <w:p w14:paraId="6BA1E851" w14:textId="694409A2" w:rsidR="00112207" w:rsidRPr="008314A1" w:rsidRDefault="000A2E4A" w:rsidP="0011220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lang w:bidi="he-IL"/>
              </w:rPr>
            </w:pPr>
            <w:r>
              <w:rPr>
                <w:rFonts w:asciiTheme="minorBidi" w:hAnsiTheme="minorBidi" w:cstheme="minorBidi"/>
                <w:lang w:bidi="he-IL"/>
              </w:rPr>
              <w:t>British Columbia</w:t>
            </w:r>
          </w:p>
        </w:tc>
        <w:tc>
          <w:tcPr>
            <w:tcW w:w="3117" w:type="dxa"/>
          </w:tcPr>
          <w:p w14:paraId="3D5A639C" w14:textId="3A0F2A44" w:rsidR="00112207" w:rsidRPr="008314A1" w:rsidRDefault="000A2E4A" w:rsidP="0011220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lang w:bidi="he-IL"/>
              </w:rPr>
            </w:pPr>
            <w:r w:rsidRPr="000A2E4A">
              <w:rPr>
                <w:rFonts w:asciiTheme="minorBidi" w:hAnsiTheme="minorBidi" w:cstheme="minorBidi"/>
                <w:lang w:bidi="he-IL"/>
              </w:rPr>
              <w:t>SBC 2003, c 63</w:t>
            </w:r>
          </w:p>
        </w:tc>
      </w:tr>
      <w:tr w:rsidR="00112207" w:rsidRPr="008314A1" w14:paraId="56CBDE11" w14:textId="77777777" w:rsidTr="008314A1">
        <w:tc>
          <w:tcPr>
            <w:cnfStyle w:val="001000000000" w:firstRow="0" w:lastRow="0" w:firstColumn="1" w:lastColumn="0" w:oddVBand="0" w:evenVBand="0" w:oddHBand="0" w:evenHBand="0" w:firstRowFirstColumn="0" w:firstRowLastColumn="0" w:lastRowFirstColumn="0" w:lastRowLastColumn="0"/>
            <w:tcW w:w="3116" w:type="dxa"/>
          </w:tcPr>
          <w:p w14:paraId="1DF9A8FC" w14:textId="014F074A" w:rsidR="00112207" w:rsidRPr="008314A1" w:rsidRDefault="000A2E4A" w:rsidP="00112207">
            <w:pPr>
              <w:contextualSpacing/>
              <w:jc w:val="center"/>
              <w:rPr>
                <w:rFonts w:asciiTheme="minorBidi" w:hAnsiTheme="minorBidi" w:cstheme="minorBidi"/>
                <w:b w:val="0"/>
                <w:lang w:bidi="he-IL"/>
              </w:rPr>
            </w:pPr>
            <w:r w:rsidRPr="008314A1">
              <w:rPr>
                <w:rFonts w:asciiTheme="minorBidi" w:hAnsiTheme="minorBidi" w:cstheme="minorBidi"/>
                <w:b w:val="0"/>
                <w:i/>
                <w:iCs/>
                <w:lang w:bidi="he-IL"/>
              </w:rPr>
              <w:t>An Act respecting the protection of personal information in the private sector</w:t>
            </w:r>
          </w:p>
        </w:tc>
        <w:tc>
          <w:tcPr>
            <w:tcW w:w="3117" w:type="dxa"/>
          </w:tcPr>
          <w:p w14:paraId="0DD4980D" w14:textId="542DAB68" w:rsidR="00112207" w:rsidRPr="008314A1" w:rsidRDefault="000A2E4A" w:rsidP="0011220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lang w:bidi="he-IL"/>
              </w:rPr>
            </w:pPr>
            <w:r w:rsidRPr="008314A1">
              <w:rPr>
                <w:rFonts w:asciiTheme="minorBidi" w:hAnsiTheme="minorBidi" w:cstheme="minorBidi"/>
                <w:lang w:bidi="he-IL"/>
              </w:rPr>
              <w:t>Quebec</w:t>
            </w:r>
          </w:p>
        </w:tc>
        <w:tc>
          <w:tcPr>
            <w:tcW w:w="3117" w:type="dxa"/>
          </w:tcPr>
          <w:p w14:paraId="2FD9EFA8" w14:textId="4FD96DE5" w:rsidR="00112207" w:rsidRPr="008314A1" w:rsidRDefault="000A2E4A" w:rsidP="0011220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lang w:bidi="he-IL"/>
              </w:rPr>
            </w:pPr>
            <w:r w:rsidRPr="000A2E4A">
              <w:rPr>
                <w:rFonts w:asciiTheme="minorBidi" w:hAnsiTheme="minorBidi" w:cstheme="minorBidi"/>
                <w:lang w:bidi="he-IL"/>
              </w:rPr>
              <w:t>CQLR cP-39.1</w:t>
            </w:r>
          </w:p>
        </w:tc>
      </w:tr>
      <w:tr w:rsidR="000A2E4A" w:rsidRPr="008314A1" w14:paraId="466D06B2" w14:textId="77777777" w:rsidTr="00112207">
        <w:tc>
          <w:tcPr>
            <w:cnfStyle w:val="001000000000" w:firstRow="0" w:lastRow="0" w:firstColumn="1" w:lastColumn="0" w:oddVBand="0" w:evenVBand="0" w:oddHBand="0" w:evenHBand="0" w:firstRowFirstColumn="0" w:firstRowLastColumn="0" w:lastRowFirstColumn="0" w:lastRowLastColumn="0"/>
            <w:tcW w:w="3116" w:type="dxa"/>
          </w:tcPr>
          <w:p w14:paraId="4D0DA0C1" w14:textId="67BD7766" w:rsidR="000A2E4A" w:rsidRPr="008314A1" w:rsidRDefault="000A2E4A" w:rsidP="008314A1">
            <w:pPr>
              <w:contextualSpacing/>
              <w:jc w:val="center"/>
              <w:rPr>
                <w:rFonts w:asciiTheme="minorBidi" w:hAnsiTheme="minorBidi" w:cstheme="minorBidi"/>
                <w:b w:val="0"/>
                <w:i/>
                <w:iCs/>
                <w:lang w:bidi="he-IL"/>
              </w:rPr>
            </w:pPr>
            <w:r w:rsidRPr="008314A1">
              <w:rPr>
                <w:b w:val="0"/>
                <w:i/>
                <w:iCs/>
              </w:rPr>
              <w:t>Personal Information Protection and Electronic Documents Act</w:t>
            </w:r>
          </w:p>
        </w:tc>
        <w:tc>
          <w:tcPr>
            <w:tcW w:w="3117" w:type="dxa"/>
          </w:tcPr>
          <w:p w14:paraId="1EDCF9A9" w14:textId="6F7CBE27" w:rsidR="000A2E4A" w:rsidRPr="008314A1" w:rsidRDefault="000A2E4A" w:rsidP="0011220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lang w:bidi="he-IL"/>
              </w:rPr>
            </w:pPr>
            <w:r>
              <w:rPr>
                <w:rFonts w:asciiTheme="minorBidi" w:hAnsiTheme="minorBidi" w:cstheme="minorBidi"/>
                <w:lang w:bidi="he-IL"/>
              </w:rPr>
              <w:t>Federal (all</w:t>
            </w:r>
            <w:r w:rsidR="0070668C">
              <w:rPr>
                <w:rFonts w:asciiTheme="minorBidi" w:hAnsiTheme="minorBidi" w:cstheme="minorBidi"/>
                <w:lang w:bidi="he-IL"/>
              </w:rPr>
              <w:t xml:space="preserve"> provinces not listed above)</w:t>
            </w:r>
          </w:p>
        </w:tc>
        <w:tc>
          <w:tcPr>
            <w:tcW w:w="3117" w:type="dxa"/>
          </w:tcPr>
          <w:p w14:paraId="1E62914D" w14:textId="78206881" w:rsidR="000A2E4A" w:rsidRPr="008314A1" w:rsidRDefault="000A2E4A" w:rsidP="00112207">
            <w:pPr>
              <w:contextualSpacing/>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lang w:bidi="he-IL"/>
              </w:rPr>
            </w:pPr>
            <w:r w:rsidRPr="008314A1">
              <w:t>SC 2000, c 5</w:t>
            </w:r>
          </w:p>
        </w:tc>
      </w:tr>
    </w:tbl>
    <w:p w14:paraId="496EEB8B" w14:textId="77777777" w:rsidR="00112207" w:rsidRPr="00112207" w:rsidRDefault="00112207" w:rsidP="00112207">
      <w:pPr>
        <w:ind w:firstLine="720"/>
        <w:contextualSpacing/>
        <w:jc w:val="center"/>
        <w:rPr>
          <w:b/>
          <w:bCs/>
          <w:lang w:bidi="he-IL"/>
        </w:rPr>
      </w:pPr>
    </w:p>
    <w:p w14:paraId="35D5C0A3" w14:textId="7C1A0E6C" w:rsidR="00AF61EA" w:rsidRPr="00590E7C" w:rsidRDefault="000C18E6" w:rsidP="00590E7C">
      <w:pPr>
        <w:rPr>
          <w:lang w:bidi="he-IL"/>
        </w:rPr>
      </w:pPr>
      <w:r>
        <w:rPr>
          <w:lang w:bidi="he-IL"/>
        </w:rPr>
        <w:t>[See next page for appendices]</w:t>
      </w:r>
    </w:p>
    <w:p w14:paraId="333D968D" w14:textId="24BEA73B" w:rsidR="005B4BFE" w:rsidRDefault="005B4BFE" w:rsidP="005B4BFE">
      <w:pPr>
        <w:ind w:firstLine="720"/>
      </w:pPr>
    </w:p>
    <w:p w14:paraId="507F2E1A" w14:textId="4D019840" w:rsidR="00D921A9" w:rsidRPr="00FF2575" w:rsidRDefault="00D921A9" w:rsidP="001E5720">
      <w:pPr>
        <w:ind w:firstLine="720"/>
        <w:jc w:val="center"/>
        <w:rPr>
          <w:b/>
          <w:bCs/>
        </w:rPr>
      </w:pPr>
      <w:r>
        <w:rPr>
          <w:rStyle w:val="Hyperlink"/>
        </w:rPr>
        <w:br w:type="page"/>
      </w:r>
      <w:r w:rsidRPr="00FF2575">
        <w:rPr>
          <w:b/>
        </w:rPr>
        <w:lastRenderedPageBreak/>
        <w:t xml:space="preserve">Appendix A:  Successful Applications for Damages under </w:t>
      </w:r>
      <w:r w:rsidR="003061DB" w:rsidRPr="003061DB">
        <w:rPr>
          <w:b/>
          <w:i/>
          <w:iCs/>
        </w:rPr>
        <w:t>PIPEDA</w:t>
      </w:r>
      <w:r w:rsidR="001E5720">
        <w:rPr>
          <w:b/>
        </w:rPr>
        <w:t xml:space="preserve"> in a Commercial Context</w:t>
      </w:r>
      <w:r w:rsidRPr="00FF2575">
        <w:rPr>
          <w:b/>
        </w:rPr>
        <w:t xml:space="preserve"> **</w:t>
      </w:r>
    </w:p>
    <w:p w14:paraId="3A188D90" w14:textId="77777777" w:rsidR="00D921A9" w:rsidRPr="00FF2575" w:rsidRDefault="00D921A9" w:rsidP="00890C36">
      <w:pPr>
        <w:jc w:val="center"/>
        <w:rPr>
          <w:b/>
          <w:bCs/>
        </w:rPr>
      </w:pPr>
      <w:bookmarkStart w:id="38" w:name="_Hlk70925794"/>
      <w:r w:rsidRPr="00FF2575">
        <w:rPr>
          <w:b/>
        </w:rPr>
        <w:t>(**as at May 2, 2021)</w:t>
      </w:r>
    </w:p>
    <w:bookmarkEnd w:id="38"/>
    <w:p w14:paraId="5AFB994A" w14:textId="4B290B9B" w:rsidR="00D921A9" w:rsidRPr="00B97791" w:rsidRDefault="00D921A9">
      <w:pPr>
        <w:rPr>
          <w:rFonts w:ascii="Times New Roman" w:hAnsi="Times New Roman" w:cs="Times New Roman"/>
          <w:b/>
          <w:bCs/>
        </w:rPr>
      </w:pPr>
    </w:p>
    <w:tbl>
      <w:tblPr>
        <w:tblStyle w:val="TableGrid"/>
        <w:tblW w:w="9634" w:type="dxa"/>
        <w:tblLook w:val="04A0" w:firstRow="1" w:lastRow="0" w:firstColumn="1" w:lastColumn="0" w:noHBand="0" w:noVBand="1"/>
      </w:tblPr>
      <w:tblGrid>
        <w:gridCol w:w="2155"/>
        <w:gridCol w:w="2340"/>
        <w:gridCol w:w="3240"/>
        <w:gridCol w:w="1899"/>
      </w:tblGrid>
      <w:tr w:rsidR="00D921A9" w14:paraId="6C96C242" w14:textId="77777777" w:rsidTr="00890C36">
        <w:trPr>
          <w:tblHeader/>
        </w:trPr>
        <w:tc>
          <w:tcPr>
            <w:tcW w:w="2155" w:type="dxa"/>
          </w:tcPr>
          <w:p w14:paraId="01348CC5" w14:textId="77777777" w:rsidR="00D921A9" w:rsidRPr="00374DE4" w:rsidRDefault="00D921A9" w:rsidP="00890C36">
            <w:pPr>
              <w:autoSpaceDE w:val="0"/>
              <w:autoSpaceDN w:val="0"/>
              <w:adjustRightInd w:val="0"/>
              <w:jc w:val="center"/>
              <w:rPr>
                <w:rFonts w:ascii="Times New Roman" w:hAnsi="Times New Roman" w:cs="Times New Roman"/>
                <w:b/>
                <w:bCs w:val="0"/>
                <w:smallCaps/>
                <w:color w:val="272627"/>
                <w:sz w:val="24"/>
                <w:szCs w:val="24"/>
              </w:rPr>
            </w:pPr>
          </w:p>
          <w:p w14:paraId="58090FB9" w14:textId="77777777" w:rsidR="00D921A9" w:rsidRPr="00374DE4" w:rsidRDefault="00D921A9" w:rsidP="00890C36">
            <w:pPr>
              <w:autoSpaceDE w:val="0"/>
              <w:autoSpaceDN w:val="0"/>
              <w:adjustRightInd w:val="0"/>
              <w:jc w:val="center"/>
              <w:rPr>
                <w:rFonts w:ascii="Times New Roman" w:hAnsi="Times New Roman" w:cs="Times New Roman"/>
                <w:b/>
                <w:bCs w:val="0"/>
                <w:smallCaps/>
                <w:color w:val="272627"/>
                <w:sz w:val="24"/>
                <w:szCs w:val="24"/>
              </w:rPr>
            </w:pPr>
            <w:r w:rsidRPr="00374DE4">
              <w:rPr>
                <w:rFonts w:ascii="Times New Roman" w:hAnsi="Times New Roman" w:cs="Times New Roman"/>
                <w:b/>
                <w:bCs w:val="0"/>
                <w:smallCaps/>
                <w:color w:val="272627"/>
                <w:sz w:val="24"/>
                <w:szCs w:val="24"/>
              </w:rPr>
              <w:t>Case</w:t>
            </w:r>
          </w:p>
          <w:p w14:paraId="6EAD01D9" w14:textId="77777777" w:rsidR="00D921A9" w:rsidRPr="00374DE4" w:rsidRDefault="00D921A9" w:rsidP="00890C36">
            <w:pPr>
              <w:autoSpaceDE w:val="0"/>
              <w:autoSpaceDN w:val="0"/>
              <w:adjustRightInd w:val="0"/>
              <w:jc w:val="center"/>
              <w:rPr>
                <w:rFonts w:ascii="Times New Roman" w:hAnsi="Times New Roman" w:cs="Times New Roman"/>
                <w:b/>
                <w:bCs w:val="0"/>
                <w:smallCaps/>
                <w:color w:val="272627"/>
                <w:sz w:val="24"/>
                <w:szCs w:val="24"/>
              </w:rPr>
            </w:pPr>
          </w:p>
        </w:tc>
        <w:tc>
          <w:tcPr>
            <w:tcW w:w="2340" w:type="dxa"/>
          </w:tcPr>
          <w:p w14:paraId="7E2CDEBC" w14:textId="77777777" w:rsidR="00D921A9" w:rsidRPr="00374DE4" w:rsidRDefault="00D921A9" w:rsidP="00890C36">
            <w:pPr>
              <w:autoSpaceDE w:val="0"/>
              <w:autoSpaceDN w:val="0"/>
              <w:adjustRightInd w:val="0"/>
              <w:jc w:val="center"/>
              <w:rPr>
                <w:rFonts w:ascii="Times New Roman" w:hAnsi="Times New Roman" w:cs="Times New Roman"/>
                <w:b/>
                <w:bCs w:val="0"/>
                <w:smallCaps/>
                <w:color w:val="272627"/>
                <w:sz w:val="24"/>
                <w:szCs w:val="24"/>
              </w:rPr>
            </w:pPr>
          </w:p>
          <w:p w14:paraId="1A69CAB6" w14:textId="77777777" w:rsidR="00D921A9" w:rsidRPr="00374DE4" w:rsidRDefault="00D921A9" w:rsidP="00890C36">
            <w:pPr>
              <w:autoSpaceDE w:val="0"/>
              <w:autoSpaceDN w:val="0"/>
              <w:adjustRightInd w:val="0"/>
              <w:jc w:val="center"/>
              <w:rPr>
                <w:rFonts w:ascii="Times New Roman" w:hAnsi="Times New Roman" w:cs="Times New Roman"/>
                <w:b/>
                <w:bCs w:val="0"/>
                <w:smallCaps/>
                <w:color w:val="272627"/>
                <w:sz w:val="24"/>
                <w:szCs w:val="24"/>
              </w:rPr>
            </w:pPr>
            <w:r w:rsidRPr="00374DE4">
              <w:rPr>
                <w:rFonts w:ascii="Times New Roman" w:hAnsi="Times New Roman" w:cs="Times New Roman"/>
                <w:b/>
                <w:bCs w:val="0"/>
                <w:smallCaps/>
                <w:color w:val="272627"/>
                <w:sz w:val="24"/>
                <w:szCs w:val="24"/>
              </w:rPr>
              <w:t>Facts</w:t>
            </w:r>
          </w:p>
          <w:p w14:paraId="679257B2" w14:textId="77777777" w:rsidR="00D921A9" w:rsidRPr="00374DE4" w:rsidRDefault="00D921A9" w:rsidP="00890C36">
            <w:pPr>
              <w:autoSpaceDE w:val="0"/>
              <w:autoSpaceDN w:val="0"/>
              <w:adjustRightInd w:val="0"/>
              <w:jc w:val="center"/>
              <w:rPr>
                <w:rFonts w:ascii="Times New Roman" w:hAnsi="Times New Roman" w:cs="Times New Roman"/>
                <w:b/>
                <w:bCs w:val="0"/>
                <w:smallCaps/>
                <w:color w:val="272627"/>
                <w:sz w:val="24"/>
                <w:szCs w:val="24"/>
              </w:rPr>
            </w:pPr>
          </w:p>
        </w:tc>
        <w:tc>
          <w:tcPr>
            <w:tcW w:w="3240" w:type="dxa"/>
          </w:tcPr>
          <w:p w14:paraId="743B2E9D" w14:textId="77777777" w:rsidR="00D921A9" w:rsidRPr="00374DE4" w:rsidRDefault="00D921A9" w:rsidP="00890C36">
            <w:pPr>
              <w:autoSpaceDE w:val="0"/>
              <w:autoSpaceDN w:val="0"/>
              <w:adjustRightInd w:val="0"/>
              <w:jc w:val="center"/>
              <w:rPr>
                <w:rFonts w:ascii="Times New Roman" w:hAnsi="Times New Roman" w:cs="Times New Roman"/>
                <w:b/>
                <w:bCs w:val="0"/>
                <w:smallCaps/>
                <w:color w:val="272627"/>
                <w:sz w:val="24"/>
                <w:szCs w:val="24"/>
              </w:rPr>
            </w:pPr>
          </w:p>
          <w:p w14:paraId="1D782CE8" w14:textId="77777777" w:rsidR="00D921A9" w:rsidRPr="00374DE4" w:rsidRDefault="00D921A9" w:rsidP="00890C36">
            <w:pPr>
              <w:autoSpaceDE w:val="0"/>
              <w:autoSpaceDN w:val="0"/>
              <w:adjustRightInd w:val="0"/>
              <w:jc w:val="center"/>
              <w:rPr>
                <w:rFonts w:ascii="Times New Roman" w:hAnsi="Times New Roman" w:cs="Times New Roman"/>
                <w:b/>
                <w:bCs w:val="0"/>
                <w:smallCaps/>
                <w:color w:val="272627"/>
                <w:sz w:val="24"/>
                <w:szCs w:val="24"/>
              </w:rPr>
            </w:pPr>
            <w:r w:rsidRPr="00374DE4">
              <w:rPr>
                <w:rFonts w:ascii="Times New Roman" w:hAnsi="Times New Roman" w:cs="Times New Roman"/>
                <w:b/>
                <w:bCs w:val="0"/>
                <w:smallCaps/>
                <w:color w:val="272627"/>
                <w:sz w:val="24"/>
                <w:szCs w:val="24"/>
              </w:rPr>
              <w:t>Judicial Analysis</w:t>
            </w:r>
          </w:p>
        </w:tc>
        <w:tc>
          <w:tcPr>
            <w:tcW w:w="1899" w:type="dxa"/>
          </w:tcPr>
          <w:p w14:paraId="265F7B1A" w14:textId="77777777" w:rsidR="00D921A9" w:rsidRPr="00374DE4" w:rsidRDefault="00D921A9" w:rsidP="00890C36">
            <w:pPr>
              <w:autoSpaceDE w:val="0"/>
              <w:autoSpaceDN w:val="0"/>
              <w:adjustRightInd w:val="0"/>
              <w:jc w:val="center"/>
              <w:rPr>
                <w:rFonts w:ascii="Times New Roman" w:hAnsi="Times New Roman" w:cs="Times New Roman"/>
                <w:b/>
                <w:bCs w:val="0"/>
                <w:smallCaps/>
                <w:color w:val="272627"/>
                <w:sz w:val="24"/>
                <w:szCs w:val="24"/>
              </w:rPr>
            </w:pPr>
          </w:p>
          <w:p w14:paraId="38025E7A" w14:textId="77777777" w:rsidR="00D921A9" w:rsidRPr="00374DE4" w:rsidRDefault="00D921A9" w:rsidP="00890C36">
            <w:pPr>
              <w:autoSpaceDE w:val="0"/>
              <w:autoSpaceDN w:val="0"/>
              <w:adjustRightInd w:val="0"/>
              <w:jc w:val="center"/>
              <w:rPr>
                <w:rFonts w:ascii="Times New Roman" w:hAnsi="Times New Roman" w:cs="Times New Roman"/>
                <w:b/>
                <w:bCs w:val="0"/>
                <w:smallCaps/>
                <w:color w:val="272627"/>
                <w:sz w:val="24"/>
                <w:szCs w:val="24"/>
              </w:rPr>
            </w:pPr>
            <w:r w:rsidRPr="00374DE4">
              <w:rPr>
                <w:rFonts w:ascii="Times New Roman" w:hAnsi="Times New Roman" w:cs="Times New Roman"/>
                <w:b/>
                <w:bCs w:val="0"/>
                <w:smallCaps/>
                <w:color w:val="272627"/>
                <w:sz w:val="24"/>
                <w:szCs w:val="24"/>
              </w:rPr>
              <w:t>Quantum</w:t>
            </w:r>
          </w:p>
          <w:p w14:paraId="4DEF337B" w14:textId="77777777" w:rsidR="00D921A9" w:rsidRPr="00374DE4" w:rsidRDefault="00D921A9" w:rsidP="00890C36">
            <w:pPr>
              <w:autoSpaceDE w:val="0"/>
              <w:autoSpaceDN w:val="0"/>
              <w:adjustRightInd w:val="0"/>
              <w:jc w:val="center"/>
              <w:rPr>
                <w:rFonts w:ascii="Times New Roman" w:hAnsi="Times New Roman" w:cs="Times New Roman"/>
                <w:b/>
                <w:bCs w:val="0"/>
                <w:smallCaps/>
                <w:color w:val="272627"/>
                <w:sz w:val="24"/>
                <w:szCs w:val="24"/>
              </w:rPr>
            </w:pPr>
          </w:p>
        </w:tc>
      </w:tr>
      <w:tr w:rsidR="00D921A9" w14:paraId="42D2788B" w14:textId="77777777" w:rsidTr="00890C36">
        <w:trPr>
          <w:trHeight w:val="948"/>
        </w:trPr>
        <w:tc>
          <w:tcPr>
            <w:tcW w:w="2155" w:type="dxa"/>
          </w:tcPr>
          <w:p w14:paraId="6CE26DFE" w14:textId="77777777" w:rsidR="00D921A9" w:rsidRDefault="00D921A9" w:rsidP="00890C36">
            <w:pPr>
              <w:autoSpaceDE w:val="0"/>
              <w:autoSpaceDN w:val="0"/>
              <w:adjustRightInd w:val="0"/>
              <w:rPr>
                <w:b/>
                <w:bCs w:val="0"/>
              </w:rPr>
            </w:pPr>
            <w:r>
              <w:rPr>
                <w:b/>
                <w:bCs w:val="0"/>
                <w:i/>
                <w:iCs/>
              </w:rPr>
              <w:t>1.</w:t>
            </w:r>
            <w:r w:rsidRPr="004112E8">
              <w:rPr>
                <w:b/>
                <w:bCs w:val="0"/>
                <w:i/>
                <w:iCs/>
              </w:rPr>
              <w:t>Montalbo v Royal Bank of Canada</w:t>
            </w:r>
            <w:r w:rsidRPr="004112E8">
              <w:rPr>
                <w:b/>
                <w:bCs w:val="0"/>
              </w:rPr>
              <w:t>, 2018 FC 1155</w:t>
            </w:r>
          </w:p>
          <w:p w14:paraId="6EA7503D" w14:textId="04C03D95" w:rsidR="00D711EA" w:rsidRPr="00D711EA" w:rsidRDefault="00D711EA" w:rsidP="00890C36">
            <w:pPr>
              <w:autoSpaceDE w:val="0"/>
              <w:autoSpaceDN w:val="0"/>
              <w:adjustRightInd w:val="0"/>
              <w:rPr>
                <w:rFonts w:cs="Times New Roman"/>
                <w:color w:val="272627"/>
              </w:rPr>
            </w:pPr>
            <w:r>
              <w:rPr>
                <w:color w:val="272627"/>
              </w:rPr>
              <w:t xml:space="preserve">[cites Randall at para </w:t>
            </w:r>
            <w:r w:rsidR="0013561F">
              <w:rPr>
                <w:color w:val="272627"/>
              </w:rPr>
              <w:t>60</w:t>
            </w:r>
            <w:r>
              <w:rPr>
                <w:color w:val="272627"/>
              </w:rPr>
              <w:t>]</w:t>
            </w:r>
          </w:p>
        </w:tc>
        <w:tc>
          <w:tcPr>
            <w:tcW w:w="2340" w:type="dxa"/>
          </w:tcPr>
          <w:p w14:paraId="23BE3484" w14:textId="77777777" w:rsidR="00D921A9" w:rsidRPr="004A3BD7" w:rsidRDefault="00D921A9" w:rsidP="00890C36">
            <w:pPr>
              <w:autoSpaceDE w:val="0"/>
              <w:autoSpaceDN w:val="0"/>
              <w:adjustRightInd w:val="0"/>
              <w:rPr>
                <w:rFonts w:cs="Times New Roman"/>
                <w:color w:val="272627"/>
              </w:rPr>
            </w:pPr>
            <w:r>
              <w:t xml:space="preserve">Applicant alleged that the Royal Bank failed to safeguard her personal information disclosed in relation to her residential property mortgage application. </w:t>
            </w:r>
          </w:p>
        </w:tc>
        <w:tc>
          <w:tcPr>
            <w:tcW w:w="3240" w:type="dxa"/>
          </w:tcPr>
          <w:p w14:paraId="52F16546" w14:textId="1A228BDA" w:rsidR="00D921A9" w:rsidRDefault="00D921A9" w:rsidP="00890C36">
            <w:pPr>
              <w:autoSpaceDE w:val="0"/>
              <w:autoSpaceDN w:val="0"/>
              <w:adjustRightInd w:val="0"/>
              <w:rPr>
                <w:rFonts w:cs="Times New Roman"/>
                <w:color w:val="272627"/>
              </w:rPr>
            </w:pPr>
            <w:r>
              <w:rPr>
                <w:rFonts w:cs="Times New Roman"/>
                <w:color w:val="272627"/>
              </w:rPr>
              <w:t>Court agreed that the Royal Bank’s safeguards were inadequate, at para 47</w:t>
            </w:r>
            <w:r w:rsidR="00DD2F45">
              <w:rPr>
                <w:rFonts w:cs="Times New Roman"/>
                <w:color w:val="272627"/>
              </w:rPr>
              <w:t xml:space="preserve"> and that the financial information was “highly sensitive” at para </w:t>
            </w:r>
            <w:r w:rsidR="00954251">
              <w:rPr>
                <w:rFonts w:cs="Times New Roman"/>
                <w:color w:val="272627"/>
              </w:rPr>
              <w:t>45</w:t>
            </w:r>
          </w:p>
          <w:p w14:paraId="11C7068C" w14:textId="77777777" w:rsidR="00D921A9" w:rsidRPr="008D18B7" w:rsidRDefault="00D921A9" w:rsidP="00890C36">
            <w:pPr>
              <w:autoSpaceDE w:val="0"/>
              <w:autoSpaceDN w:val="0"/>
              <w:adjustRightInd w:val="0"/>
              <w:rPr>
                <w:rFonts w:cs="Times New Roman"/>
                <w:i/>
                <w:color w:val="272627"/>
              </w:rPr>
            </w:pPr>
          </w:p>
        </w:tc>
        <w:tc>
          <w:tcPr>
            <w:tcW w:w="1899" w:type="dxa"/>
          </w:tcPr>
          <w:p w14:paraId="1B52F3B7" w14:textId="07BA8B2C" w:rsidR="00D921A9" w:rsidRDefault="00D921A9" w:rsidP="00890C36">
            <w:pPr>
              <w:autoSpaceDE w:val="0"/>
              <w:autoSpaceDN w:val="0"/>
              <w:adjustRightInd w:val="0"/>
              <w:rPr>
                <w:rFonts w:cs="Times New Roman"/>
                <w:color w:val="272627"/>
              </w:rPr>
            </w:pPr>
            <w:r w:rsidRPr="00D735C1">
              <w:rPr>
                <w:rFonts w:cs="Times New Roman"/>
                <w:b/>
                <w:bCs w:val="0"/>
                <w:color w:val="272627"/>
              </w:rPr>
              <w:t>$2,000</w:t>
            </w:r>
            <w:r>
              <w:rPr>
                <w:rFonts w:cs="Times New Roman"/>
                <w:color w:val="272627"/>
              </w:rPr>
              <w:t xml:space="preserve"> in </w:t>
            </w:r>
            <w:r w:rsidR="0079538A">
              <w:rPr>
                <w:rFonts w:cs="Times New Roman"/>
                <w:color w:val="272627"/>
              </w:rPr>
              <w:t xml:space="preserve">“nominal” </w:t>
            </w:r>
            <w:r>
              <w:rPr>
                <w:rFonts w:cs="Times New Roman"/>
                <w:color w:val="272627"/>
              </w:rPr>
              <w:t xml:space="preserve">damages for “some anxiety and stress” at para 62 </w:t>
            </w:r>
          </w:p>
          <w:p w14:paraId="585C7890" w14:textId="77777777" w:rsidR="00D921A9" w:rsidRDefault="00D921A9" w:rsidP="00890C36">
            <w:pPr>
              <w:autoSpaceDE w:val="0"/>
              <w:autoSpaceDN w:val="0"/>
              <w:adjustRightInd w:val="0"/>
              <w:rPr>
                <w:rFonts w:cs="Times New Roman"/>
                <w:color w:val="272627"/>
              </w:rPr>
            </w:pPr>
            <w:r>
              <w:rPr>
                <w:rFonts w:cs="Times New Roman"/>
                <w:color w:val="272627"/>
              </w:rPr>
              <w:t>plus $800 costs to the self-represented litigant, at para 63.</w:t>
            </w:r>
          </w:p>
          <w:p w14:paraId="6E8A1848" w14:textId="77777777" w:rsidR="00D921A9" w:rsidRPr="004A3BD7" w:rsidRDefault="00D921A9" w:rsidP="00890C36">
            <w:pPr>
              <w:autoSpaceDE w:val="0"/>
              <w:autoSpaceDN w:val="0"/>
              <w:adjustRightInd w:val="0"/>
              <w:rPr>
                <w:rFonts w:cs="Times New Roman"/>
                <w:color w:val="272627"/>
              </w:rPr>
            </w:pPr>
          </w:p>
        </w:tc>
      </w:tr>
      <w:tr w:rsidR="00D921A9" w14:paraId="10DEC8C5" w14:textId="77777777" w:rsidTr="00890C36">
        <w:trPr>
          <w:trHeight w:val="526"/>
        </w:trPr>
        <w:tc>
          <w:tcPr>
            <w:tcW w:w="2155" w:type="dxa"/>
          </w:tcPr>
          <w:p w14:paraId="1F67460A" w14:textId="77777777" w:rsidR="00D921A9" w:rsidRPr="00777E53" w:rsidRDefault="00D921A9" w:rsidP="00890C36">
            <w:pPr>
              <w:autoSpaceDE w:val="0"/>
              <w:autoSpaceDN w:val="0"/>
              <w:adjustRightInd w:val="0"/>
              <w:rPr>
                <w:rFonts w:cs="Times New Roman"/>
                <w:b/>
                <w:bCs w:val="0"/>
                <w:color w:val="272627"/>
              </w:rPr>
            </w:pPr>
            <w:bookmarkStart w:id="39" w:name="_Hlk75498944"/>
            <w:r>
              <w:rPr>
                <w:rFonts w:cs="Times New Roman"/>
                <w:b/>
                <w:bCs w:val="0"/>
                <w:i/>
                <w:iCs/>
                <w:color w:val="272627"/>
              </w:rPr>
              <w:t xml:space="preserve">2. </w:t>
            </w:r>
            <w:r w:rsidRPr="00777E53">
              <w:rPr>
                <w:rFonts w:cs="Times New Roman"/>
                <w:b/>
                <w:bCs w:val="0"/>
                <w:i/>
                <w:iCs/>
                <w:color w:val="272627"/>
              </w:rPr>
              <w:t>AT v Globe24H.com</w:t>
            </w:r>
            <w:r w:rsidRPr="00777E53">
              <w:rPr>
                <w:rFonts w:cs="Times New Roman"/>
                <w:b/>
                <w:bCs w:val="0"/>
                <w:color w:val="272627"/>
              </w:rPr>
              <w:t>,</w:t>
            </w:r>
            <w:r w:rsidRPr="00777E53">
              <w:rPr>
                <w:rFonts w:cs="Times New Roman"/>
                <w:b/>
                <w:bCs w:val="0"/>
                <w:i/>
                <w:iCs/>
                <w:color w:val="272627"/>
              </w:rPr>
              <w:t xml:space="preserve"> </w:t>
            </w:r>
            <w:r w:rsidRPr="00777E53">
              <w:rPr>
                <w:rFonts w:cs="Times New Roman"/>
                <w:b/>
                <w:bCs w:val="0"/>
                <w:color w:val="272627"/>
              </w:rPr>
              <w:t>2017 FC 114</w:t>
            </w:r>
          </w:p>
          <w:p w14:paraId="57F6A36E" w14:textId="77777777" w:rsidR="00D921A9" w:rsidRPr="00015FF4" w:rsidRDefault="00D921A9" w:rsidP="00890C36">
            <w:pPr>
              <w:autoSpaceDE w:val="0"/>
              <w:autoSpaceDN w:val="0"/>
              <w:adjustRightInd w:val="0"/>
              <w:rPr>
                <w:rFonts w:cs="Times New Roman"/>
                <w:color w:val="272627"/>
              </w:rPr>
            </w:pPr>
          </w:p>
        </w:tc>
        <w:tc>
          <w:tcPr>
            <w:tcW w:w="2340" w:type="dxa"/>
          </w:tcPr>
          <w:p w14:paraId="2BE89CD6" w14:textId="4879761B" w:rsidR="00D921A9" w:rsidRPr="004A3BD7" w:rsidRDefault="00D921A9" w:rsidP="0051037E">
            <w:pPr>
              <w:autoSpaceDE w:val="0"/>
              <w:autoSpaceDN w:val="0"/>
              <w:adjustRightInd w:val="0"/>
              <w:rPr>
                <w:rFonts w:cs="Times New Roman"/>
                <w:color w:val="272627"/>
              </w:rPr>
            </w:pPr>
            <w:r>
              <w:t>The respondent was a Romanian website that published Canadian court and tribunal decisions. The website, unlike similar Canadian counterparts, allowed the decisions to be located via search engines like Google</w:t>
            </w:r>
            <w:r w:rsidR="00CB4EA7">
              <w:t>, at para 10.</w:t>
            </w:r>
            <w:r>
              <w:t xml:space="preserve"> Further, the respondent indexed decisions such that “Googling” an individual’s name would show decisions concerning them</w:t>
            </w:r>
            <w:r w:rsidR="0079538A">
              <w:t>, including those involving highly personal information like HIV status, divorce proceedings and personal bankruptcy</w:t>
            </w:r>
            <w:r w:rsidR="00CB4EA7">
              <w:t>,</w:t>
            </w:r>
            <w:r w:rsidR="00C055F0">
              <w:t xml:space="preserve"> at </w:t>
            </w:r>
            <w:r w:rsidR="0051037E">
              <w:t>para 13</w:t>
            </w:r>
            <w:r w:rsidR="00C055F0">
              <w:t xml:space="preserve">. </w:t>
            </w:r>
            <w:r>
              <w:t xml:space="preserve">  The respondent would </w:t>
            </w:r>
            <w:r w:rsidR="0079538A">
              <w:t xml:space="preserve">then </w:t>
            </w:r>
            <w:r>
              <w:t>demand payment to remove the information from its website</w:t>
            </w:r>
            <w:r w:rsidR="00C055F0">
              <w:t xml:space="preserve">, at </w:t>
            </w:r>
            <w:r w:rsidR="00114745">
              <w:t xml:space="preserve">para </w:t>
            </w:r>
            <w:r w:rsidR="0051037E">
              <w:t>15</w:t>
            </w:r>
            <w:r w:rsidR="00C055F0">
              <w:t>.</w:t>
            </w:r>
            <w:r w:rsidR="00114745">
              <w:t xml:space="preserve"> </w:t>
            </w:r>
            <w:r>
              <w:t xml:space="preserve">The Applicant claimed his privacy rights were violated when the Respondent published a </w:t>
            </w:r>
            <w:proofErr w:type="spellStart"/>
            <w:r>
              <w:t>labo</w:t>
            </w:r>
            <w:r w:rsidR="00CB4EA7">
              <w:t>ur</w:t>
            </w:r>
            <w:proofErr w:type="spellEnd"/>
            <w:r>
              <w:t xml:space="preserve"> board decision in which the complainant was a party.  </w:t>
            </w:r>
          </w:p>
        </w:tc>
        <w:tc>
          <w:tcPr>
            <w:tcW w:w="3240" w:type="dxa"/>
          </w:tcPr>
          <w:p w14:paraId="15D58A79" w14:textId="0DFF3D49" w:rsidR="00D921A9" w:rsidRPr="004A3BD7" w:rsidRDefault="00D921A9" w:rsidP="00890C36">
            <w:pPr>
              <w:pBdr>
                <w:top w:val="nil"/>
                <w:left w:val="nil"/>
                <w:bottom w:val="nil"/>
                <w:right w:val="nil"/>
                <w:between w:val="nil"/>
              </w:pBdr>
              <w:spacing w:line="259" w:lineRule="auto"/>
              <w:rPr>
                <w:rFonts w:cs="Times New Roman"/>
                <w:color w:val="272627"/>
              </w:rPr>
            </w:pPr>
            <w:r>
              <w:t>Respondent's breach was egregious because its business was to exploit the privacy of individuals for profit. Damages were appropriate remedy because: “the respondent has commercially benefited from the breach through targeted advertising and by requiring a fee for removing the personal information of individuals contained in the decisions. The respondent has also acted in bad faith in failing to take responsibility and rectify the problem” at para 10</w:t>
            </w:r>
            <w:r w:rsidR="00CB4EA7">
              <w:t>3</w:t>
            </w:r>
            <w:r>
              <w:t xml:space="preserve">.  </w:t>
            </w:r>
          </w:p>
        </w:tc>
        <w:tc>
          <w:tcPr>
            <w:tcW w:w="1899" w:type="dxa"/>
          </w:tcPr>
          <w:p w14:paraId="3C2DF76F" w14:textId="64966DE0" w:rsidR="00D921A9" w:rsidRDefault="00D921A9" w:rsidP="00890C36">
            <w:r w:rsidRPr="00D735C1">
              <w:rPr>
                <w:b/>
                <w:bCs w:val="0"/>
              </w:rPr>
              <w:t>$5,000</w:t>
            </w:r>
            <w:r>
              <w:t xml:space="preserve"> in damages, at para 10</w:t>
            </w:r>
            <w:r w:rsidR="00CB4EA7">
              <w:t>3</w:t>
            </w:r>
            <w:r>
              <w:t xml:space="preserve">, plus $300 in costs to </w:t>
            </w:r>
            <w:r>
              <w:rPr>
                <w:rFonts w:cs="Times New Roman"/>
                <w:color w:val="272627"/>
              </w:rPr>
              <w:t xml:space="preserve">self-represented litigant, at para 104.  </w:t>
            </w:r>
          </w:p>
          <w:p w14:paraId="4A7A2EFF" w14:textId="77777777" w:rsidR="00D921A9" w:rsidRDefault="00D921A9" w:rsidP="00890C36"/>
          <w:p w14:paraId="4C69C607" w14:textId="77777777" w:rsidR="00D921A9" w:rsidRPr="004A3BD7" w:rsidRDefault="00D921A9" w:rsidP="00890C36">
            <w:pPr>
              <w:autoSpaceDE w:val="0"/>
              <w:autoSpaceDN w:val="0"/>
              <w:adjustRightInd w:val="0"/>
              <w:rPr>
                <w:rFonts w:cs="Times New Roman"/>
                <w:color w:val="272627"/>
              </w:rPr>
            </w:pPr>
          </w:p>
        </w:tc>
      </w:tr>
      <w:tr w:rsidR="00D921A9" w14:paraId="3E5E4065" w14:textId="77777777" w:rsidTr="00890C36">
        <w:trPr>
          <w:trHeight w:val="526"/>
        </w:trPr>
        <w:tc>
          <w:tcPr>
            <w:tcW w:w="2155" w:type="dxa"/>
          </w:tcPr>
          <w:p w14:paraId="4DC8F952" w14:textId="77777777" w:rsidR="00D921A9" w:rsidRDefault="00D921A9" w:rsidP="00890C36">
            <w:pPr>
              <w:autoSpaceDE w:val="0"/>
              <w:autoSpaceDN w:val="0"/>
              <w:adjustRightInd w:val="0"/>
              <w:rPr>
                <w:b/>
                <w:bCs w:val="0"/>
              </w:rPr>
            </w:pPr>
            <w:bookmarkStart w:id="40" w:name="_Hlk74581288"/>
            <w:bookmarkEnd w:id="39"/>
            <w:r>
              <w:rPr>
                <w:b/>
                <w:bCs w:val="0"/>
                <w:i/>
                <w:highlight w:val="white"/>
              </w:rPr>
              <w:lastRenderedPageBreak/>
              <w:t xml:space="preserve">3. </w:t>
            </w:r>
            <w:r w:rsidRPr="00606511">
              <w:rPr>
                <w:b/>
                <w:bCs w:val="0"/>
                <w:i/>
                <w:highlight w:val="white"/>
              </w:rPr>
              <w:t>Cote v Day &amp; Ross Inc.</w:t>
            </w:r>
            <w:r w:rsidRPr="00606511">
              <w:rPr>
                <w:b/>
                <w:bCs w:val="0"/>
                <w:highlight w:val="white"/>
              </w:rPr>
              <w:t>, 2015 FC 1283</w:t>
            </w:r>
          </w:p>
          <w:p w14:paraId="32118AC4" w14:textId="2E0EAB89" w:rsidR="00D921A9" w:rsidRPr="00606511" w:rsidRDefault="00D921A9" w:rsidP="00890C36">
            <w:pPr>
              <w:autoSpaceDE w:val="0"/>
              <w:autoSpaceDN w:val="0"/>
              <w:adjustRightInd w:val="0"/>
              <w:rPr>
                <w:rFonts w:cs="Times New Roman"/>
                <w:b/>
                <w:bCs w:val="0"/>
                <w:i/>
                <w:iCs/>
                <w:color w:val="272627"/>
              </w:rPr>
            </w:pPr>
          </w:p>
        </w:tc>
        <w:tc>
          <w:tcPr>
            <w:tcW w:w="2340" w:type="dxa"/>
          </w:tcPr>
          <w:p w14:paraId="66056215" w14:textId="3B8E94DC" w:rsidR="00D921A9" w:rsidRDefault="00D921A9" w:rsidP="00890C36">
            <w:pPr>
              <w:autoSpaceDE w:val="0"/>
              <w:autoSpaceDN w:val="0"/>
              <w:adjustRightInd w:val="0"/>
            </w:pPr>
            <w:r>
              <w:t xml:space="preserve">Applicant’s employer was in possession </w:t>
            </w:r>
            <w:r w:rsidR="0009122E">
              <w:t>of correspondence related to</w:t>
            </w:r>
            <w:r>
              <w:t xml:space="preserve"> the applicant’s personal medical information and refused to properly disclose such </w:t>
            </w:r>
            <w:r w:rsidR="0009122E">
              <w:t xml:space="preserve">correspondence </w:t>
            </w:r>
            <w:r>
              <w:t>to her on three occasions, at para 21.</w:t>
            </w:r>
          </w:p>
          <w:p w14:paraId="7790BA82" w14:textId="77777777" w:rsidR="00D921A9" w:rsidRDefault="00D921A9" w:rsidP="00890C36">
            <w:pPr>
              <w:autoSpaceDE w:val="0"/>
              <w:autoSpaceDN w:val="0"/>
              <w:adjustRightInd w:val="0"/>
            </w:pPr>
          </w:p>
        </w:tc>
        <w:tc>
          <w:tcPr>
            <w:tcW w:w="3240" w:type="dxa"/>
          </w:tcPr>
          <w:p w14:paraId="0650093D" w14:textId="0CE4DE4F" w:rsidR="00D921A9" w:rsidRDefault="00D921A9" w:rsidP="00890C36">
            <w:pPr>
              <w:pBdr>
                <w:top w:val="nil"/>
                <w:left w:val="nil"/>
                <w:bottom w:val="nil"/>
                <w:right w:val="nil"/>
                <w:between w:val="nil"/>
              </w:pBdr>
              <w:spacing w:line="259" w:lineRule="auto"/>
            </w:pPr>
            <w:r>
              <w:rPr>
                <w:color w:val="000000"/>
              </w:rPr>
              <w:t xml:space="preserve">Court </w:t>
            </w:r>
            <w:r w:rsidR="003061DB" w:rsidRPr="003061DB">
              <w:rPr>
                <w:color w:val="000000"/>
              </w:rPr>
              <w:t>award</w:t>
            </w:r>
            <w:r>
              <w:rPr>
                <w:color w:val="000000"/>
              </w:rPr>
              <w:t xml:space="preserve">ed damages, noting such an </w:t>
            </w:r>
            <w:r w:rsidR="003061DB" w:rsidRPr="003061DB">
              <w:rPr>
                <w:color w:val="000000"/>
              </w:rPr>
              <w:t>award</w:t>
            </w:r>
            <w:r>
              <w:rPr>
                <w:color w:val="000000"/>
              </w:rPr>
              <w:t xml:space="preserve"> may make the respondent “</w:t>
            </w:r>
            <w:r>
              <w:t xml:space="preserve">more alert and sensitive to its obligations in the future” at para 21. </w:t>
            </w:r>
          </w:p>
        </w:tc>
        <w:tc>
          <w:tcPr>
            <w:tcW w:w="1899" w:type="dxa"/>
          </w:tcPr>
          <w:p w14:paraId="6F7A4D48" w14:textId="1892B166" w:rsidR="00D921A9" w:rsidRDefault="00D921A9" w:rsidP="00B90ADB">
            <w:r w:rsidRPr="00606511">
              <w:rPr>
                <w:b/>
                <w:bCs w:val="0"/>
              </w:rPr>
              <w:t>$5,000</w:t>
            </w:r>
            <w:r>
              <w:t xml:space="preserve"> in damages, at para 25</w:t>
            </w:r>
            <w:r w:rsidR="00B90ADB">
              <w:t>, p</w:t>
            </w:r>
            <w:r>
              <w:t>lus</w:t>
            </w:r>
            <w:r w:rsidR="00B90ADB">
              <w:t xml:space="preserve"> </w:t>
            </w:r>
            <w:r>
              <w:t>$1,000 in costs to</w:t>
            </w:r>
            <w:r w:rsidR="00B90ADB">
              <w:t xml:space="preserve"> </w:t>
            </w:r>
            <w:r>
              <w:rPr>
                <w:rFonts w:cs="Times New Roman"/>
                <w:color w:val="272627"/>
              </w:rPr>
              <w:t>self-represented litigant,</w:t>
            </w:r>
            <w:r>
              <w:t xml:space="preserve"> at para 25.</w:t>
            </w:r>
          </w:p>
          <w:p w14:paraId="41F3BB1E" w14:textId="77777777" w:rsidR="00D921A9" w:rsidRPr="00D735C1" w:rsidRDefault="00D921A9" w:rsidP="00890C36">
            <w:pPr>
              <w:rPr>
                <w:b/>
                <w:bCs w:val="0"/>
              </w:rPr>
            </w:pPr>
          </w:p>
        </w:tc>
      </w:tr>
      <w:bookmarkEnd w:id="40"/>
      <w:tr w:rsidR="00D921A9" w14:paraId="0405CAA4" w14:textId="77777777" w:rsidTr="00890C36">
        <w:trPr>
          <w:trHeight w:val="526"/>
        </w:trPr>
        <w:tc>
          <w:tcPr>
            <w:tcW w:w="2155" w:type="dxa"/>
          </w:tcPr>
          <w:p w14:paraId="40D93C02" w14:textId="77777777" w:rsidR="00D921A9" w:rsidRPr="00777E53" w:rsidRDefault="00D921A9" w:rsidP="00890C36">
            <w:pPr>
              <w:autoSpaceDE w:val="0"/>
              <w:autoSpaceDN w:val="0"/>
              <w:adjustRightInd w:val="0"/>
              <w:rPr>
                <w:b/>
                <w:bCs w:val="0"/>
              </w:rPr>
            </w:pPr>
            <w:r>
              <w:rPr>
                <w:b/>
                <w:bCs w:val="0"/>
                <w:i/>
                <w:highlight w:val="white"/>
              </w:rPr>
              <w:t xml:space="preserve">4. </w:t>
            </w:r>
            <w:r w:rsidRPr="00777E53">
              <w:rPr>
                <w:b/>
                <w:bCs w:val="0"/>
                <w:i/>
                <w:highlight w:val="white"/>
              </w:rPr>
              <w:t>Blum v Mortgage Architects Inc.</w:t>
            </w:r>
            <w:r w:rsidRPr="00777E53">
              <w:rPr>
                <w:b/>
                <w:bCs w:val="0"/>
                <w:highlight w:val="white"/>
              </w:rPr>
              <w:t>, 2015 FC 323</w:t>
            </w:r>
          </w:p>
          <w:p w14:paraId="1F3584AB" w14:textId="77777777" w:rsidR="0078225C" w:rsidRDefault="0078225C">
            <w:pPr>
              <w:autoSpaceDE w:val="0"/>
              <w:autoSpaceDN w:val="0"/>
              <w:adjustRightInd w:val="0"/>
              <w:rPr>
                <w:rStyle w:val="solexhl"/>
              </w:rPr>
            </w:pPr>
          </w:p>
          <w:p w14:paraId="68DFDFFB" w14:textId="131B73C8" w:rsidR="00D921A9" w:rsidRPr="008A30A9" w:rsidRDefault="007666CF">
            <w:pPr>
              <w:autoSpaceDE w:val="0"/>
              <w:autoSpaceDN w:val="0"/>
              <w:adjustRightInd w:val="0"/>
              <w:rPr>
                <w:rStyle w:val="solexhl"/>
                <w:rFonts w:ascii="Arial" w:hAnsi="Arial" w:cs="Arial"/>
                <w:sz w:val="24"/>
                <w:szCs w:val="24"/>
                <w:lang w:val="en-CA"/>
              </w:rPr>
            </w:pPr>
            <w:r w:rsidRPr="008A30A9">
              <w:rPr>
                <w:rStyle w:val="solexhl"/>
              </w:rPr>
              <w:t>[</w:t>
            </w:r>
            <w:r w:rsidR="00D921A9" w:rsidRPr="008A30A9">
              <w:rPr>
                <w:rStyle w:val="solexhl"/>
                <w:i/>
                <w:iCs/>
              </w:rPr>
              <w:t xml:space="preserve">cites </w:t>
            </w:r>
            <w:proofErr w:type="spellStart"/>
            <w:r w:rsidR="00D921A9" w:rsidRPr="008A30A9">
              <w:rPr>
                <w:rStyle w:val="solexhl"/>
                <w:i/>
                <w:iCs/>
              </w:rPr>
              <w:t>Gi</w:t>
            </w:r>
            <w:r w:rsidR="00045157" w:rsidRPr="008A30A9">
              <w:rPr>
                <w:rStyle w:val="solexhl"/>
                <w:i/>
                <w:iCs/>
              </w:rPr>
              <w:t>r</w:t>
            </w:r>
            <w:r w:rsidR="00D921A9" w:rsidRPr="008A30A9">
              <w:rPr>
                <w:rStyle w:val="solexhl"/>
                <w:i/>
                <w:iCs/>
              </w:rPr>
              <w:t>ao</w:t>
            </w:r>
            <w:proofErr w:type="spellEnd"/>
            <w:r w:rsidR="00D921A9" w:rsidRPr="008A30A9">
              <w:rPr>
                <w:rStyle w:val="solexhl"/>
                <w:i/>
                <w:iCs/>
              </w:rPr>
              <w:t>/</w:t>
            </w:r>
            <w:r w:rsidR="002B0617" w:rsidRPr="008A30A9">
              <w:rPr>
                <w:rStyle w:val="solexhl"/>
                <w:i/>
                <w:iCs/>
              </w:rPr>
              <w:t>Randall</w:t>
            </w:r>
            <w:r w:rsidR="00D921A9" w:rsidRPr="008A30A9">
              <w:rPr>
                <w:rStyle w:val="solexhl"/>
                <w:i/>
                <w:iCs/>
              </w:rPr>
              <w:t xml:space="preserve"> with approval, at para 15</w:t>
            </w:r>
            <w:r w:rsidRPr="0079705D">
              <w:rPr>
                <w:rStyle w:val="solexhl"/>
              </w:rPr>
              <w:t>]</w:t>
            </w:r>
          </w:p>
          <w:p w14:paraId="6FA0966B" w14:textId="77777777" w:rsidR="00D921A9" w:rsidRDefault="00D921A9" w:rsidP="00890C36">
            <w:pPr>
              <w:autoSpaceDE w:val="0"/>
              <w:autoSpaceDN w:val="0"/>
              <w:adjustRightInd w:val="0"/>
              <w:rPr>
                <w:rFonts w:cs="Times New Roman"/>
                <w:color w:val="272627"/>
              </w:rPr>
            </w:pPr>
          </w:p>
          <w:p w14:paraId="7EB778D5" w14:textId="5FA8A957" w:rsidR="00D921A9" w:rsidRPr="00B74227" w:rsidRDefault="00D921A9" w:rsidP="00890C36">
            <w:pPr>
              <w:autoSpaceDE w:val="0"/>
              <w:autoSpaceDN w:val="0"/>
              <w:adjustRightInd w:val="0"/>
              <w:rPr>
                <w:rFonts w:cs="Times New Roman"/>
                <w:color w:val="272627"/>
              </w:rPr>
            </w:pPr>
          </w:p>
        </w:tc>
        <w:tc>
          <w:tcPr>
            <w:tcW w:w="2340" w:type="dxa"/>
          </w:tcPr>
          <w:p w14:paraId="5FA38E38" w14:textId="2E904298" w:rsidR="00D921A9" w:rsidRPr="004A3BD7" w:rsidRDefault="00D921A9" w:rsidP="00486D7A">
            <w:pPr>
              <w:autoSpaceDE w:val="0"/>
              <w:autoSpaceDN w:val="0"/>
              <w:adjustRightInd w:val="0"/>
              <w:rPr>
                <w:rFonts w:cs="Times New Roman"/>
                <w:color w:val="272627"/>
              </w:rPr>
            </w:pPr>
            <w:r>
              <w:t>Applicant engaged in several transactions with the Mortgage Architects Inc (the respondent mortgage broker) but later defaulted under certain mortgages.  Without the Applicant’s consent, Mortgage Architects Inc sent emails to third parties mentioning applicant’s default and anticipated legal action against him, at para</w:t>
            </w:r>
            <w:r w:rsidR="00486D7A">
              <w:t>s</w:t>
            </w:r>
            <w:r>
              <w:t xml:space="preserve"> 41</w:t>
            </w:r>
            <w:r w:rsidR="00486D7A">
              <w:t xml:space="preserve"> and 55</w:t>
            </w:r>
            <w:r>
              <w:t>. Applicant complained that the  purpose in releasing the personal information was “to foment trouble” and “encourage” the foreclosures, at para 57</w:t>
            </w:r>
            <w:r w:rsidR="00486D7A">
              <w:t>.</w:t>
            </w:r>
          </w:p>
        </w:tc>
        <w:tc>
          <w:tcPr>
            <w:tcW w:w="3240" w:type="dxa"/>
          </w:tcPr>
          <w:p w14:paraId="2093EA83" w14:textId="3FF23019" w:rsidR="00D921A9" w:rsidRPr="004A3BD7" w:rsidRDefault="00D921A9" w:rsidP="00890C36">
            <w:pPr>
              <w:autoSpaceDE w:val="0"/>
              <w:autoSpaceDN w:val="0"/>
              <w:adjustRightInd w:val="0"/>
              <w:rPr>
                <w:rFonts w:cs="Times New Roman"/>
                <w:color w:val="272627"/>
              </w:rPr>
            </w:pPr>
            <w:r>
              <w:rPr>
                <w:rFonts w:cs="Times New Roman"/>
                <w:color w:val="272627"/>
              </w:rPr>
              <w:t xml:space="preserve">While </w:t>
            </w:r>
            <w:r w:rsidR="003061DB" w:rsidRPr="003061DB">
              <w:rPr>
                <w:rFonts w:cs="Times New Roman"/>
                <w:i/>
                <w:iCs/>
                <w:color w:val="272627"/>
              </w:rPr>
              <w:t>PIPEDA</w:t>
            </w:r>
            <w:r>
              <w:rPr>
                <w:rFonts w:cs="Times New Roman"/>
                <w:color w:val="272627"/>
              </w:rPr>
              <w:t xml:space="preserve"> was violated, the applicant suffered no losses as a result. T</w:t>
            </w:r>
            <w:r>
              <w:t xml:space="preserve">he mortgages would have been foreclosed upon in any event, at para 56. </w:t>
            </w:r>
          </w:p>
          <w:p w14:paraId="65987A34" w14:textId="77777777" w:rsidR="00D921A9" w:rsidRPr="004A3BD7" w:rsidRDefault="00D921A9" w:rsidP="00890C36">
            <w:pPr>
              <w:autoSpaceDE w:val="0"/>
              <w:autoSpaceDN w:val="0"/>
              <w:adjustRightInd w:val="0"/>
              <w:rPr>
                <w:rFonts w:cs="Times New Roman"/>
                <w:color w:val="272627"/>
              </w:rPr>
            </w:pPr>
          </w:p>
        </w:tc>
        <w:tc>
          <w:tcPr>
            <w:tcW w:w="1899" w:type="dxa"/>
          </w:tcPr>
          <w:p w14:paraId="25951C32" w14:textId="2DCB54BD" w:rsidR="00D921A9" w:rsidRDefault="00D921A9" w:rsidP="00890C36">
            <w:pPr>
              <w:autoSpaceDE w:val="0"/>
              <w:autoSpaceDN w:val="0"/>
              <w:adjustRightInd w:val="0"/>
              <w:rPr>
                <w:rFonts w:cs="Times New Roman"/>
                <w:color w:val="272627"/>
              </w:rPr>
            </w:pPr>
            <w:r w:rsidRPr="00D735C1">
              <w:rPr>
                <w:rFonts w:cs="Times New Roman"/>
                <w:b/>
                <w:bCs w:val="0"/>
                <w:color w:val="272627"/>
              </w:rPr>
              <w:t>$1,000</w:t>
            </w:r>
            <w:r>
              <w:rPr>
                <w:rFonts w:cs="Times New Roman"/>
                <w:color w:val="272627"/>
              </w:rPr>
              <w:t xml:space="preserve"> in “nominal” damages, at para 64</w:t>
            </w:r>
            <w:r w:rsidR="00B90ADB">
              <w:rPr>
                <w:rFonts w:cs="Times New Roman"/>
                <w:color w:val="272627"/>
              </w:rPr>
              <w:t>.</w:t>
            </w:r>
          </w:p>
          <w:p w14:paraId="646774F1" w14:textId="77777777" w:rsidR="00D921A9" w:rsidRDefault="00D921A9" w:rsidP="00890C36">
            <w:pPr>
              <w:autoSpaceDE w:val="0"/>
              <w:autoSpaceDN w:val="0"/>
              <w:adjustRightInd w:val="0"/>
              <w:rPr>
                <w:rFonts w:cs="Times New Roman"/>
                <w:color w:val="272627"/>
              </w:rPr>
            </w:pPr>
          </w:p>
          <w:p w14:paraId="6FFE2607" w14:textId="02CE1FCC" w:rsidR="00D921A9" w:rsidRPr="004A3BD7" w:rsidRDefault="00D921A9" w:rsidP="00890C36">
            <w:pPr>
              <w:autoSpaceDE w:val="0"/>
              <w:autoSpaceDN w:val="0"/>
              <w:adjustRightInd w:val="0"/>
              <w:rPr>
                <w:rFonts w:cs="Times New Roman"/>
                <w:color w:val="272627"/>
              </w:rPr>
            </w:pPr>
            <w:r>
              <w:rPr>
                <w:rFonts w:cs="Times New Roman"/>
                <w:color w:val="272627"/>
              </w:rPr>
              <w:t xml:space="preserve">No costs </w:t>
            </w:r>
            <w:r w:rsidR="003061DB" w:rsidRPr="003061DB">
              <w:rPr>
                <w:rFonts w:cs="Times New Roman"/>
                <w:color w:val="272627"/>
              </w:rPr>
              <w:t>award</w:t>
            </w:r>
            <w:r>
              <w:rPr>
                <w:rFonts w:cs="Times New Roman"/>
                <w:color w:val="272627"/>
              </w:rPr>
              <w:t xml:space="preserve">ed to </w:t>
            </w:r>
            <w:r w:rsidR="00A912E7">
              <w:rPr>
                <w:rFonts w:cs="Times New Roman"/>
                <w:color w:val="272627"/>
              </w:rPr>
              <w:t xml:space="preserve">the respondent nor to the self-represented applicant, </w:t>
            </w:r>
            <w:r>
              <w:rPr>
                <w:rFonts w:cs="Times New Roman"/>
                <w:color w:val="272627"/>
              </w:rPr>
              <w:t>at para 65</w:t>
            </w:r>
            <w:r w:rsidR="00B90ADB">
              <w:rPr>
                <w:rFonts w:cs="Times New Roman"/>
                <w:color w:val="272627"/>
              </w:rPr>
              <w:t>.</w:t>
            </w:r>
          </w:p>
        </w:tc>
      </w:tr>
      <w:tr w:rsidR="00D921A9" w14:paraId="3511A63B" w14:textId="77777777" w:rsidTr="00890C36">
        <w:trPr>
          <w:trHeight w:val="526"/>
        </w:trPr>
        <w:tc>
          <w:tcPr>
            <w:tcW w:w="2155" w:type="dxa"/>
          </w:tcPr>
          <w:p w14:paraId="6D3B9EDC" w14:textId="77777777" w:rsidR="00D921A9" w:rsidRPr="00C72FB0" w:rsidRDefault="00D921A9" w:rsidP="00890C36">
            <w:pPr>
              <w:autoSpaceDE w:val="0"/>
              <w:autoSpaceDN w:val="0"/>
              <w:adjustRightInd w:val="0"/>
              <w:rPr>
                <w:b/>
                <w:bCs w:val="0"/>
                <w:i/>
                <w:highlight w:val="white"/>
              </w:rPr>
            </w:pPr>
            <w:bookmarkStart w:id="41" w:name="_Hlk74580640"/>
            <w:r>
              <w:rPr>
                <w:b/>
                <w:bCs w:val="0"/>
                <w:i/>
                <w:highlight w:val="white"/>
              </w:rPr>
              <w:t xml:space="preserve">5. </w:t>
            </w:r>
            <w:r w:rsidRPr="00C72FB0">
              <w:rPr>
                <w:b/>
                <w:bCs w:val="0"/>
                <w:i/>
                <w:highlight w:val="white"/>
              </w:rPr>
              <w:t>H</w:t>
            </w:r>
            <w:bookmarkStart w:id="42" w:name="_Hlk74580671"/>
            <w:r w:rsidRPr="00C72FB0">
              <w:rPr>
                <w:b/>
                <w:bCs w:val="0"/>
                <w:i/>
                <w:highlight w:val="white"/>
              </w:rPr>
              <w:t>enry v Bell Mobility</w:t>
            </w:r>
            <w:r w:rsidRPr="00C72FB0">
              <w:rPr>
                <w:b/>
                <w:bCs w:val="0"/>
                <w:highlight w:val="white"/>
              </w:rPr>
              <w:t>, 2014 FC 555</w:t>
            </w:r>
            <w:bookmarkEnd w:id="42"/>
          </w:p>
        </w:tc>
        <w:tc>
          <w:tcPr>
            <w:tcW w:w="2340" w:type="dxa"/>
          </w:tcPr>
          <w:p w14:paraId="234A6159" w14:textId="21E33731" w:rsidR="00D921A9" w:rsidRDefault="00D921A9" w:rsidP="00890C36">
            <w:pPr>
              <w:autoSpaceDE w:val="0"/>
              <w:autoSpaceDN w:val="0"/>
              <w:adjustRightInd w:val="0"/>
            </w:pPr>
            <w:r>
              <w:t>Bell Mobility revealed certain information about Henry’s mobile telephone account to an imposter who called a Bell Mobility representative, claiming to be the account holder</w:t>
            </w:r>
            <w:r w:rsidR="00A912E7">
              <w:t>, at para</w:t>
            </w:r>
            <w:r w:rsidR="00486D7A">
              <w:t>s</w:t>
            </w:r>
            <w:r w:rsidR="00A912E7">
              <w:t xml:space="preserve"> 7</w:t>
            </w:r>
            <w:r w:rsidR="00486D7A">
              <w:t xml:space="preserve"> and 16</w:t>
            </w:r>
            <w:r w:rsidR="00A912E7">
              <w:t>.</w:t>
            </w:r>
          </w:p>
        </w:tc>
        <w:tc>
          <w:tcPr>
            <w:tcW w:w="3240" w:type="dxa"/>
          </w:tcPr>
          <w:p w14:paraId="77855DE2" w14:textId="6CEADF17" w:rsidR="00D921A9" w:rsidRDefault="00D921A9" w:rsidP="00890C36">
            <w:pPr>
              <w:pBdr>
                <w:top w:val="nil"/>
                <w:left w:val="nil"/>
                <w:bottom w:val="nil"/>
                <w:right w:val="nil"/>
                <w:between w:val="nil"/>
              </w:pBdr>
              <w:spacing w:line="259" w:lineRule="auto"/>
            </w:pPr>
            <w:r>
              <w:rPr>
                <w:color w:val="000000"/>
              </w:rPr>
              <w:t xml:space="preserve">Court agreed that Bell had breached </w:t>
            </w:r>
            <w:r w:rsidR="003061DB" w:rsidRPr="003061DB">
              <w:rPr>
                <w:i/>
                <w:iCs/>
                <w:color w:val="000000"/>
              </w:rPr>
              <w:t>PIPEDA</w:t>
            </w:r>
            <w:r>
              <w:rPr>
                <w:color w:val="000000"/>
              </w:rPr>
              <w:t xml:space="preserve"> but that it caused no loss, at para 17.  Court </w:t>
            </w:r>
            <w:r w:rsidR="003061DB" w:rsidRPr="003061DB">
              <w:rPr>
                <w:color w:val="000000"/>
              </w:rPr>
              <w:t>award</w:t>
            </w:r>
            <w:r>
              <w:rPr>
                <w:color w:val="000000"/>
              </w:rPr>
              <w:t xml:space="preserve">ed damages, however, to “further the general objects of </w:t>
            </w:r>
            <w:r w:rsidR="003061DB" w:rsidRPr="003061DB">
              <w:rPr>
                <w:i/>
                <w:iCs/>
                <w:color w:val="000000"/>
              </w:rPr>
              <w:t>PIPEDA</w:t>
            </w:r>
            <w:r>
              <w:rPr>
                <w:color w:val="000000"/>
              </w:rPr>
              <w:t xml:space="preserve">” at para 19. </w:t>
            </w:r>
          </w:p>
          <w:p w14:paraId="526F9D0A" w14:textId="77777777" w:rsidR="00D921A9" w:rsidRDefault="00D921A9" w:rsidP="00890C36">
            <w:pPr>
              <w:autoSpaceDE w:val="0"/>
              <w:autoSpaceDN w:val="0"/>
              <w:adjustRightInd w:val="0"/>
              <w:rPr>
                <w:rFonts w:cs="Times New Roman"/>
                <w:color w:val="272627"/>
              </w:rPr>
            </w:pPr>
          </w:p>
        </w:tc>
        <w:tc>
          <w:tcPr>
            <w:tcW w:w="1899" w:type="dxa"/>
          </w:tcPr>
          <w:p w14:paraId="1EE85EE1" w14:textId="77777777" w:rsidR="00D921A9" w:rsidRDefault="00D921A9" w:rsidP="00890C36">
            <w:r w:rsidRPr="00D735C1">
              <w:rPr>
                <w:b/>
                <w:bCs w:val="0"/>
              </w:rPr>
              <w:t>$2,500</w:t>
            </w:r>
            <w:r>
              <w:t xml:space="preserve"> in damages, at para 27 plus</w:t>
            </w:r>
          </w:p>
          <w:p w14:paraId="538C93D6" w14:textId="77777777" w:rsidR="00D921A9" w:rsidRDefault="00D921A9" w:rsidP="00890C36">
            <w:r>
              <w:t xml:space="preserve">$1,000 costs for the </w:t>
            </w:r>
            <w:r>
              <w:rPr>
                <w:rFonts w:cs="Times New Roman"/>
                <w:color w:val="272627"/>
              </w:rPr>
              <w:t>self-represented litigant</w:t>
            </w:r>
            <w:r>
              <w:t>, at para 27.</w:t>
            </w:r>
          </w:p>
          <w:p w14:paraId="53105820" w14:textId="77777777" w:rsidR="00D921A9" w:rsidRPr="00BE116C" w:rsidRDefault="00D921A9" w:rsidP="00890C36">
            <w:pPr>
              <w:autoSpaceDE w:val="0"/>
              <w:autoSpaceDN w:val="0"/>
              <w:adjustRightInd w:val="0"/>
              <w:rPr>
                <w:rFonts w:cs="Times New Roman"/>
                <w:color w:val="272627"/>
              </w:rPr>
            </w:pPr>
          </w:p>
        </w:tc>
      </w:tr>
      <w:bookmarkEnd w:id="41"/>
      <w:tr w:rsidR="00D921A9" w14:paraId="3255C083" w14:textId="77777777" w:rsidTr="00890C36">
        <w:trPr>
          <w:trHeight w:val="526"/>
        </w:trPr>
        <w:tc>
          <w:tcPr>
            <w:tcW w:w="2155" w:type="dxa"/>
          </w:tcPr>
          <w:p w14:paraId="77CEAE88" w14:textId="77777777" w:rsidR="00D921A9" w:rsidRPr="008A30A9" w:rsidRDefault="00D921A9" w:rsidP="00890C36">
            <w:pPr>
              <w:autoSpaceDE w:val="0"/>
              <w:autoSpaceDN w:val="0"/>
              <w:adjustRightInd w:val="0"/>
            </w:pPr>
            <w:r>
              <w:rPr>
                <w:b/>
                <w:bCs w:val="0"/>
                <w:i/>
              </w:rPr>
              <w:t xml:space="preserve">6. </w:t>
            </w:r>
            <w:proofErr w:type="spellStart"/>
            <w:r w:rsidRPr="00777E53">
              <w:rPr>
                <w:b/>
                <w:bCs w:val="0"/>
                <w:i/>
              </w:rPr>
              <w:t>Chitrakar</w:t>
            </w:r>
            <w:proofErr w:type="spellEnd"/>
            <w:r w:rsidRPr="00777E53">
              <w:rPr>
                <w:b/>
                <w:bCs w:val="0"/>
                <w:i/>
              </w:rPr>
              <w:t xml:space="preserve"> v Bell</w:t>
            </w:r>
            <w:r w:rsidRPr="00777E53">
              <w:rPr>
                <w:b/>
                <w:bCs w:val="0"/>
              </w:rPr>
              <w:t xml:space="preserve"> </w:t>
            </w:r>
            <w:r w:rsidRPr="00777E53">
              <w:rPr>
                <w:b/>
                <w:bCs w:val="0"/>
                <w:i/>
              </w:rPr>
              <w:t>TV</w:t>
            </w:r>
            <w:r w:rsidRPr="00777E53">
              <w:rPr>
                <w:b/>
                <w:bCs w:val="0"/>
              </w:rPr>
              <w:t>, 2013 FC 1103</w:t>
            </w:r>
          </w:p>
          <w:p w14:paraId="39FF52E2" w14:textId="77777777" w:rsidR="0078225C" w:rsidRDefault="0078225C" w:rsidP="00890C36">
            <w:pPr>
              <w:autoSpaceDE w:val="0"/>
              <w:autoSpaceDN w:val="0"/>
              <w:adjustRightInd w:val="0"/>
              <w:rPr>
                <w:highlight w:val="white"/>
              </w:rPr>
            </w:pPr>
          </w:p>
          <w:p w14:paraId="012300C6" w14:textId="6A46CA2A" w:rsidR="00E07215" w:rsidRPr="00777E53" w:rsidRDefault="007666CF" w:rsidP="00890C36">
            <w:pPr>
              <w:autoSpaceDE w:val="0"/>
              <w:autoSpaceDN w:val="0"/>
              <w:adjustRightInd w:val="0"/>
              <w:rPr>
                <w:b/>
                <w:bCs w:val="0"/>
                <w:i/>
                <w:highlight w:val="white"/>
              </w:rPr>
            </w:pPr>
            <w:r>
              <w:rPr>
                <w:highlight w:val="white"/>
              </w:rPr>
              <w:t>[A</w:t>
            </w:r>
            <w:r w:rsidRPr="007666CF">
              <w:rPr>
                <w:highlight w:val="white"/>
              </w:rPr>
              <w:t>ppears to</w:t>
            </w:r>
            <w:r w:rsidR="0078225C">
              <w:rPr>
                <w:highlight w:val="white"/>
              </w:rPr>
              <w:t xml:space="preserve"> </w:t>
            </w:r>
            <w:r w:rsidR="00A63D3E">
              <w:rPr>
                <w:highlight w:val="white"/>
              </w:rPr>
              <w:t xml:space="preserve">implicitly </w:t>
            </w:r>
            <w:r w:rsidR="0078225C">
              <w:rPr>
                <w:highlight w:val="white"/>
              </w:rPr>
              <w:t xml:space="preserve"> criticize</w:t>
            </w:r>
            <w:r w:rsidRPr="007666CF">
              <w:rPr>
                <w:highlight w:val="white"/>
              </w:rPr>
              <w:t xml:space="preserve"> </w:t>
            </w:r>
            <w:r w:rsidR="00C055F0" w:rsidRPr="008A30A9">
              <w:rPr>
                <w:i/>
                <w:highlight w:val="white"/>
              </w:rPr>
              <w:t>R</w:t>
            </w:r>
            <w:r w:rsidR="00E07215" w:rsidRPr="008A30A9">
              <w:rPr>
                <w:i/>
                <w:highlight w:val="white"/>
              </w:rPr>
              <w:t>andall</w:t>
            </w:r>
            <w:r w:rsidRPr="008A30A9">
              <w:rPr>
                <w:i/>
                <w:highlight w:val="white"/>
              </w:rPr>
              <w:t xml:space="preserve"> </w:t>
            </w:r>
            <w:r w:rsidRPr="007666CF">
              <w:rPr>
                <w:highlight w:val="white"/>
              </w:rPr>
              <w:t xml:space="preserve">at para </w:t>
            </w:r>
            <w:r w:rsidRPr="007666CF">
              <w:rPr>
                <w:highlight w:val="white"/>
              </w:rPr>
              <w:lastRenderedPageBreak/>
              <w:t>24</w:t>
            </w:r>
            <w:r w:rsidR="00A63D3E">
              <w:rPr>
                <w:highlight w:val="white"/>
              </w:rPr>
              <w:t>, without naming the case.</w:t>
            </w:r>
            <w:r w:rsidR="0078225C">
              <w:rPr>
                <w:highlight w:val="white"/>
              </w:rPr>
              <w:t>]</w:t>
            </w:r>
          </w:p>
        </w:tc>
        <w:tc>
          <w:tcPr>
            <w:tcW w:w="2340" w:type="dxa"/>
          </w:tcPr>
          <w:p w14:paraId="3BAA684E" w14:textId="77777777" w:rsidR="00A63D3E" w:rsidRDefault="00D921A9" w:rsidP="00890C36">
            <w:pPr>
              <w:autoSpaceDE w:val="0"/>
              <w:autoSpaceDN w:val="0"/>
              <w:adjustRightInd w:val="0"/>
            </w:pPr>
            <w:r>
              <w:lastRenderedPageBreak/>
              <w:t xml:space="preserve">The applicant ordered satellite television services from Bell TV and provided his signature on a “proof of delivery” device when the service </w:t>
            </w:r>
            <w:r>
              <w:lastRenderedPageBreak/>
              <w:t>was installed</w:t>
            </w:r>
            <w:r w:rsidR="00A912E7">
              <w:t xml:space="preserve"> at para 5.</w:t>
            </w:r>
            <w:r>
              <w:t xml:space="preserve"> Without </w:t>
            </w:r>
            <w:proofErr w:type="spellStart"/>
            <w:r>
              <w:t>Chitrakar’s</w:t>
            </w:r>
            <w:proofErr w:type="spellEnd"/>
            <w:r>
              <w:t xml:space="preserve"> permission, Bell went on to wrongfully embed the plaintiff’s signature from that device onto a TV rental agreement, which, in turn, permitted Bell to conduct credit checks, at paras 6-7.  </w:t>
            </w:r>
            <w:r w:rsidR="00A912E7">
              <w:t xml:space="preserve">Applicant found out that </w:t>
            </w:r>
            <w:r>
              <w:t xml:space="preserve">Bell </w:t>
            </w:r>
            <w:r w:rsidR="00A912E7">
              <w:t xml:space="preserve">had </w:t>
            </w:r>
            <w:r>
              <w:t xml:space="preserve"> ordered a credit check on </w:t>
            </w:r>
            <w:r w:rsidR="00A912E7">
              <w:t xml:space="preserve">him </w:t>
            </w:r>
            <w:r w:rsidR="00A63D3E">
              <w:t xml:space="preserve">without his </w:t>
            </w:r>
            <w:r>
              <w:t>permission</w:t>
            </w:r>
            <w:r w:rsidR="00A63D3E">
              <w:t>,</w:t>
            </w:r>
            <w:r w:rsidR="00A912E7">
              <w:t xml:space="preserve"> at para 8</w:t>
            </w:r>
            <w:r>
              <w:t xml:space="preserve">. </w:t>
            </w:r>
          </w:p>
          <w:p w14:paraId="55B4698A" w14:textId="77777777" w:rsidR="00A63D3E" w:rsidRDefault="00A63D3E" w:rsidP="00890C36">
            <w:pPr>
              <w:autoSpaceDE w:val="0"/>
              <w:autoSpaceDN w:val="0"/>
              <w:adjustRightInd w:val="0"/>
            </w:pPr>
          </w:p>
          <w:p w14:paraId="36E16F84" w14:textId="37A9BF53" w:rsidR="00D921A9" w:rsidRDefault="00D921A9" w:rsidP="00890C36">
            <w:pPr>
              <w:autoSpaceDE w:val="0"/>
              <w:autoSpaceDN w:val="0"/>
              <w:adjustRightInd w:val="0"/>
            </w:pPr>
            <w:r>
              <w:t>Bell did not appear in proceedings before the privacy commissioner, though served, at para 15</w:t>
            </w:r>
            <w:r w:rsidR="00A63D3E">
              <w:t>, nor</w:t>
            </w:r>
            <w:r>
              <w:t xml:space="preserve"> respond to </w:t>
            </w:r>
            <w:proofErr w:type="spellStart"/>
            <w:r>
              <w:t>Chitrakar’s</w:t>
            </w:r>
            <w:proofErr w:type="spellEnd"/>
            <w:r>
              <w:t xml:space="preserve"> concerns nor even appear at the court hearing, at para 18.</w:t>
            </w:r>
          </w:p>
        </w:tc>
        <w:tc>
          <w:tcPr>
            <w:tcW w:w="3240" w:type="dxa"/>
          </w:tcPr>
          <w:p w14:paraId="017FEEA7" w14:textId="77777777" w:rsidR="00D921A9" w:rsidRDefault="00D921A9" w:rsidP="00890C36">
            <w:r>
              <w:lastRenderedPageBreak/>
              <w:t xml:space="preserve">Court described Bell TV’s </w:t>
            </w:r>
            <w:proofErr w:type="spellStart"/>
            <w:r>
              <w:t>behaviour</w:t>
            </w:r>
            <w:proofErr w:type="spellEnd"/>
            <w:r>
              <w:t xml:space="preserve"> as “reprehensible” in relation to the applicant’s privacy rights, at para 18, including in its failure to appear in the subject proceedings or follow the Privacy Commissioners </w:t>
            </w:r>
            <w:r>
              <w:lastRenderedPageBreak/>
              <w:t xml:space="preserve">recommendations in this matter, at para 18.  It acknowledged that Bell’s “hard check” on the applicant’s credit rating had an adverse effect on that rating, at para 20. </w:t>
            </w:r>
          </w:p>
          <w:p w14:paraId="23F3377D" w14:textId="77777777" w:rsidR="00D921A9" w:rsidRDefault="00D921A9" w:rsidP="00890C36"/>
          <w:p w14:paraId="44A48071" w14:textId="3A678FD2" w:rsidR="00D921A9" w:rsidRDefault="00D921A9" w:rsidP="00890C36">
            <w:r>
              <w:t xml:space="preserve">Court emphasized the importance of a damage </w:t>
            </w:r>
            <w:r w:rsidR="003061DB" w:rsidRPr="003061DB">
              <w:t>award</w:t>
            </w:r>
            <w:r>
              <w:t xml:space="preserve"> that would provide, at para 26, “meaningful compensation, deterrence and vindication”, particularly in relation to a large company like Bell, at para 27.   </w:t>
            </w:r>
          </w:p>
          <w:p w14:paraId="75E03FB5" w14:textId="77777777" w:rsidR="00D921A9" w:rsidRDefault="00D921A9" w:rsidP="00890C36"/>
          <w:p w14:paraId="36F90461" w14:textId="5BFA8358" w:rsidR="00D921A9" w:rsidRDefault="00D921A9" w:rsidP="00890C36">
            <w:r>
              <w:t xml:space="preserve">Without expressly mentioning the decision of </w:t>
            </w:r>
            <w:r>
              <w:rPr>
                <w:i/>
              </w:rPr>
              <w:t xml:space="preserve">Randall v </w:t>
            </w:r>
            <w:proofErr w:type="spellStart"/>
            <w:r>
              <w:rPr>
                <w:i/>
              </w:rPr>
              <w:t>Nubodys</w:t>
            </w:r>
            <w:proofErr w:type="spellEnd"/>
            <w:r>
              <w:rPr>
                <w:i/>
              </w:rPr>
              <w:t xml:space="preserve"> Fitness </w:t>
            </w:r>
            <w:proofErr w:type="spellStart"/>
            <w:r>
              <w:rPr>
                <w:i/>
              </w:rPr>
              <w:t>Centres</w:t>
            </w:r>
            <w:proofErr w:type="spellEnd"/>
            <w:r>
              <w:t>, 2010 FC 681 (summarized in Appendix B of this article), the court indirectly criticized it, stating at para 24:</w:t>
            </w:r>
            <w:r>
              <w:rPr>
                <w:rFonts w:asciiTheme="minorHAnsi" w:hAnsiTheme="minorHAnsi" w:cstheme="minorHAnsi"/>
              </w:rPr>
              <w:t>“there is</w:t>
            </w:r>
            <w:r w:rsidRPr="00AD3E80">
              <w:rPr>
                <w:rFonts w:asciiTheme="minorHAnsi" w:hAnsiTheme="minorHAnsi" w:cstheme="minorHAnsi"/>
              </w:rPr>
              <w:t xml:space="preserve"> no reason to require that the violation be egregious before damages will be </w:t>
            </w:r>
            <w:r w:rsidR="003061DB" w:rsidRPr="003061DB">
              <w:rPr>
                <w:rFonts w:asciiTheme="minorHAnsi" w:hAnsiTheme="minorHAnsi" w:cstheme="minorHAnsi"/>
              </w:rPr>
              <w:t>award</w:t>
            </w:r>
            <w:r w:rsidRPr="00AD3E80">
              <w:rPr>
                <w:rFonts w:asciiTheme="minorHAnsi" w:hAnsiTheme="minorHAnsi" w:cstheme="minorHAnsi"/>
              </w:rPr>
              <w:t>ed. To do so would undermine the legislative intent of paragraph 16</w:t>
            </w:r>
            <w:r w:rsidRPr="00AD3E80">
              <w:rPr>
                <w:rStyle w:val="Emphasis"/>
                <w:rFonts w:asciiTheme="minorHAnsi" w:hAnsiTheme="minorHAnsi" w:cstheme="minorHAnsi"/>
              </w:rPr>
              <w:t>(c)</w:t>
            </w:r>
            <w:r w:rsidRPr="00AD3E80">
              <w:rPr>
                <w:rFonts w:asciiTheme="minorHAnsi" w:hAnsiTheme="minorHAnsi" w:cstheme="minorHAnsi"/>
              </w:rPr>
              <w:t xml:space="preserve"> which provides that damages be </w:t>
            </w:r>
            <w:r w:rsidR="003061DB" w:rsidRPr="003061DB">
              <w:rPr>
                <w:rFonts w:asciiTheme="minorHAnsi" w:hAnsiTheme="minorHAnsi" w:cstheme="minorHAnsi"/>
              </w:rPr>
              <w:t>award</w:t>
            </w:r>
            <w:r w:rsidRPr="00AD3E80">
              <w:rPr>
                <w:rFonts w:asciiTheme="minorHAnsi" w:hAnsiTheme="minorHAnsi" w:cstheme="minorHAnsi"/>
              </w:rPr>
              <w:t>ed for privacy violations including but not limited to damages for humiliation.</w:t>
            </w:r>
            <w:r>
              <w:rPr>
                <w:rFonts w:asciiTheme="minorHAnsi" w:hAnsiTheme="minorHAnsi" w:cstheme="minorHAnsi"/>
              </w:rPr>
              <w:t>”</w:t>
            </w:r>
          </w:p>
          <w:p w14:paraId="0A29E05F" w14:textId="77777777" w:rsidR="00D921A9" w:rsidRDefault="00D921A9" w:rsidP="00890C36"/>
          <w:p w14:paraId="03915BE8" w14:textId="3BF9AD5C" w:rsidR="00D921A9" w:rsidRDefault="00D921A9" w:rsidP="00890C36">
            <w:r>
              <w:t xml:space="preserve">In addition to damages, court </w:t>
            </w:r>
            <w:r w:rsidR="003061DB" w:rsidRPr="003061DB">
              <w:t>award</w:t>
            </w:r>
            <w:r>
              <w:t xml:space="preserve">ed exemplary damages, at para 28 “for Bell's conduct at the time of the  breach of the privacy rights and thereafter. I take account of Bell's dealings with </w:t>
            </w:r>
            <w:proofErr w:type="spellStart"/>
            <w:r>
              <w:t>Chitrakar</w:t>
            </w:r>
            <w:proofErr w:type="spellEnd"/>
            <w:r>
              <w:t xml:space="preserve"> as well as its reactions to the Privacy Commissioner and her recommendations and its failure to take these proceedings seriously.”</w:t>
            </w:r>
          </w:p>
          <w:p w14:paraId="7A7F7A04" w14:textId="77777777" w:rsidR="00D921A9" w:rsidRDefault="00D921A9" w:rsidP="00890C36">
            <w:pPr>
              <w:pBdr>
                <w:top w:val="nil"/>
                <w:left w:val="nil"/>
                <w:bottom w:val="nil"/>
                <w:right w:val="nil"/>
                <w:between w:val="nil"/>
              </w:pBdr>
              <w:spacing w:line="259" w:lineRule="auto"/>
              <w:rPr>
                <w:color w:val="000000"/>
              </w:rPr>
            </w:pPr>
          </w:p>
        </w:tc>
        <w:tc>
          <w:tcPr>
            <w:tcW w:w="1899" w:type="dxa"/>
          </w:tcPr>
          <w:p w14:paraId="0778E823" w14:textId="77347B28" w:rsidR="00D921A9" w:rsidRDefault="00D921A9" w:rsidP="00890C36">
            <w:r w:rsidRPr="00B228D5">
              <w:rPr>
                <w:b/>
                <w:bCs w:val="0"/>
              </w:rPr>
              <w:lastRenderedPageBreak/>
              <w:t>$10,000</w:t>
            </w:r>
            <w:r>
              <w:t xml:space="preserve"> in damages, at para 28</w:t>
            </w:r>
            <w:r w:rsidR="00B90ADB">
              <w:t>,</w:t>
            </w:r>
            <w:r>
              <w:t xml:space="preserve"> plus</w:t>
            </w:r>
          </w:p>
          <w:p w14:paraId="552B2AEB" w14:textId="5828BDF1" w:rsidR="00D921A9" w:rsidRDefault="00D921A9" w:rsidP="00B90ADB">
            <w:r w:rsidRPr="00B228D5">
              <w:rPr>
                <w:b/>
                <w:bCs w:val="0"/>
              </w:rPr>
              <w:t>$10,000</w:t>
            </w:r>
            <w:r>
              <w:t xml:space="preserve"> in exemplary damages plus</w:t>
            </w:r>
            <w:r w:rsidR="00B90ADB">
              <w:t xml:space="preserve">, </w:t>
            </w:r>
            <w:r w:rsidRPr="000132ED">
              <w:t>$1,000</w:t>
            </w:r>
            <w:r>
              <w:t xml:space="preserve"> in costs </w:t>
            </w:r>
            <w:r>
              <w:lastRenderedPageBreak/>
              <w:t xml:space="preserve">for </w:t>
            </w:r>
            <w:r>
              <w:rPr>
                <w:rFonts w:cs="Times New Roman"/>
                <w:color w:val="272627"/>
              </w:rPr>
              <w:t>self-represented litigant</w:t>
            </w:r>
            <w:r>
              <w:t>, at para 29</w:t>
            </w:r>
            <w:r w:rsidR="00B90ADB">
              <w:t>.</w:t>
            </w:r>
          </w:p>
          <w:p w14:paraId="741A5C59" w14:textId="77777777" w:rsidR="00D921A9" w:rsidRDefault="00D921A9" w:rsidP="00890C36"/>
        </w:tc>
      </w:tr>
      <w:tr w:rsidR="00D921A9" w14:paraId="0738E1F0" w14:textId="77777777" w:rsidTr="00890C36">
        <w:trPr>
          <w:trHeight w:val="526"/>
        </w:trPr>
        <w:tc>
          <w:tcPr>
            <w:tcW w:w="2155" w:type="dxa"/>
          </w:tcPr>
          <w:p w14:paraId="1EC736EF" w14:textId="77777777" w:rsidR="00D921A9" w:rsidRPr="008A30A9" w:rsidRDefault="00D921A9" w:rsidP="00890C36">
            <w:pPr>
              <w:autoSpaceDE w:val="0"/>
              <w:autoSpaceDN w:val="0"/>
              <w:adjustRightInd w:val="0"/>
              <w:rPr>
                <w:color w:val="000000"/>
              </w:rPr>
            </w:pPr>
            <w:r>
              <w:rPr>
                <w:b/>
                <w:bCs w:val="0"/>
                <w:i/>
              </w:rPr>
              <w:lastRenderedPageBreak/>
              <w:t xml:space="preserve">7. </w:t>
            </w:r>
            <w:r w:rsidRPr="004112E8">
              <w:rPr>
                <w:b/>
                <w:bCs w:val="0"/>
                <w:i/>
              </w:rPr>
              <w:t>Biron v RBC Royal Bank, </w:t>
            </w:r>
            <w:hyperlink r:id="rId15">
              <w:r w:rsidRPr="004112E8">
                <w:rPr>
                  <w:b/>
                  <w:bCs w:val="0"/>
                  <w:color w:val="000000"/>
                </w:rPr>
                <w:t xml:space="preserve">2012 FC 1095 </w:t>
              </w:r>
            </w:hyperlink>
          </w:p>
          <w:p w14:paraId="6D68C35F" w14:textId="77777777" w:rsidR="0078225C" w:rsidRDefault="0078225C">
            <w:pPr>
              <w:autoSpaceDE w:val="0"/>
              <w:autoSpaceDN w:val="0"/>
              <w:adjustRightInd w:val="0"/>
              <w:rPr>
                <w:iCs/>
              </w:rPr>
            </w:pPr>
          </w:p>
          <w:p w14:paraId="5B934464" w14:textId="63A288D8" w:rsidR="00D921A9" w:rsidRPr="00A86BF3" w:rsidRDefault="0078225C">
            <w:pPr>
              <w:autoSpaceDE w:val="0"/>
              <w:autoSpaceDN w:val="0"/>
              <w:adjustRightInd w:val="0"/>
              <w:rPr>
                <w:b/>
                <w:bCs w:val="0"/>
                <w:iCs/>
              </w:rPr>
            </w:pPr>
            <w:r w:rsidRPr="008A30A9">
              <w:rPr>
                <w:iCs/>
              </w:rPr>
              <w:t>[</w:t>
            </w:r>
            <w:r w:rsidR="00D921A9" w:rsidRPr="008A30A9">
              <w:rPr>
                <w:iCs/>
              </w:rPr>
              <w:t xml:space="preserve">Cites </w:t>
            </w:r>
            <w:r w:rsidR="002B0617" w:rsidRPr="008A30A9">
              <w:rPr>
                <w:i/>
              </w:rPr>
              <w:t>Randall</w:t>
            </w:r>
            <w:r w:rsidR="00D921A9" w:rsidRPr="008A30A9">
              <w:rPr>
                <w:iCs/>
              </w:rPr>
              <w:t xml:space="preserve"> with approval, at para 37</w:t>
            </w:r>
            <w:r w:rsidRPr="005546D7">
              <w:rPr>
                <w:iCs/>
              </w:rPr>
              <w:t>]</w:t>
            </w:r>
          </w:p>
        </w:tc>
        <w:tc>
          <w:tcPr>
            <w:tcW w:w="2340" w:type="dxa"/>
          </w:tcPr>
          <w:p w14:paraId="3BB39ACD" w14:textId="093A05A0" w:rsidR="00D921A9" w:rsidRDefault="00D921A9" w:rsidP="00486D7A">
            <w:pPr>
              <w:autoSpaceDE w:val="0"/>
              <w:autoSpaceDN w:val="0"/>
              <w:adjustRightInd w:val="0"/>
            </w:pPr>
            <w:r>
              <w:t>RBC disclosed Biron’s credit card statements, on a card she held jointly with her husband, to counsel for her husband</w:t>
            </w:r>
            <w:r w:rsidR="00486D7A">
              <w:t>’s ex-wife</w:t>
            </w:r>
            <w:r>
              <w:t>, at para 4</w:t>
            </w:r>
            <w:r w:rsidR="00486D7A">
              <w:t xml:space="preserve"> and following.</w:t>
            </w:r>
            <w:r>
              <w:t xml:space="preserve">  </w:t>
            </w:r>
          </w:p>
        </w:tc>
        <w:tc>
          <w:tcPr>
            <w:tcW w:w="3240" w:type="dxa"/>
          </w:tcPr>
          <w:p w14:paraId="74468894" w14:textId="0904E58B" w:rsidR="00D921A9" w:rsidRDefault="00D921A9" w:rsidP="00890C36">
            <w:pPr>
              <w:pBdr>
                <w:top w:val="nil"/>
                <w:left w:val="nil"/>
                <w:bottom w:val="nil"/>
                <w:right w:val="nil"/>
                <w:between w:val="nil"/>
              </w:pBdr>
              <w:spacing w:line="259" w:lineRule="auto"/>
            </w:pPr>
            <w:r>
              <w:rPr>
                <w:color w:val="000000"/>
              </w:rPr>
              <w:t xml:space="preserve">RBC violated </w:t>
            </w:r>
            <w:r w:rsidR="003061DB" w:rsidRPr="003061DB">
              <w:rPr>
                <w:i/>
                <w:iCs/>
                <w:color w:val="000000"/>
              </w:rPr>
              <w:t>PIPEDA</w:t>
            </w:r>
            <w:r>
              <w:rPr>
                <w:color w:val="000000"/>
              </w:rPr>
              <w:t xml:space="preserve"> in this disclosure, at para</w:t>
            </w:r>
            <w:r w:rsidR="00A63D3E">
              <w:rPr>
                <w:color w:val="000000"/>
              </w:rPr>
              <w:t xml:space="preserve"> 34</w:t>
            </w:r>
            <w:r>
              <w:rPr>
                <w:color w:val="000000"/>
              </w:rPr>
              <w:t xml:space="preserve">.  Of note in determining quantum of damages was that Biron had asked RBC on two occasions to stop disclosing her information, at para 40. </w:t>
            </w:r>
          </w:p>
        </w:tc>
        <w:tc>
          <w:tcPr>
            <w:tcW w:w="1899" w:type="dxa"/>
          </w:tcPr>
          <w:p w14:paraId="512687C2" w14:textId="77777777" w:rsidR="00954251" w:rsidRDefault="00D921A9" w:rsidP="00954251">
            <w:r w:rsidRPr="00A86BF3">
              <w:rPr>
                <w:b/>
                <w:bCs w:val="0"/>
              </w:rPr>
              <w:t>$2,500</w:t>
            </w:r>
            <w:r>
              <w:t xml:space="preserve"> in damages, </w:t>
            </w:r>
            <w:r w:rsidR="00954251">
              <w:t>plus unquantified</w:t>
            </w:r>
          </w:p>
          <w:p w14:paraId="50F29B5D" w14:textId="6FDF4979" w:rsidR="00D921A9" w:rsidRDefault="00954251" w:rsidP="00954251">
            <w:r>
              <w:t xml:space="preserve">“costs” to </w:t>
            </w:r>
            <w:r>
              <w:rPr>
                <w:rFonts w:cs="Times New Roman"/>
                <w:color w:val="272627"/>
              </w:rPr>
              <w:t>self-represented litigant</w:t>
            </w:r>
            <w:r>
              <w:t xml:space="preserve"> </w:t>
            </w:r>
            <w:r w:rsidR="00D921A9">
              <w:t xml:space="preserve">at para </w:t>
            </w:r>
            <w:r>
              <w:t>43</w:t>
            </w:r>
            <w:r w:rsidR="00B90ADB">
              <w:t>.</w:t>
            </w:r>
          </w:p>
          <w:p w14:paraId="3CDD0C97" w14:textId="4B91A6D4" w:rsidR="00D921A9" w:rsidRPr="00A86BF3" w:rsidRDefault="00D921A9"/>
        </w:tc>
      </w:tr>
      <w:tr w:rsidR="00D921A9" w14:paraId="7C4F8994" w14:textId="77777777" w:rsidTr="00890C36">
        <w:trPr>
          <w:trHeight w:val="526"/>
        </w:trPr>
        <w:tc>
          <w:tcPr>
            <w:tcW w:w="2155" w:type="dxa"/>
          </w:tcPr>
          <w:p w14:paraId="2C4068F0" w14:textId="77777777" w:rsidR="00D921A9" w:rsidRDefault="00D921A9" w:rsidP="00890C36">
            <w:pPr>
              <w:rPr>
                <w:b/>
                <w:bCs w:val="0"/>
              </w:rPr>
            </w:pPr>
            <w:r>
              <w:rPr>
                <w:b/>
                <w:bCs w:val="0"/>
                <w:i/>
              </w:rPr>
              <w:lastRenderedPageBreak/>
              <w:t xml:space="preserve">8. </w:t>
            </w:r>
            <w:proofErr w:type="spellStart"/>
            <w:r w:rsidRPr="00606511">
              <w:rPr>
                <w:b/>
                <w:bCs w:val="0"/>
                <w:i/>
              </w:rPr>
              <w:t>Girao</w:t>
            </w:r>
            <w:proofErr w:type="spellEnd"/>
            <w:r w:rsidRPr="00606511">
              <w:rPr>
                <w:b/>
                <w:bCs w:val="0"/>
                <w:i/>
              </w:rPr>
              <w:t xml:space="preserve"> v </w:t>
            </w:r>
            <w:proofErr w:type="spellStart"/>
            <w:r w:rsidRPr="00606511">
              <w:rPr>
                <w:b/>
                <w:bCs w:val="0"/>
                <w:i/>
              </w:rPr>
              <w:t>Zarek</w:t>
            </w:r>
            <w:proofErr w:type="spellEnd"/>
            <w:r w:rsidRPr="00606511">
              <w:rPr>
                <w:b/>
                <w:bCs w:val="0"/>
                <w:i/>
              </w:rPr>
              <w:t xml:space="preserve"> Taylor Grossman Hanrahan LLP</w:t>
            </w:r>
            <w:r w:rsidRPr="00606511">
              <w:rPr>
                <w:b/>
                <w:bCs w:val="0"/>
              </w:rPr>
              <w:t>, 2011 FC 1070</w:t>
            </w:r>
          </w:p>
          <w:p w14:paraId="2986D6FC" w14:textId="77777777" w:rsidR="0078225C" w:rsidRDefault="0078225C">
            <w:pPr>
              <w:rPr>
                <w:b/>
                <w:bCs w:val="0"/>
                <w:iCs/>
                <w:highlight w:val="yellow"/>
              </w:rPr>
            </w:pPr>
          </w:p>
          <w:p w14:paraId="3E06943B" w14:textId="632F52C2" w:rsidR="00D921A9" w:rsidRPr="008A30A9" w:rsidRDefault="00D921A9">
            <w:pPr>
              <w:rPr>
                <w:iCs/>
              </w:rPr>
            </w:pPr>
            <w:r w:rsidRPr="008A30A9">
              <w:rPr>
                <w:iCs/>
              </w:rPr>
              <w:t xml:space="preserve">Cites </w:t>
            </w:r>
            <w:r w:rsidR="002B0617" w:rsidRPr="008A30A9">
              <w:rPr>
                <w:i/>
              </w:rPr>
              <w:t>Randall</w:t>
            </w:r>
            <w:r w:rsidRPr="008A30A9">
              <w:rPr>
                <w:iCs/>
              </w:rPr>
              <w:t xml:space="preserve"> with approval, at para 42  (same judge in both cases)</w:t>
            </w:r>
          </w:p>
          <w:p w14:paraId="1D717B7E" w14:textId="3B2FA9E7" w:rsidR="00D921A9" w:rsidRPr="008B3535" w:rsidRDefault="00D921A9" w:rsidP="00890C36">
            <w:pPr>
              <w:rPr>
                <w:b/>
                <w:bCs w:val="0"/>
                <w:iCs/>
              </w:rPr>
            </w:pPr>
          </w:p>
        </w:tc>
        <w:tc>
          <w:tcPr>
            <w:tcW w:w="2340" w:type="dxa"/>
          </w:tcPr>
          <w:p w14:paraId="259B655F" w14:textId="1E4D796B" w:rsidR="00D921A9" w:rsidRDefault="00D921A9" w:rsidP="00890C36">
            <w:pPr>
              <w:autoSpaceDE w:val="0"/>
              <w:autoSpaceDN w:val="0"/>
              <w:adjustRightInd w:val="0"/>
            </w:pPr>
            <w:r>
              <w:t xml:space="preserve">Respondent law firm posted a report by the Privacy Commissioner on its website under “recent decisions” category which contained the personal medical information of the Applicant, at paras 1 and 29.  Applicant claimed a breach of privacy under </w:t>
            </w:r>
            <w:r w:rsidR="003061DB" w:rsidRPr="003061DB">
              <w:rPr>
                <w:i/>
                <w:iCs/>
              </w:rPr>
              <w:t>PIPEDA</w:t>
            </w:r>
            <w:r>
              <w:t xml:space="preserve"> even though this information was already made public via other proceedings, at para 30-31.</w:t>
            </w:r>
          </w:p>
        </w:tc>
        <w:tc>
          <w:tcPr>
            <w:tcW w:w="3240" w:type="dxa"/>
          </w:tcPr>
          <w:p w14:paraId="558CA3C2" w14:textId="235BECEF" w:rsidR="00D921A9" w:rsidRDefault="00D921A9" w:rsidP="00890C36">
            <w:pPr>
              <w:pBdr>
                <w:top w:val="nil"/>
                <w:left w:val="nil"/>
                <w:bottom w:val="nil"/>
                <w:right w:val="nil"/>
                <w:between w:val="nil"/>
              </w:pBdr>
              <w:spacing w:line="259" w:lineRule="auto"/>
              <w:rPr>
                <w:color w:val="000000"/>
              </w:rPr>
            </w:pPr>
            <w:r>
              <w:rPr>
                <w:color w:val="000000"/>
              </w:rPr>
              <w:t>Court rejected respondent’s argument that</w:t>
            </w:r>
            <w:r w:rsidR="00FF56B1">
              <w:rPr>
                <w:color w:val="000000"/>
              </w:rPr>
              <w:t xml:space="preserve"> the Privacy Commissioner of Canada</w:t>
            </w:r>
            <w:r>
              <w:rPr>
                <w:color w:val="000000"/>
              </w:rPr>
              <w:t xml:space="preserve"> </w:t>
            </w:r>
            <w:r w:rsidR="00FF56B1">
              <w:rPr>
                <w:color w:val="000000"/>
              </w:rPr>
              <w:t>(</w:t>
            </w:r>
            <w:r>
              <w:rPr>
                <w:color w:val="000000"/>
              </w:rPr>
              <w:t>PCC</w:t>
            </w:r>
            <w:r w:rsidR="00FF56B1">
              <w:rPr>
                <w:color w:val="000000"/>
              </w:rPr>
              <w:t>)</w:t>
            </w:r>
            <w:r>
              <w:rPr>
                <w:color w:val="000000"/>
              </w:rPr>
              <w:t xml:space="preserve"> reports should be publicly available in an </w:t>
            </w:r>
            <w:proofErr w:type="spellStart"/>
            <w:r>
              <w:rPr>
                <w:color w:val="000000"/>
              </w:rPr>
              <w:t>unredacted</w:t>
            </w:r>
            <w:proofErr w:type="spellEnd"/>
            <w:r>
              <w:rPr>
                <w:color w:val="000000"/>
              </w:rPr>
              <w:t xml:space="preserve"> way, ruling that the law firm should have taken steps to ensure that applicant was not identifiable in t</w:t>
            </w:r>
            <w:r w:rsidR="00C055F0">
              <w:rPr>
                <w:color w:val="000000"/>
              </w:rPr>
              <w:t>h</w:t>
            </w:r>
            <w:r>
              <w:rPr>
                <w:color w:val="000000"/>
              </w:rPr>
              <w:t xml:space="preserve">e posting, at para 38.  </w:t>
            </w:r>
          </w:p>
          <w:p w14:paraId="0F7336CD" w14:textId="77777777" w:rsidR="00D921A9" w:rsidRDefault="00D921A9" w:rsidP="00890C36">
            <w:pPr>
              <w:pBdr>
                <w:top w:val="nil"/>
                <w:left w:val="nil"/>
                <w:bottom w:val="nil"/>
                <w:right w:val="nil"/>
                <w:between w:val="nil"/>
              </w:pBdr>
              <w:spacing w:line="259" w:lineRule="auto"/>
              <w:rPr>
                <w:color w:val="000000"/>
              </w:rPr>
            </w:pPr>
          </w:p>
          <w:p w14:paraId="520A0A79" w14:textId="77E8CD7D" w:rsidR="00D921A9" w:rsidRDefault="00045157" w:rsidP="00890C36">
            <w:pPr>
              <w:pBdr>
                <w:top w:val="nil"/>
                <w:left w:val="nil"/>
                <w:bottom w:val="nil"/>
                <w:right w:val="nil"/>
                <w:between w:val="nil"/>
              </w:pBdr>
              <w:spacing w:line="259" w:lineRule="auto"/>
              <w:rPr>
                <w:color w:val="000000"/>
              </w:rPr>
            </w:pPr>
            <w:r>
              <w:rPr>
                <w:color w:val="000000"/>
              </w:rPr>
              <w:t>Even though no evidence of pecuniary harm nor of humiliation, at para 55, d</w:t>
            </w:r>
            <w:r w:rsidR="00D921A9">
              <w:rPr>
                <w:color w:val="000000"/>
              </w:rPr>
              <w:t>amages are appropriate because:</w:t>
            </w:r>
          </w:p>
          <w:p w14:paraId="6640A00B" w14:textId="2A809D7B" w:rsidR="00D921A9" w:rsidRDefault="00D921A9" w:rsidP="00890C36">
            <w:pPr>
              <w:pBdr>
                <w:top w:val="nil"/>
                <w:left w:val="nil"/>
                <w:bottom w:val="nil"/>
                <w:right w:val="nil"/>
                <w:between w:val="nil"/>
              </w:pBdr>
              <w:spacing w:line="259" w:lineRule="auto"/>
            </w:pPr>
            <w:r>
              <w:t xml:space="preserve">“Parliament has ensured that Canadians have the right to file complaints with the PCC for investigation without fear of having their personal information disclosed other than in certain constrained circumstances…. To that end, an </w:t>
            </w:r>
            <w:r w:rsidR="003061DB" w:rsidRPr="003061DB">
              <w:t>award</w:t>
            </w:r>
            <w:r>
              <w:t xml:space="preserve"> of damages would further the general objects of </w:t>
            </w:r>
            <w:r w:rsidR="003061DB" w:rsidRPr="003061DB">
              <w:rPr>
                <w:rStyle w:val="Emphasis"/>
              </w:rPr>
              <w:t>PIPEDA</w:t>
            </w:r>
            <w:r>
              <w:t xml:space="preserve"> and uphold the values it embodies. A damage </w:t>
            </w:r>
            <w:r w:rsidR="003061DB" w:rsidRPr="003061DB">
              <w:t>award</w:t>
            </w:r>
            <w:r>
              <w:t xml:space="preserve"> would also send the message to lawyers and individuals with increased public responsibility that they must proceed prudently when dealing with private information” at para 50.</w:t>
            </w:r>
          </w:p>
          <w:p w14:paraId="5848A8E6" w14:textId="77777777" w:rsidR="00D921A9" w:rsidRDefault="00D921A9" w:rsidP="00890C36">
            <w:pPr>
              <w:pBdr>
                <w:top w:val="nil"/>
                <w:left w:val="nil"/>
                <w:bottom w:val="nil"/>
                <w:right w:val="nil"/>
                <w:between w:val="nil"/>
              </w:pBdr>
              <w:spacing w:line="259" w:lineRule="auto"/>
            </w:pPr>
          </w:p>
          <w:p w14:paraId="768476C3" w14:textId="0EA263E9" w:rsidR="00D921A9" w:rsidRPr="00BE116C" w:rsidRDefault="00D921A9" w:rsidP="00890C36">
            <w:pPr>
              <w:pBdr>
                <w:top w:val="nil"/>
                <w:left w:val="nil"/>
                <w:bottom w:val="nil"/>
                <w:right w:val="nil"/>
                <w:between w:val="nil"/>
              </w:pBdr>
              <w:spacing w:line="259" w:lineRule="auto"/>
            </w:pPr>
            <w:r>
              <w:t xml:space="preserve">Court </w:t>
            </w:r>
            <w:r w:rsidR="003061DB" w:rsidRPr="003061DB">
              <w:t>award</w:t>
            </w:r>
            <w:r>
              <w:t>ed damages in the factual context  that the respondent “was careless in posting but did not act in bad faith” and took the posting down promptly, at para 61.</w:t>
            </w:r>
          </w:p>
        </w:tc>
        <w:tc>
          <w:tcPr>
            <w:tcW w:w="1899" w:type="dxa"/>
          </w:tcPr>
          <w:p w14:paraId="20EB7377" w14:textId="4B30F494" w:rsidR="00D921A9" w:rsidRDefault="00D921A9" w:rsidP="00B90ADB">
            <w:r w:rsidRPr="00606511">
              <w:rPr>
                <w:b/>
                <w:bCs w:val="0"/>
              </w:rPr>
              <w:t>$1,500</w:t>
            </w:r>
            <w:r>
              <w:rPr>
                <w:b/>
                <w:bCs w:val="0"/>
              </w:rPr>
              <w:t xml:space="preserve"> </w:t>
            </w:r>
            <w:r w:rsidR="000D1EEE">
              <w:t>in damages, at para 61</w:t>
            </w:r>
            <w:r w:rsidR="00B90ADB">
              <w:t xml:space="preserve">, </w:t>
            </w:r>
            <w:r>
              <w:t>plus</w:t>
            </w:r>
          </w:p>
          <w:p w14:paraId="03B971CD" w14:textId="77777777" w:rsidR="00D921A9" w:rsidRPr="00B5569B" w:rsidRDefault="00D921A9" w:rsidP="00890C36">
            <w:r>
              <w:t>$500 in costs to the</w:t>
            </w:r>
            <w:r>
              <w:rPr>
                <w:rFonts w:cs="Times New Roman"/>
                <w:color w:val="272627"/>
              </w:rPr>
              <w:t xml:space="preserve"> self-represented litigant, at para 63.</w:t>
            </w:r>
          </w:p>
        </w:tc>
      </w:tr>
      <w:tr w:rsidR="00D921A9" w14:paraId="7A8CD42D" w14:textId="77777777" w:rsidTr="00890C36">
        <w:trPr>
          <w:trHeight w:val="526"/>
        </w:trPr>
        <w:tc>
          <w:tcPr>
            <w:tcW w:w="2155" w:type="dxa"/>
          </w:tcPr>
          <w:p w14:paraId="1818EA45" w14:textId="77777777" w:rsidR="00D921A9" w:rsidRPr="008A30A9" w:rsidRDefault="00D921A9" w:rsidP="00890C36">
            <w:r>
              <w:rPr>
                <w:b/>
                <w:bCs w:val="0"/>
                <w:i/>
              </w:rPr>
              <w:t>9</w:t>
            </w:r>
            <w:r w:rsidRPr="000B723C">
              <w:rPr>
                <w:b/>
                <w:bCs w:val="0"/>
                <w:i/>
              </w:rPr>
              <w:t xml:space="preserve">. Landry v Royal Bank of Canada, </w:t>
            </w:r>
            <w:r w:rsidRPr="000B723C">
              <w:rPr>
                <w:b/>
                <w:bCs w:val="0"/>
              </w:rPr>
              <w:t>2011 FC 687</w:t>
            </w:r>
          </w:p>
          <w:p w14:paraId="0EE00B46" w14:textId="508ED7CD" w:rsidR="00D921A9" w:rsidRPr="008A30A9" w:rsidRDefault="0078225C" w:rsidP="00890C36">
            <w:r w:rsidRPr="008A30A9">
              <w:rPr>
                <w:i/>
              </w:rPr>
              <w:t>[</w:t>
            </w:r>
            <w:r w:rsidR="00D921A9" w:rsidRPr="008A30A9">
              <w:rPr>
                <w:i/>
              </w:rPr>
              <w:t>Cites</w:t>
            </w:r>
            <w:r w:rsidR="00D921A9" w:rsidRPr="008A30A9">
              <w:rPr>
                <w:iCs/>
              </w:rPr>
              <w:t xml:space="preserve"> </w:t>
            </w:r>
            <w:r w:rsidR="002B0617" w:rsidRPr="008A30A9">
              <w:rPr>
                <w:i/>
              </w:rPr>
              <w:t>Randall</w:t>
            </w:r>
            <w:r w:rsidR="00D921A9" w:rsidRPr="008A30A9">
              <w:rPr>
                <w:iCs/>
              </w:rPr>
              <w:t xml:space="preserve"> with approval, at para 28</w:t>
            </w:r>
            <w:r w:rsidRPr="008A30A9">
              <w:rPr>
                <w:iCs/>
              </w:rPr>
              <w:t>]</w:t>
            </w:r>
          </w:p>
          <w:p w14:paraId="441D2FDE" w14:textId="44A62877" w:rsidR="00D921A9" w:rsidRPr="00921701" w:rsidRDefault="00D921A9" w:rsidP="00890C36">
            <w:pPr>
              <w:autoSpaceDE w:val="0"/>
              <w:autoSpaceDN w:val="0"/>
              <w:adjustRightInd w:val="0"/>
              <w:rPr>
                <w:b/>
                <w:bCs w:val="0"/>
                <w:i/>
              </w:rPr>
            </w:pPr>
          </w:p>
        </w:tc>
        <w:tc>
          <w:tcPr>
            <w:tcW w:w="2340" w:type="dxa"/>
          </w:tcPr>
          <w:p w14:paraId="2EC23905" w14:textId="68EA644F" w:rsidR="00D921A9" w:rsidRDefault="00D921A9" w:rsidP="001A681C">
            <w:pPr>
              <w:autoSpaceDE w:val="0"/>
              <w:autoSpaceDN w:val="0"/>
              <w:adjustRightInd w:val="0"/>
            </w:pPr>
            <w:r>
              <w:t xml:space="preserve">Bank improperly disclosed bank records to the applicant’s ex-husband during a separate divorce trial, at para </w:t>
            </w:r>
            <w:r w:rsidR="001A681C">
              <w:t>4</w:t>
            </w:r>
            <w:r>
              <w:t xml:space="preserve">. This led to her being humiliated </w:t>
            </w:r>
            <w:r w:rsidR="005A0BD0">
              <w:t xml:space="preserve">including </w:t>
            </w:r>
            <w:r>
              <w:t xml:space="preserve">on the stand </w:t>
            </w:r>
            <w:r>
              <w:lastRenderedPageBreak/>
              <w:t>when her denial of having a personal bank account was refuted by these records, at para 19</w:t>
            </w:r>
          </w:p>
        </w:tc>
        <w:tc>
          <w:tcPr>
            <w:tcW w:w="3240" w:type="dxa"/>
          </w:tcPr>
          <w:p w14:paraId="12BCD319" w14:textId="55DF1088" w:rsidR="00D921A9" w:rsidRDefault="00D921A9">
            <w:r>
              <w:rPr>
                <w:color w:val="000000"/>
              </w:rPr>
              <w:lastRenderedPageBreak/>
              <w:t xml:space="preserve">The court observed that </w:t>
            </w:r>
            <w:r w:rsidR="003061DB" w:rsidRPr="003061DB">
              <w:rPr>
                <w:i/>
                <w:iCs/>
                <w:color w:val="000000"/>
              </w:rPr>
              <w:t>PIPEDA</w:t>
            </w:r>
            <w:r>
              <w:rPr>
                <w:color w:val="000000"/>
              </w:rPr>
              <w:t xml:space="preserve"> was violated because the Bank’s employee made a “major error” and even tried to “</w:t>
            </w:r>
            <w:r w:rsidRPr="000B723C">
              <w:rPr>
                <w:rFonts w:asciiTheme="minorHAnsi" w:eastAsia="Times New Roman" w:hAnsiTheme="minorHAnsi" w:cstheme="minorHAnsi"/>
                <w:lang w:eastAsia="en-CA"/>
              </w:rPr>
              <w:t>cover up her wrongful conduct</w:t>
            </w:r>
            <w:r>
              <w:rPr>
                <w:rFonts w:asciiTheme="minorHAnsi" w:eastAsia="Times New Roman" w:hAnsiTheme="minorHAnsi" w:cstheme="minorHAnsi"/>
                <w:lang w:eastAsia="en-CA"/>
              </w:rPr>
              <w:t>” at para 28.  It also recognized that the applicant “</w:t>
            </w:r>
            <w:r w:rsidRPr="000B723C">
              <w:rPr>
                <w:rFonts w:asciiTheme="minorHAnsi" w:eastAsia="Times New Roman" w:hAnsiTheme="minorHAnsi" w:cstheme="minorHAnsi"/>
                <w:lang w:eastAsia="en-CA"/>
              </w:rPr>
              <w:t xml:space="preserve">contributed to her own misfortune by attempting to conceal under oath </w:t>
            </w:r>
            <w:r w:rsidRPr="000B723C">
              <w:rPr>
                <w:rFonts w:asciiTheme="minorHAnsi" w:eastAsia="Times New Roman" w:hAnsiTheme="minorHAnsi" w:cstheme="minorHAnsi"/>
                <w:lang w:eastAsia="en-CA"/>
              </w:rPr>
              <w:lastRenderedPageBreak/>
              <w:t>the existence of her personal accounts even though she was obliged to disclose their existence</w:t>
            </w:r>
            <w:r>
              <w:rPr>
                <w:rFonts w:asciiTheme="minorHAnsi" w:eastAsia="Times New Roman" w:hAnsiTheme="minorHAnsi" w:cstheme="minorHAnsi"/>
                <w:lang w:eastAsia="en-CA"/>
              </w:rPr>
              <w:t>” at para 29.  Court assessed damages in the context</w:t>
            </w:r>
            <w:r w:rsidR="005A0BD0">
              <w:rPr>
                <w:rFonts w:asciiTheme="minorHAnsi" w:eastAsia="Times New Roman" w:hAnsiTheme="minorHAnsi" w:cstheme="minorHAnsi"/>
                <w:lang w:eastAsia="en-CA"/>
              </w:rPr>
              <w:t xml:space="preserve"> of the applicant’s “contributory fault” at para 32. </w:t>
            </w:r>
          </w:p>
        </w:tc>
        <w:tc>
          <w:tcPr>
            <w:tcW w:w="1899" w:type="dxa"/>
          </w:tcPr>
          <w:p w14:paraId="6D694519" w14:textId="24E891A6" w:rsidR="00D921A9" w:rsidRPr="00A86BF3" w:rsidRDefault="00D921A9" w:rsidP="001A681C">
            <w:r>
              <w:rPr>
                <w:b/>
                <w:bCs w:val="0"/>
              </w:rPr>
              <w:lastRenderedPageBreak/>
              <w:t xml:space="preserve">$4500 </w:t>
            </w:r>
            <w:r>
              <w:t>in damages, at para</w:t>
            </w:r>
            <w:r w:rsidR="001A681C">
              <w:t xml:space="preserve"> 32, p</w:t>
            </w:r>
            <w:r>
              <w:t>lus costs to the self-represented applicant</w:t>
            </w:r>
            <w:r w:rsidR="001A681C">
              <w:t>.</w:t>
            </w:r>
          </w:p>
        </w:tc>
      </w:tr>
      <w:tr w:rsidR="00D921A9" w14:paraId="0996FA22" w14:textId="77777777" w:rsidTr="00890C36">
        <w:trPr>
          <w:trHeight w:val="526"/>
        </w:trPr>
        <w:tc>
          <w:tcPr>
            <w:tcW w:w="2155" w:type="dxa"/>
          </w:tcPr>
          <w:p w14:paraId="07B4CB8C" w14:textId="77777777" w:rsidR="00D921A9" w:rsidRDefault="00D921A9" w:rsidP="00890C36">
            <w:pPr>
              <w:autoSpaceDE w:val="0"/>
              <w:autoSpaceDN w:val="0"/>
              <w:adjustRightInd w:val="0"/>
              <w:rPr>
                <w:b/>
                <w:bCs w:val="0"/>
              </w:rPr>
            </w:pPr>
            <w:r>
              <w:rPr>
                <w:b/>
                <w:bCs w:val="0"/>
                <w:i/>
              </w:rPr>
              <w:lastRenderedPageBreak/>
              <w:t xml:space="preserve">10. </w:t>
            </w:r>
            <w:proofErr w:type="spellStart"/>
            <w:r w:rsidRPr="00A477EF">
              <w:rPr>
                <w:b/>
                <w:bCs w:val="0"/>
                <w:i/>
              </w:rPr>
              <w:t>Nammo</w:t>
            </w:r>
            <w:proofErr w:type="spellEnd"/>
            <w:r w:rsidRPr="00A477EF">
              <w:rPr>
                <w:b/>
                <w:bCs w:val="0"/>
                <w:i/>
              </w:rPr>
              <w:t xml:space="preserve"> v TransUnion of Canada Inc.,</w:t>
            </w:r>
            <w:r w:rsidRPr="00A477EF">
              <w:rPr>
                <w:b/>
                <w:bCs w:val="0"/>
              </w:rPr>
              <w:t xml:space="preserve"> 2010 FC 1284</w:t>
            </w:r>
          </w:p>
          <w:p w14:paraId="64F82538" w14:textId="77777777" w:rsidR="0078225C" w:rsidRDefault="0078225C" w:rsidP="00890C36">
            <w:pPr>
              <w:autoSpaceDE w:val="0"/>
              <w:autoSpaceDN w:val="0"/>
              <w:adjustRightInd w:val="0"/>
              <w:rPr>
                <w:b/>
                <w:bCs w:val="0"/>
                <w:i/>
              </w:rPr>
            </w:pPr>
          </w:p>
          <w:p w14:paraId="3DF15D73" w14:textId="5E073EFD" w:rsidR="00D921A9" w:rsidRPr="008A30A9" w:rsidRDefault="0078225C" w:rsidP="00890C36">
            <w:pPr>
              <w:autoSpaceDE w:val="0"/>
              <w:autoSpaceDN w:val="0"/>
              <w:adjustRightInd w:val="0"/>
              <w:rPr>
                <w:i/>
              </w:rPr>
            </w:pPr>
            <w:r w:rsidRPr="008A30A9">
              <w:rPr>
                <w:i/>
              </w:rPr>
              <w:t>[</w:t>
            </w:r>
            <w:r w:rsidR="00D921A9" w:rsidRPr="008A30A9">
              <w:rPr>
                <w:i/>
              </w:rPr>
              <w:t xml:space="preserve">Cites </w:t>
            </w:r>
            <w:r w:rsidR="002B0617" w:rsidRPr="008A30A9">
              <w:rPr>
                <w:i/>
              </w:rPr>
              <w:t>Randall</w:t>
            </w:r>
            <w:r w:rsidR="00D921A9" w:rsidRPr="008A30A9">
              <w:rPr>
                <w:i/>
              </w:rPr>
              <w:t xml:space="preserve"> with approval, at para </w:t>
            </w:r>
            <w:r w:rsidR="00954251" w:rsidRPr="008A30A9">
              <w:rPr>
                <w:i/>
              </w:rPr>
              <w:t>71</w:t>
            </w:r>
            <w:r w:rsidRPr="008A30A9">
              <w:rPr>
                <w:i/>
              </w:rPr>
              <w:t>]</w:t>
            </w:r>
          </w:p>
        </w:tc>
        <w:tc>
          <w:tcPr>
            <w:tcW w:w="2340" w:type="dxa"/>
          </w:tcPr>
          <w:p w14:paraId="6F9AE954" w14:textId="3EC80487" w:rsidR="00D921A9" w:rsidRDefault="00D921A9" w:rsidP="00890C36">
            <w:pPr>
              <w:autoSpaceDE w:val="0"/>
              <w:autoSpaceDN w:val="0"/>
              <w:adjustRightInd w:val="0"/>
            </w:pPr>
            <w:proofErr w:type="spellStart"/>
            <w:r>
              <w:t>Nammo</w:t>
            </w:r>
            <w:proofErr w:type="spellEnd"/>
            <w:r>
              <w:t xml:space="preserve"> pursued a business opportunity to become a 50% partner in a proposed trucking business in “exchange for using his name, financial history, and expertise to secure the necessary business loan” at para 5. When the applicant applied for a loan from RBC, it was denied on the basis of a negative and false credit report provided by TransUnion of Canada Inc, at para 7.  This ended the business opportunity.  Beyond this, TransUnion did not take steps to clearly correct the record with RBC</w:t>
            </w:r>
            <w:r w:rsidR="005A0BD0">
              <w:t xml:space="preserve">, at para 50. </w:t>
            </w:r>
            <w:proofErr w:type="spellStart"/>
            <w:r>
              <w:t>Nammo</w:t>
            </w:r>
            <w:proofErr w:type="spellEnd"/>
            <w:r>
              <w:t xml:space="preserve"> claimed damages including for humiliation and lost profits. </w:t>
            </w:r>
          </w:p>
        </w:tc>
        <w:tc>
          <w:tcPr>
            <w:tcW w:w="3240" w:type="dxa"/>
          </w:tcPr>
          <w:p w14:paraId="24F63294" w14:textId="06E4D0C1" w:rsidR="00D921A9" w:rsidRDefault="00D921A9" w:rsidP="00890C36">
            <w:pPr>
              <w:pBdr>
                <w:top w:val="nil"/>
                <w:left w:val="nil"/>
                <w:bottom w:val="nil"/>
                <w:right w:val="nil"/>
                <w:between w:val="nil"/>
              </w:pBdr>
              <w:spacing w:line="259" w:lineRule="auto"/>
              <w:rPr>
                <w:iCs/>
                <w:color w:val="000000"/>
              </w:rPr>
            </w:pPr>
            <w:r>
              <w:rPr>
                <w:color w:val="000000"/>
              </w:rPr>
              <w:t xml:space="preserve">Court ruled that the respondent had breached </w:t>
            </w:r>
            <w:r w:rsidR="003061DB" w:rsidRPr="003061DB">
              <w:rPr>
                <w:i/>
                <w:iCs/>
                <w:color w:val="000000"/>
              </w:rPr>
              <w:t>PIPEDA</w:t>
            </w:r>
            <w:r>
              <w:rPr>
                <w:color w:val="000000"/>
              </w:rPr>
              <w:t xml:space="preserve"> by supplying false credit information, at para</w:t>
            </w:r>
            <w:r>
              <w:rPr>
                <w:iCs/>
                <w:color w:val="000000"/>
              </w:rPr>
              <w:t xml:space="preserve"> 43, and for failing to correct the record appropriately, at para 50.  </w:t>
            </w:r>
          </w:p>
          <w:p w14:paraId="13FF235F" w14:textId="77777777" w:rsidR="00D921A9" w:rsidRDefault="00D921A9" w:rsidP="00890C36">
            <w:pPr>
              <w:pBdr>
                <w:top w:val="nil"/>
                <w:left w:val="nil"/>
                <w:bottom w:val="nil"/>
                <w:right w:val="nil"/>
                <w:between w:val="nil"/>
              </w:pBdr>
              <w:spacing w:line="259" w:lineRule="auto"/>
              <w:rPr>
                <w:iCs/>
              </w:rPr>
            </w:pPr>
          </w:p>
          <w:p w14:paraId="3DFCB18E" w14:textId="6DCF0AB4" w:rsidR="00D921A9" w:rsidRDefault="00D921A9" w:rsidP="00890C36">
            <w:pPr>
              <w:pBdr>
                <w:top w:val="nil"/>
                <w:left w:val="nil"/>
                <w:bottom w:val="nil"/>
                <w:right w:val="nil"/>
                <w:between w:val="nil"/>
              </w:pBdr>
              <w:spacing w:line="259" w:lineRule="auto"/>
              <w:rPr>
                <w:iCs/>
                <w:color w:val="000000"/>
              </w:rPr>
            </w:pPr>
            <w:r>
              <w:rPr>
                <w:iCs/>
              </w:rPr>
              <w:t xml:space="preserve">The applicant could not prove any business loss, at para 65, but the court ruled that it </w:t>
            </w:r>
            <w:r>
              <w:rPr>
                <w:color w:val="000000"/>
              </w:rPr>
              <w:t xml:space="preserve">had jurisdiction to </w:t>
            </w:r>
            <w:r w:rsidR="003061DB" w:rsidRPr="003061DB">
              <w:rPr>
                <w:color w:val="000000"/>
              </w:rPr>
              <w:t>award</w:t>
            </w:r>
            <w:r>
              <w:rPr>
                <w:color w:val="000000"/>
              </w:rPr>
              <w:t xml:space="preserve"> damages under </w:t>
            </w:r>
            <w:r w:rsidR="00957BBE">
              <w:rPr>
                <w:color w:val="000000"/>
              </w:rPr>
              <w:t>section</w:t>
            </w:r>
            <w:r>
              <w:rPr>
                <w:color w:val="000000"/>
              </w:rPr>
              <w:t xml:space="preserve"> 16 of </w:t>
            </w:r>
            <w:r w:rsidR="003061DB" w:rsidRPr="003061DB">
              <w:rPr>
                <w:i/>
                <w:iCs/>
                <w:color w:val="000000"/>
              </w:rPr>
              <w:t>PIPEDA</w:t>
            </w:r>
            <w:r>
              <w:rPr>
                <w:i/>
                <w:color w:val="000000"/>
              </w:rPr>
              <w:t xml:space="preserve"> </w:t>
            </w:r>
            <w:r>
              <w:rPr>
                <w:iCs/>
                <w:color w:val="000000"/>
              </w:rPr>
              <w:t>“even when no actual financial loss is proven” at para 71. This was particularly the case because TransUnion’s “</w:t>
            </w:r>
            <w:r>
              <w:t>was a serious breach involving financial information of high personal and professional importance” at para 71.</w:t>
            </w:r>
          </w:p>
          <w:p w14:paraId="22345759" w14:textId="77777777" w:rsidR="00D921A9" w:rsidRDefault="00D921A9" w:rsidP="00890C36">
            <w:pPr>
              <w:pBdr>
                <w:top w:val="nil"/>
                <w:left w:val="nil"/>
                <w:bottom w:val="nil"/>
                <w:right w:val="nil"/>
                <w:between w:val="nil"/>
              </w:pBdr>
              <w:spacing w:line="259" w:lineRule="auto"/>
              <w:rPr>
                <w:iCs/>
              </w:rPr>
            </w:pPr>
          </w:p>
          <w:p w14:paraId="4D07C51A" w14:textId="28DB58E3" w:rsidR="00D921A9" w:rsidRDefault="00D921A9" w:rsidP="0030459C">
            <w:pPr>
              <w:pBdr>
                <w:top w:val="nil"/>
                <w:left w:val="nil"/>
                <w:bottom w:val="nil"/>
                <w:right w:val="nil"/>
                <w:between w:val="nil"/>
              </w:pBdr>
              <w:spacing w:line="259" w:lineRule="auto"/>
            </w:pPr>
            <w:r>
              <w:rPr>
                <w:iCs/>
              </w:rPr>
              <w:t xml:space="preserve">Court relied on </w:t>
            </w:r>
            <w:r w:rsidR="003061DB" w:rsidRPr="003061DB">
              <w:rPr>
                <w:rStyle w:val="Emphasis"/>
              </w:rPr>
              <w:t>Ward</w:t>
            </w:r>
            <w:r>
              <w:rPr>
                <w:iCs/>
              </w:rPr>
              <w:t xml:space="preserve"> where the SCC, in the context of a </w:t>
            </w:r>
            <w:r w:rsidR="003061DB" w:rsidRPr="003061DB">
              <w:rPr>
                <w:i/>
                <w:iCs/>
              </w:rPr>
              <w:t>Charter</w:t>
            </w:r>
            <w:r>
              <w:rPr>
                <w:iCs/>
              </w:rPr>
              <w:t xml:space="preserve"> breach, </w:t>
            </w:r>
            <w:r w:rsidR="003061DB" w:rsidRPr="003061DB">
              <w:t>award</w:t>
            </w:r>
            <w:r>
              <w:rPr>
                <w:iCs/>
              </w:rPr>
              <w:t xml:space="preserve">ed damages absent financial loss.  This was because it identified several goals in </w:t>
            </w:r>
            <w:r w:rsidR="003061DB" w:rsidRPr="003061DB">
              <w:t>awarding</w:t>
            </w:r>
            <w:r>
              <w:rPr>
                <w:iCs/>
              </w:rPr>
              <w:t xml:space="preserve"> damages:  “</w:t>
            </w:r>
            <w:r>
              <w:t xml:space="preserve">these include compensation, for which loss is relevant, but also vindication and deterrence, for which loss is not a </w:t>
            </w:r>
          </w:p>
          <w:p w14:paraId="7740292B" w14:textId="1416E7AD" w:rsidR="00B5106E" w:rsidRDefault="00D921A9" w:rsidP="00DE24DD">
            <w:pPr>
              <w:pBdr>
                <w:top w:val="nil"/>
                <w:left w:val="nil"/>
                <w:bottom w:val="nil"/>
                <w:right w:val="nil"/>
                <w:between w:val="nil"/>
              </w:pBdr>
              <w:spacing w:after="160" w:line="259" w:lineRule="auto"/>
            </w:pPr>
            <w:r>
              <w:t>for which loss is not a determinative factor,” at para 72.</w:t>
            </w:r>
          </w:p>
          <w:p w14:paraId="42543151" w14:textId="350AC0C4" w:rsidR="00D921A9" w:rsidRDefault="00D921A9" w:rsidP="00DE24DD">
            <w:pPr>
              <w:pBdr>
                <w:top w:val="nil"/>
                <w:left w:val="nil"/>
                <w:bottom w:val="nil"/>
                <w:right w:val="nil"/>
                <w:between w:val="nil"/>
              </w:pBdr>
              <w:spacing w:after="160" w:line="259" w:lineRule="auto"/>
            </w:pPr>
            <w:r>
              <w:t xml:space="preserve">Following </w:t>
            </w:r>
            <w:r w:rsidR="003061DB" w:rsidRPr="003061DB">
              <w:rPr>
                <w:i/>
                <w:iCs/>
              </w:rPr>
              <w:t>Ward</w:t>
            </w:r>
            <w:r>
              <w:t xml:space="preserve">, the court </w:t>
            </w:r>
            <w:r w:rsidR="003061DB" w:rsidRPr="003061DB">
              <w:t>award</w:t>
            </w:r>
            <w:r>
              <w:t>ed damages for the humiliation of the dissemination of false credit information, at para 79.</w:t>
            </w:r>
          </w:p>
        </w:tc>
        <w:tc>
          <w:tcPr>
            <w:tcW w:w="1899" w:type="dxa"/>
          </w:tcPr>
          <w:p w14:paraId="7550B53E" w14:textId="2AE6637F" w:rsidR="00D921A9" w:rsidRDefault="00D921A9" w:rsidP="001A681C">
            <w:r w:rsidRPr="00A477EF">
              <w:rPr>
                <w:b/>
                <w:bCs w:val="0"/>
              </w:rPr>
              <w:t>$5,000</w:t>
            </w:r>
            <w:r>
              <w:rPr>
                <w:b/>
                <w:bCs w:val="0"/>
              </w:rPr>
              <w:t xml:space="preserve"> </w:t>
            </w:r>
            <w:r>
              <w:t xml:space="preserve">in damages, at para </w:t>
            </w:r>
            <w:r w:rsidR="001A681C">
              <w:t xml:space="preserve">79, </w:t>
            </w:r>
            <w:r>
              <w:t>plus</w:t>
            </w:r>
          </w:p>
          <w:p w14:paraId="3445F579" w14:textId="5309DA31" w:rsidR="00D921A9" w:rsidRDefault="00D921A9" w:rsidP="00890C36">
            <w:r>
              <w:t>$1,000 in costs for the</w:t>
            </w:r>
            <w:r>
              <w:rPr>
                <w:rFonts w:cs="Times New Roman"/>
                <w:color w:val="272627"/>
              </w:rPr>
              <w:t xml:space="preserve"> self-represented litigant, at para</w:t>
            </w:r>
            <w:r w:rsidR="001A681C">
              <w:rPr>
                <w:rFonts w:cs="Times New Roman"/>
                <w:color w:val="272627"/>
              </w:rPr>
              <w:t xml:space="preserve"> 81.</w:t>
            </w:r>
            <w:r>
              <w:rPr>
                <w:rFonts w:cs="Times New Roman"/>
                <w:color w:val="272627"/>
              </w:rPr>
              <w:t xml:space="preserve"> </w:t>
            </w:r>
          </w:p>
          <w:p w14:paraId="7AE6F6CC" w14:textId="77777777" w:rsidR="00D921A9" w:rsidRPr="00E9662E" w:rsidRDefault="00D921A9" w:rsidP="00890C36"/>
        </w:tc>
      </w:tr>
    </w:tbl>
    <w:p w14:paraId="00068DF2" w14:textId="77777777" w:rsidR="00D921A9" w:rsidRDefault="00D921A9" w:rsidP="00890C36">
      <w:pPr>
        <w:autoSpaceDE w:val="0"/>
        <w:autoSpaceDN w:val="0"/>
        <w:adjustRightInd w:val="0"/>
        <w:rPr>
          <w:rFonts w:ascii="Times New Roman" w:hAnsi="Times New Roman" w:cs="Times New Roman"/>
          <w:color w:val="272627"/>
          <w:sz w:val="36"/>
          <w:szCs w:val="36"/>
          <w:lang w:val="en-US"/>
        </w:rPr>
      </w:pPr>
    </w:p>
    <w:p w14:paraId="3986436A" w14:textId="77777777" w:rsidR="00C85060" w:rsidRDefault="00C85060" w:rsidP="00890C36">
      <w:pPr>
        <w:jc w:val="center"/>
        <w:rPr>
          <w:b/>
        </w:rPr>
      </w:pPr>
    </w:p>
    <w:p w14:paraId="7FB5CA9A" w14:textId="77777777" w:rsidR="00C85060" w:rsidRDefault="00C85060" w:rsidP="00890C36">
      <w:pPr>
        <w:jc w:val="center"/>
        <w:rPr>
          <w:b/>
        </w:rPr>
      </w:pPr>
    </w:p>
    <w:p w14:paraId="05F1CB50" w14:textId="77777777" w:rsidR="00C85060" w:rsidRDefault="00C85060" w:rsidP="00890C36">
      <w:pPr>
        <w:jc w:val="center"/>
        <w:rPr>
          <w:b/>
        </w:rPr>
      </w:pPr>
    </w:p>
    <w:p w14:paraId="3E3066FB" w14:textId="77777777" w:rsidR="00C85060" w:rsidRDefault="00C85060" w:rsidP="00890C36">
      <w:pPr>
        <w:jc w:val="center"/>
        <w:rPr>
          <w:b/>
        </w:rPr>
      </w:pPr>
    </w:p>
    <w:p w14:paraId="4909EDF6" w14:textId="77777777" w:rsidR="00DD1912" w:rsidRDefault="00DD1912" w:rsidP="00890C36">
      <w:pPr>
        <w:jc w:val="center"/>
        <w:rPr>
          <w:b/>
        </w:rPr>
      </w:pPr>
    </w:p>
    <w:p w14:paraId="15950BC7" w14:textId="047D9F1A" w:rsidR="00D921A9" w:rsidRPr="00F56379" w:rsidRDefault="00D921A9" w:rsidP="00890C36">
      <w:pPr>
        <w:jc w:val="center"/>
        <w:rPr>
          <w:b/>
          <w:bCs/>
        </w:rPr>
      </w:pPr>
      <w:r w:rsidRPr="00F56379">
        <w:rPr>
          <w:b/>
        </w:rPr>
        <w:t xml:space="preserve">Appendix B: Unsuccessful Applications for Damages under </w:t>
      </w:r>
      <w:r w:rsidR="003061DB" w:rsidRPr="003061DB">
        <w:rPr>
          <w:b/>
          <w:i/>
          <w:iCs/>
        </w:rPr>
        <w:t>PIPEDA</w:t>
      </w:r>
      <w:r>
        <w:rPr>
          <w:b/>
          <w:bCs/>
        </w:rPr>
        <w:t xml:space="preserve"> in a Commercial Context</w:t>
      </w:r>
      <w:r w:rsidRPr="00F56379">
        <w:rPr>
          <w:b/>
        </w:rPr>
        <w:t>**</w:t>
      </w:r>
    </w:p>
    <w:p w14:paraId="11F18286" w14:textId="77777777" w:rsidR="00D921A9" w:rsidRPr="00F56379" w:rsidRDefault="00D921A9" w:rsidP="00890C36">
      <w:pPr>
        <w:jc w:val="center"/>
        <w:rPr>
          <w:b/>
          <w:bCs/>
        </w:rPr>
      </w:pPr>
      <w:r w:rsidRPr="00F56379">
        <w:rPr>
          <w:b/>
        </w:rPr>
        <w:t>(**as at May 2, 202</w:t>
      </w:r>
      <w:r>
        <w:rPr>
          <w:b/>
        </w:rPr>
        <w:t>1)</w:t>
      </w:r>
    </w:p>
    <w:p w14:paraId="3735D3D5" w14:textId="77777777" w:rsidR="00D921A9" w:rsidRDefault="00D921A9">
      <w:pPr>
        <w:rPr>
          <w:rFonts w:ascii="Times New Roman" w:hAnsi="Times New Roman" w:cs="Times New Roman"/>
        </w:rPr>
      </w:pPr>
    </w:p>
    <w:tbl>
      <w:tblPr>
        <w:tblStyle w:val="TableGrid"/>
        <w:tblW w:w="9351" w:type="dxa"/>
        <w:tblLook w:val="04A0" w:firstRow="1" w:lastRow="0" w:firstColumn="1" w:lastColumn="0" w:noHBand="0" w:noVBand="1"/>
      </w:tblPr>
      <w:tblGrid>
        <w:gridCol w:w="1875"/>
        <w:gridCol w:w="3243"/>
        <w:gridCol w:w="4233"/>
      </w:tblGrid>
      <w:tr w:rsidR="00D921A9" w14:paraId="54BCFD73" w14:textId="77777777" w:rsidTr="00890C36">
        <w:trPr>
          <w:trHeight w:val="620"/>
          <w:tblHeader/>
        </w:trPr>
        <w:tc>
          <w:tcPr>
            <w:tcW w:w="1875" w:type="dxa"/>
          </w:tcPr>
          <w:p w14:paraId="270C5571" w14:textId="77777777" w:rsidR="00D921A9" w:rsidRPr="00B279AF" w:rsidRDefault="00D921A9" w:rsidP="00890C36">
            <w:pPr>
              <w:autoSpaceDE w:val="0"/>
              <w:autoSpaceDN w:val="0"/>
              <w:adjustRightInd w:val="0"/>
              <w:jc w:val="center"/>
              <w:rPr>
                <w:rFonts w:ascii="Times New Roman" w:hAnsi="Times New Roman" w:cs="Times New Roman"/>
                <w:b/>
                <w:bCs w:val="0"/>
                <w:smallCaps/>
                <w:color w:val="272627"/>
                <w:sz w:val="24"/>
                <w:szCs w:val="24"/>
              </w:rPr>
            </w:pPr>
          </w:p>
          <w:p w14:paraId="1F369955" w14:textId="77777777" w:rsidR="00D921A9" w:rsidRPr="00B279AF" w:rsidRDefault="00D921A9" w:rsidP="00890C36">
            <w:pPr>
              <w:autoSpaceDE w:val="0"/>
              <w:autoSpaceDN w:val="0"/>
              <w:adjustRightInd w:val="0"/>
              <w:contextualSpacing/>
              <w:jc w:val="center"/>
              <w:rPr>
                <w:rFonts w:ascii="Times New Roman" w:hAnsi="Times New Roman" w:cs="Times New Roman"/>
                <w:b/>
                <w:bCs w:val="0"/>
                <w:smallCaps/>
                <w:color w:val="272627"/>
                <w:sz w:val="24"/>
                <w:szCs w:val="24"/>
              </w:rPr>
            </w:pPr>
            <w:r w:rsidRPr="00B279AF">
              <w:rPr>
                <w:rFonts w:ascii="Times New Roman" w:hAnsi="Times New Roman" w:cs="Times New Roman"/>
                <w:b/>
                <w:bCs w:val="0"/>
                <w:smallCaps/>
                <w:color w:val="272627"/>
                <w:sz w:val="24"/>
                <w:szCs w:val="24"/>
              </w:rPr>
              <w:t>Case</w:t>
            </w:r>
          </w:p>
        </w:tc>
        <w:tc>
          <w:tcPr>
            <w:tcW w:w="3243" w:type="dxa"/>
          </w:tcPr>
          <w:p w14:paraId="0CA51E16" w14:textId="77777777" w:rsidR="00D921A9" w:rsidRPr="00B279AF" w:rsidRDefault="00D921A9" w:rsidP="00890C36">
            <w:pPr>
              <w:autoSpaceDE w:val="0"/>
              <w:autoSpaceDN w:val="0"/>
              <w:adjustRightInd w:val="0"/>
              <w:jc w:val="center"/>
              <w:rPr>
                <w:rFonts w:ascii="Times New Roman" w:hAnsi="Times New Roman" w:cs="Times New Roman"/>
                <w:b/>
                <w:bCs w:val="0"/>
                <w:smallCaps/>
                <w:color w:val="272627"/>
                <w:sz w:val="24"/>
                <w:szCs w:val="24"/>
              </w:rPr>
            </w:pPr>
          </w:p>
          <w:p w14:paraId="357FDB0E" w14:textId="77777777" w:rsidR="00D921A9" w:rsidRPr="00B279AF" w:rsidRDefault="00D921A9" w:rsidP="00890C36">
            <w:pPr>
              <w:autoSpaceDE w:val="0"/>
              <w:autoSpaceDN w:val="0"/>
              <w:adjustRightInd w:val="0"/>
              <w:jc w:val="center"/>
              <w:rPr>
                <w:rFonts w:ascii="Times New Roman" w:hAnsi="Times New Roman" w:cs="Times New Roman"/>
                <w:b/>
                <w:bCs w:val="0"/>
                <w:smallCaps/>
                <w:color w:val="272627"/>
                <w:sz w:val="24"/>
                <w:szCs w:val="24"/>
              </w:rPr>
            </w:pPr>
            <w:r w:rsidRPr="00B279AF">
              <w:rPr>
                <w:rFonts w:ascii="Times New Roman" w:hAnsi="Times New Roman" w:cs="Times New Roman"/>
                <w:b/>
                <w:bCs w:val="0"/>
                <w:smallCaps/>
                <w:color w:val="272627"/>
                <w:sz w:val="24"/>
                <w:szCs w:val="24"/>
              </w:rPr>
              <w:t>Facts</w:t>
            </w:r>
          </w:p>
          <w:p w14:paraId="0503703F" w14:textId="77777777" w:rsidR="00D921A9" w:rsidRPr="00B279AF" w:rsidRDefault="00D921A9" w:rsidP="00890C36">
            <w:pPr>
              <w:autoSpaceDE w:val="0"/>
              <w:autoSpaceDN w:val="0"/>
              <w:adjustRightInd w:val="0"/>
              <w:jc w:val="center"/>
              <w:rPr>
                <w:rFonts w:ascii="Times New Roman" w:hAnsi="Times New Roman" w:cs="Times New Roman"/>
                <w:b/>
                <w:bCs w:val="0"/>
                <w:smallCaps/>
                <w:color w:val="272627"/>
                <w:sz w:val="24"/>
                <w:szCs w:val="24"/>
              </w:rPr>
            </w:pPr>
          </w:p>
        </w:tc>
        <w:tc>
          <w:tcPr>
            <w:tcW w:w="4233" w:type="dxa"/>
          </w:tcPr>
          <w:p w14:paraId="6FF5D14A" w14:textId="77777777" w:rsidR="00D921A9" w:rsidRPr="00B279AF" w:rsidRDefault="00D921A9" w:rsidP="00890C36">
            <w:pPr>
              <w:autoSpaceDE w:val="0"/>
              <w:autoSpaceDN w:val="0"/>
              <w:adjustRightInd w:val="0"/>
              <w:jc w:val="center"/>
              <w:rPr>
                <w:rFonts w:ascii="Times New Roman" w:hAnsi="Times New Roman" w:cs="Times New Roman"/>
                <w:b/>
                <w:bCs w:val="0"/>
                <w:smallCaps/>
                <w:color w:val="272627"/>
                <w:sz w:val="24"/>
                <w:szCs w:val="24"/>
              </w:rPr>
            </w:pPr>
          </w:p>
          <w:p w14:paraId="446AEAC2" w14:textId="77777777" w:rsidR="00D921A9" w:rsidRPr="00B279AF" w:rsidRDefault="00D921A9" w:rsidP="00890C36">
            <w:pPr>
              <w:autoSpaceDE w:val="0"/>
              <w:autoSpaceDN w:val="0"/>
              <w:adjustRightInd w:val="0"/>
              <w:jc w:val="center"/>
              <w:rPr>
                <w:rFonts w:ascii="Times New Roman" w:hAnsi="Times New Roman" w:cs="Times New Roman"/>
                <w:b/>
                <w:bCs w:val="0"/>
                <w:smallCaps/>
                <w:color w:val="272627"/>
                <w:sz w:val="24"/>
                <w:szCs w:val="24"/>
              </w:rPr>
            </w:pPr>
            <w:r w:rsidRPr="00B279AF">
              <w:rPr>
                <w:rFonts w:ascii="Times New Roman" w:hAnsi="Times New Roman" w:cs="Times New Roman"/>
                <w:b/>
                <w:bCs w:val="0"/>
                <w:smallCaps/>
                <w:color w:val="272627"/>
                <w:sz w:val="24"/>
                <w:szCs w:val="24"/>
              </w:rPr>
              <w:t>Judicial Analysis</w:t>
            </w:r>
          </w:p>
        </w:tc>
      </w:tr>
      <w:tr w:rsidR="00D921A9" w14:paraId="5A06D6AB" w14:textId="77777777" w:rsidTr="00890C36">
        <w:trPr>
          <w:trHeight w:val="948"/>
        </w:trPr>
        <w:tc>
          <w:tcPr>
            <w:tcW w:w="1875" w:type="dxa"/>
          </w:tcPr>
          <w:p w14:paraId="715410F9" w14:textId="77777777" w:rsidR="00D921A9" w:rsidRPr="002067BF" w:rsidRDefault="00D921A9" w:rsidP="00890C36">
            <w:pPr>
              <w:autoSpaceDE w:val="0"/>
              <w:autoSpaceDN w:val="0"/>
              <w:adjustRightInd w:val="0"/>
              <w:rPr>
                <w:rFonts w:cs="Times New Roman"/>
                <w:b/>
                <w:bCs w:val="0"/>
                <w:color w:val="272627"/>
              </w:rPr>
            </w:pPr>
            <w:r>
              <w:rPr>
                <w:rFonts w:cs="Times New Roman"/>
                <w:b/>
                <w:bCs w:val="0"/>
                <w:i/>
                <w:color w:val="272627"/>
              </w:rPr>
              <w:t>1.</w:t>
            </w:r>
            <w:r w:rsidRPr="002067BF">
              <w:rPr>
                <w:rFonts w:cs="Times New Roman"/>
                <w:b/>
                <w:bCs w:val="0"/>
                <w:i/>
                <w:color w:val="272627"/>
              </w:rPr>
              <w:t xml:space="preserve">Kwan v Amex Bank of Canada, </w:t>
            </w:r>
            <w:r w:rsidRPr="002067BF">
              <w:rPr>
                <w:rFonts w:cs="Times New Roman"/>
                <w:b/>
                <w:bCs w:val="0"/>
                <w:iCs/>
                <w:color w:val="272627"/>
              </w:rPr>
              <w:t>2019 FC 968</w:t>
            </w:r>
          </w:p>
          <w:p w14:paraId="411C0563" w14:textId="77777777" w:rsidR="00D921A9" w:rsidRPr="002067BF" w:rsidRDefault="00D921A9" w:rsidP="00890C36">
            <w:pPr>
              <w:autoSpaceDE w:val="0"/>
              <w:autoSpaceDN w:val="0"/>
              <w:adjustRightInd w:val="0"/>
              <w:rPr>
                <w:rFonts w:cs="Times New Roman"/>
                <w:color w:val="272627"/>
              </w:rPr>
            </w:pPr>
          </w:p>
        </w:tc>
        <w:tc>
          <w:tcPr>
            <w:tcW w:w="3243" w:type="dxa"/>
          </w:tcPr>
          <w:p w14:paraId="6B077437" w14:textId="7C7858EE" w:rsidR="00D921A9" w:rsidRPr="004A3BD7" w:rsidRDefault="00D921A9" w:rsidP="00890C36">
            <w:pPr>
              <w:autoSpaceDE w:val="0"/>
              <w:autoSpaceDN w:val="0"/>
              <w:adjustRightInd w:val="0"/>
              <w:rPr>
                <w:rFonts w:cs="Times New Roman"/>
                <w:color w:val="272627"/>
              </w:rPr>
            </w:pPr>
            <w:r>
              <w:t>Applicant applied for a credit card from Amex, later alleging that Amex wrongfully used her information beyond its intended purposes, failed to keep accurate records, and fabricated records of her phone conversations with its representatives</w:t>
            </w:r>
            <w:r w:rsidR="00181947">
              <w:t>, at para 1.</w:t>
            </w:r>
          </w:p>
        </w:tc>
        <w:tc>
          <w:tcPr>
            <w:tcW w:w="4233" w:type="dxa"/>
          </w:tcPr>
          <w:p w14:paraId="1802463D" w14:textId="7C70481A" w:rsidR="00D921A9" w:rsidRDefault="00D921A9" w:rsidP="007F4395">
            <w:pPr>
              <w:autoSpaceDE w:val="0"/>
              <w:autoSpaceDN w:val="0"/>
              <w:adjustRightInd w:val="0"/>
              <w:rPr>
                <w:rFonts w:cs="Times New Roman"/>
                <w:color w:val="272627"/>
              </w:rPr>
            </w:pPr>
            <w:r>
              <w:rPr>
                <w:rFonts w:cs="Times New Roman"/>
                <w:color w:val="272627"/>
              </w:rPr>
              <w:t xml:space="preserve">No damages </w:t>
            </w:r>
            <w:r w:rsidR="003061DB" w:rsidRPr="003061DB">
              <w:rPr>
                <w:rFonts w:cs="Times New Roman"/>
                <w:color w:val="272627"/>
              </w:rPr>
              <w:t>award</w:t>
            </w:r>
            <w:r>
              <w:rPr>
                <w:rFonts w:cs="Times New Roman"/>
                <w:color w:val="272627"/>
              </w:rPr>
              <w:t xml:space="preserve">ed because applicant failed to prove her case, at para 20. Court found that Amex lawfully collected information for a valid purpose and kept </w:t>
            </w:r>
            <w:r w:rsidR="007F4395">
              <w:rPr>
                <w:rFonts w:cs="Times New Roman"/>
                <w:color w:val="272627"/>
              </w:rPr>
              <w:t>accurate</w:t>
            </w:r>
            <w:r>
              <w:rPr>
                <w:rFonts w:cs="Times New Roman"/>
                <w:color w:val="272627"/>
              </w:rPr>
              <w:t xml:space="preserve"> records, at paras 13, 15, and 18. </w:t>
            </w:r>
          </w:p>
          <w:p w14:paraId="2A4D4723" w14:textId="77777777" w:rsidR="00D921A9" w:rsidRDefault="00D921A9" w:rsidP="00890C36">
            <w:pPr>
              <w:autoSpaceDE w:val="0"/>
              <w:autoSpaceDN w:val="0"/>
              <w:adjustRightInd w:val="0"/>
              <w:rPr>
                <w:rFonts w:cs="Times New Roman"/>
                <w:color w:val="272627"/>
              </w:rPr>
            </w:pPr>
            <w:r>
              <w:rPr>
                <w:rFonts w:cs="Times New Roman"/>
                <w:color w:val="272627"/>
              </w:rPr>
              <w:t xml:space="preserve"> </w:t>
            </w:r>
          </w:p>
          <w:p w14:paraId="71AECD4C" w14:textId="77777777" w:rsidR="00D921A9" w:rsidRPr="008D18B7" w:rsidRDefault="00D921A9" w:rsidP="00890C36">
            <w:pPr>
              <w:autoSpaceDE w:val="0"/>
              <w:autoSpaceDN w:val="0"/>
              <w:adjustRightInd w:val="0"/>
              <w:rPr>
                <w:rFonts w:cs="Times New Roman"/>
                <w:i/>
                <w:color w:val="272627"/>
              </w:rPr>
            </w:pPr>
          </w:p>
        </w:tc>
      </w:tr>
      <w:tr w:rsidR="00D921A9" w14:paraId="484934BD" w14:textId="77777777" w:rsidTr="00890C36">
        <w:trPr>
          <w:trHeight w:val="526"/>
        </w:trPr>
        <w:tc>
          <w:tcPr>
            <w:tcW w:w="1875" w:type="dxa"/>
          </w:tcPr>
          <w:p w14:paraId="536633EA" w14:textId="708AE53E" w:rsidR="00D921A9" w:rsidRDefault="00D921A9" w:rsidP="00890C36">
            <w:pPr>
              <w:autoSpaceDE w:val="0"/>
              <w:autoSpaceDN w:val="0"/>
              <w:adjustRightInd w:val="0"/>
              <w:rPr>
                <w:rFonts w:cs="Times New Roman"/>
                <w:i/>
                <w:iCs/>
                <w:color w:val="272627"/>
              </w:rPr>
            </w:pPr>
            <w:r>
              <w:rPr>
                <w:b/>
                <w:bCs w:val="0"/>
                <w:i/>
                <w:iCs/>
              </w:rPr>
              <w:t>2.</w:t>
            </w:r>
            <w:r w:rsidR="008319F2">
              <w:rPr>
                <w:b/>
                <w:bCs w:val="0"/>
                <w:i/>
                <w:iCs/>
              </w:rPr>
              <w:t>Miglia</w:t>
            </w:r>
            <w:r w:rsidR="00181947">
              <w:rPr>
                <w:b/>
                <w:bCs w:val="0"/>
                <w:i/>
                <w:iCs/>
              </w:rPr>
              <w:t>l</w:t>
            </w:r>
            <w:r w:rsidRPr="00BB01D2">
              <w:rPr>
                <w:b/>
                <w:bCs w:val="0"/>
                <w:i/>
                <w:iCs/>
              </w:rPr>
              <w:t>o v Royal Bank of Canada</w:t>
            </w:r>
            <w:r w:rsidRPr="00BB01D2">
              <w:rPr>
                <w:b/>
                <w:bCs w:val="0"/>
              </w:rPr>
              <w:t>, 2018 FC 525</w:t>
            </w:r>
          </w:p>
          <w:p w14:paraId="128BFDE1" w14:textId="77777777" w:rsidR="0078225C" w:rsidRDefault="0078225C" w:rsidP="00890C36">
            <w:pPr>
              <w:autoSpaceDE w:val="0"/>
              <w:autoSpaceDN w:val="0"/>
              <w:adjustRightInd w:val="0"/>
              <w:rPr>
                <w:rFonts w:cs="Times New Roman"/>
                <w:i/>
                <w:iCs/>
                <w:color w:val="272627"/>
              </w:rPr>
            </w:pPr>
          </w:p>
          <w:p w14:paraId="12E27107" w14:textId="1C711C4B" w:rsidR="00D921A9" w:rsidRPr="006D6DFA" w:rsidRDefault="0078225C" w:rsidP="00890C36">
            <w:pPr>
              <w:autoSpaceDE w:val="0"/>
              <w:autoSpaceDN w:val="0"/>
              <w:adjustRightInd w:val="0"/>
              <w:rPr>
                <w:rFonts w:cs="Times New Roman"/>
                <w:i/>
                <w:iCs/>
                <w:color w:val="272627"/>
              </w:rPr>
            </w:pPr>
            <w:r w:rsidRPr="008A30A9">
              <w:rPr>
                <w:rFonts w:cs="Times New Roman"/>
                <w:i/>
                <w:iCs/>
                <w:color w:val="272627"/>
              </w:rPr>
              <w:t>[</w:t>
            </w:r>
            <w:r w:rsidR="00D921A9" w:rsidRPr="008A30A9">
              <w:rPr>
                <w:rFonts w:cs="Times New Roman"/>
                <w:i/>
                <w:iCs/>
                <w:color w:val="272627"/>
              </w:rPr>
              <w:t xml:space="preserve">cites </w:t>
            </w:r>
            <w:r w:rsidR="002B0617" w:rsidRPr="008A30A9">
              <w:rPr>
                <w:rFonts w:cs="Times New Roman"/>
                <w:i/>
                <w:iCs/>
                <w:color w:val="272627"/>
              </w:rPr>
              <w:t>Randall</w:t>
            </w:r>
            <w:r w:rsidR="00D921A9" w:rsidRPr="008A30A9">
              <w:rPr>
                <w:rFonts w:cs="Times New Roman"/>
                <w:i/>
                <w:iCs/>
                <w:color w:val="272627"/>
              </w:rPr>
              <w:t xml:space="preserve"> with approval, at para 41</w:t>
            </w:r>
            <w:r w:rsidRPr="0078225C">
              <w:rPr>
                <w:rFonts w:cs="Times New Roman"/>
                <w:i/>
                <w:iCs/>
                <w:color w:val="272627"/>
              </w:rPr>
              <w:t>]</w:t>
            </w:r>
          </w:p>
        </w:tc>
        <w:tc>
          <w:tcPr>
            <w:tcW w:w="3243" w:type="dxa"/>
          </w:tcPr>
          <w:p w14:paraId="1416C4EE" w14:textId="15B8EE07" w:rsidR="00D921A9" w:rsidRDefault="00D921A9" w:rsidP="00E66804">
            <w:pPr>
              <w:autoSpaceDE w:val="0"/>
              <w:autoSpaceDN w:val="0"/>
              <w:adjustRightInd w:val="0"/>
              <w:rPr>
                <w:rFonts w:cs="Times New Roman"/>
                <w:color w:val="272627"/>
              </w:rPr>
            </w:pPr>
            <w:r>
              <w:rPr>
                <w:rFonts w:cs="Times New Roman"/>
                <w:color w:val="272627"/>
              </w:rPr>
              <w:t>An RBC employee accessed the applicant’s financial information without authorization</w:t>
            </w:r>
            <w:r w:rsidR="00034830">
              <w:rPr>
                <w:rFonts w:cs="Times New Roman"/>
                <w:color w:val="272627"/>
              </w:rPr>
              <w:t>, at para 2</w:t>
            </w:r>
            <w:r>
              <w:rPr>
                <w:rFonts w:cs="Times New Roman"/>
                <w:color w:val="272627"/>
              </w:rPr>
              <w:t>. Applicant alleged that the employee further disclosed this information to family members, causing “i</w:t>
            </w:r>
            <w:r>
              <w:rPr>
                <w:rStyle w:val="citationcar"/>
              </w:rPr>
              <w:t>rreconcilable damage” to applicant’s relationships with family members and causing her “a great deal of humiliation and embarrassment” at para 32.</w:t>
            </w:r>
            <w:r>
              <w:rPr>
                <w:rFonts w:cs="Times New Roman"/>
                <w:color w:val="272627"/>
              </w:rPr>
              <w:t xml:space="preserve"> </w:t>
            </w:r>
          </w:p>
        </w:tc>
        <w:tc>
          <w:tcPr>
            <w:tcW w:w="4233" w:type="dxa"/>
          </w:tcPr>
          <w:p w14:paraId="488D9875" w14:textId="53AC924D" w:rsidR="00D921A9" w:rsidRDefault="00D921A9" w:rsidP="00E66804">
            <w:pPr>
              <w:autoSpaceDE w:val="0"/>
              <w:autoSpaceDN w:val="0"/>
              <w:adjustRightInd w:val="0"/>
              <w:rPr>
                <w:rFonts w:cs="Times New Roman"/>
                <w:color w:val="272627"/>
              </w:rPr>
            </w:pPr>
            <w:r>
              <w:rPr>
                <w:rFonts w:cs="Times New Roman"/>
                <w:color w:val="272627"/>
              </w:rPr>
              <w:t xml:space="preserve">While the </w:t>
            </w:r>
            <w:r w:rsidR="003061DB" w:rsidRPr="003061DB">
              <w:rPr>
                <w:rFonts w:cs="Times New Roman"/>
                <w:i/>
                <w:iCs/>
                <w:color w:val="272627"/>
              </w:rPr>
              <w:t>PIPEDA</w:t>
            </w:r>
            <w:r>
              <w:rPr>
                <w:rFonts w:cs="Times New Roman"/>
                <w:color w:val="272627"/>
              </w:rPr>
              <w:t xml:space="preserve"> violation (wrongful access) was acknowledged, the applicant was not </w:t>
            </w:r>
            <w:r w:rsidR="003061DB" w:rsidRPr="003061DB">
              <w:rPr>
                <w:rFonts w:cs="Times New Roman"/>
                <w:color w:val="272627"/>
              </w:rPr>
              <w:t>award</w:t>
            </w:r>
            <w:r>
              <w:rPr>
                <w:rFonts w:cs="Times New Roman"/>
                <w:color w:val="272627"/>
              </w:rPr>
              <w:t xml:space="preserve">ed damages, at para 52. This is because the applicant failed to prove that the financial information was disclosed to others to begin with, at paras 27 and 43.   </w:t>
            </w:r>
          </w:p>
          <w:p w14:paraId="02B3D6EF" w14:textId="7366FC88" w:rsidR="00D921A9" w:rsidRDefault="00D921A9" w:rsidP="00890C36">
            <w:pPr>
              <w:autoSpaceDE w:val="0"/>
              <w:autoSpaceDN w:val="0"/>
              <w:adjustRightInd w:val="0"/>
              <w:rPr>
                <w:rFonts w:cs="Times New Roman"/>
                <w:color w:val="272627"/>
              </w:rPr>
            </w:pPr>
            <w:r>
              <w:t>Instead, the court emphasized that “[v]indication is to be found in the respondent’s acknowledgement of the breach, which resulted in appropriate disciplinary measures [of its employee], as well as the finding of the Privacy Commissioner that a violation of Principle 4.5 occurred” at para 52.</w:t>
            </w:r>
          </w:p>
        </w:tc>
      </w:tr>
      <w:tr w:rsidR="00D921A9" w14:paraId="7753B523" w14:textId="77777777" w:rsidTr="00890C36">
        <w:trPr>
          <w:trHeight w:val="526"/>
        </w:trPr>
        <w:tc>
          <w:tcPr>
            <w:tcW w:w="1875" w:type="dxa"/>
          </w:tcPr>
          <w:p w14:paraId="3B790D0E" w14:textId="3E54D02F" w:rsidR="00D921A9" w:rsidRDefault="00D921A9" w:rsidP="00890C36">
            <w:pPr>
              <w:autoSpaceDE w:val="0"/>
              <w:autoSpaceDN w:val="0"/>
              <w:adjustRightInd w:val="0"/>
              <w:rPr>
                <w:rStyle w:val="solexhl"/>
                <w:b/>
                <w:bCs w:val="0"/>
                <w:i/>
                <w:iCs/>
              </w:rPr>
            </w:pPr>
            <w:r>
              <w:rPr>
                <w:rStyle w:val="solexhl"/>
                <w:b/>
                <w:bCs w:val="0"/>
                <w:i/>
                <w:iCs/>
              </w:rPr>
              <w:t xml:space="preserve">3. </w:t>
            </w:r>
            <w:proofErr w:type="spellStart"/>
            <w:r>
              <w:rPr>
                <w:rStyle w:val="solexhl"/>
                <w:b/>
                <w:bCs w:val="0"/>
                <w:i/>
                <w:iCs/>
              </w:rPr>
              <w:t>Fahmy</w:t>
            </w:r>
            <w:proofErr w:type="spellEnd"/>
            <w:r>
              <w:rPr>
                <w:rStyle w:val="solexhl"/>
                <w:b/>
                <w:bCs w:val="0"/>
                <w:i/>
                <w:iCs/>
              </w:rPr>
              <w:t xml:space="preserve"> </w:t>
            </w:r>
            <w:r w:rsidR="0078225C">
              <w:rPr>
                <w:rStyle w:val="solexhl"/>
                <w:b/>
                <w:bCs w:val="0"/>
                <w:i/>
                <w:iCs/>
              </w:rPr>
              <w:t>v</w:t>
            </w:r>
            <w:r>
              <w:rPr>
                <w:rStyle w:val="solexhl"/>
                <w:b/>
                <w:bCs w:val="0"/>
                <w:i/>
                <w:iCs/>
              </w:rPr>
              <w:t xml:space="preserve"> Bank of Montreal, 2016 FC 479</w:t>
            </w:r>
          </w:p>
          <w:p w14:paraId="2DF6AD20" w14:textId="77777777" w:rsidR="00D921A9" w:rsidRDefault="00D921A9" w:rsidP="00890C36">
            <w:pPr>
              <w:autoSpaceDE w:val="0"/>
              <w:autoSpaceDN w:val="0"/>
              <w:adjustRightInd w:val="0"/>
              <w:rPr>
                <w:rStyle w:val="solexhl"/>
                <w:b/>
                <w:bCs w:val="0"/>
                <w:i/>
                <w:iCs/>
              </w:rPr>
            </w:pPr>
          </w:p>
          <w:p w14:paraId="6B5C72B3" w14:textId="1C86454C" w:rsidR="00D921A9" w:rsidRPr="00F56379" w:rsidRDefault="00D921A9" w:rsidP="00890C36">
            <w:pPr>
              <w:autoSpaceDE w:val="0"/>
              <w:autoSpaceDN w:val="0"/>
              <w:adjustRightInd w:val="0"/>
              <w:rPr>
                <w:rStyle w:val="solexhl"/>
                <w:i/>
                <w:iCs/>
              </w:rPr>
            </w:pPr>
          </w:p>
        </w:tc>
        <w:tc>
          <w:tcPr>
            <w:tcW w:w="3243" w:type="dxa"/>
          </w:tcPr>
          <w:p w14:paraId="776BC28C" w14:textId="1EC80A63" w:rsidR="00D921A9" w:rsidRDefault="00D921A9" w:rsidP="00E66804">
            <w:pPr>
              <w:rPr>
                <w:rFonts w:cs="Times New Roman"/>
                <w:color w:val="272627"/>
              </w:rPr>
            </w:pPr>
            <w:r w:rsidRPr="00F56379">
              <w:rPr>
                <w:rFonts w:asciiTheme="minorHAnsi" w:hAnsiTheme="minorHAnsi" w:cstheme="minorHAnsi"/>
                <w:color w:val="222222"/>
                <w:shd w:val="clear" w:color="auto" w:fill="FFFFFF"/>
              </w:rPr>
              <w:t xml:space="preserve">Bank terminated relationship with applicant who sought disclosure of documents signed by applicant. Applicant challenged produced documents as an incomplete list. Privacy Commissioner concluded </w:t>
            </w:r>
            <w:r w:rsidR="00D42BCA">
              <w:rPr>
                <w:rFonts w:asciiTheme="minorHAnsi" w:hAnsiTheme="minorHAnsi" w:cstheme="minorHAnsi"/>
                <w:color w:val="222222"/>
                <w:shd w:val="clear" w:color="auto" w:fill="FFFFFF"/>
              </w:rPr>
              <w:t xml:space="preserve">that BMO had responded to applicant’s access request, albeit late, at para 21. </w:t>
            </w:r>
            <w:r w:rsidRPr="00F56379">
              <w:rPr>
                <w:rFonts w:asciiTheme="minorHAnsi" w:hAnsiTheme="minorHAnsi" w:cstheme="minorHAnsi"/>
                <w:color w:val="222222"/>
                <w:shd w:val="clear" w:color="auto" w:fill="FFFFFF"/>
              </w:rPr>
              <w:t xml:space="preserve">Applicant sought judicial review and damages under </w:t>
            </w:r>
            <w:r w:rsidR="003061DB" w:rsidRPr="003061DB">
              <w:rPr>
                <w:rFonts w:asciiTheme="minorHAnsi" w:hAnsiTheme="minorHAnsi" w:cstheme="minorHAnsi"/>
                <w:i/>
                <w:iCs/>
                <w:color w:val="222222"/>
                <w:shd w:val="clear" w:color="auto" w:fill="FFFFFF"/>
              </w:rPr>
              <w:t>PIPEDA</w:t>
            </w:r>
            <w:r w:rsidRPr="00F56379">
              <w:rPr>
                <w:rFonts w:asciiTheme="minorHAnsi" w:hAnsiTheme="minorHAnsi" w:cstheme="minorHAnsi"/>
                <w:color w:val="222222"/>
                <w:shd w:val="clear" w:color="auto" w:fill="FFFFFF"/>
              </w:rPr>
              <w:t>.</w:t>
            </w:r>
          </w:p>
        </w:tc>
        <w:tc>
          <w:tcPr>
            <w:tcW w:w="4233" w:type="dxa"/>
          </w:tcPr>
          <w:p w14:paraId="7C135BF5" w14:textId="77777777" w:rsidR="00D921A9" w:rsidRPr="00F56379" w:rsidRDefault="00D921A9" w:rsidP="00890C36">
            <w:pPr>
              <w:rPr>
                <w:rFonts w:asciiTheme="minorHAnsi" w:hAnsiTheme="minorHAnsi" w:cstheme="minorHAnsi"/>
              </w:rPr>
            </w:pPr>
            <w:r w:rsidRPr="00F56379">
              <w:rPr>
                <w:rFonts w:asciiTheme="minorHAnsi" w:hAnsiTheme="minorHAnsi" w:cstheme="minorHAnsi"/>
                <w:color w:val="222222"/>
                <w:shd w:val="clear" w:color="auto" w:fill="FFFFFF"/>
              </w:rPr>
              <w:t>Application dismissed. "The applicant has failed to demonstrate that he is entitled to a remedy under section 16 of the Act. In this, I agree with the OPC that BMO responded to the access requests" at para 70. </w:t>
            </w:r>
          </w:p>
          <w:p w14:paraId="0DBBC3D0" w14:textId="77777777" w:rsidR="00D921A9" w:rsidRDefault="00D921A9" w:rsidP="00890C36">
            <w:pPr>
              <w:autoSpaceDE w:val="0"/>
              <w:autoSpaceDN w:val="0"/>
              <w:adjustRightInd w:val="0"/>
            </w:pPr>
          </w:p>
        </w:tc>
      </w:tr>
      <w:tr w:rsidR="00D921A9" w14:paraId="5E24258A" w14:textId="77777777" w:rsidTr="00890C36">
        <w:trPr>
          <w:trHeight w:val="526"/>
        </w:trPr>
        <w:tc>
          <w:tcPr>
            <w:tcW w:w="1875" w:type="dxa"/>
          </w:tcPr>
          <w:p w14:paraId="6158F0DB" w14:textId="77777777" w:rsidR="00D921A9" w:rsidRDefault="00D921A9" w:rsidP="00890C36">
            <w:pPr>
              <w:autoSpaceDE w:val="0"/>
              <w:autoSpaceDN w:val="0"/>
              <w:adjustRightInd w:val="0"/>
              <w:rPr>
                <w:b/>
                <w:bCs w:val="0"/>
              </w:rPr>
            </w:pPr>
            <w:r>
              <w:rPr>
                <w:rStyle w:val="solexhl"/>
                <w:b/>
                <w:bCs w:val="0"/>
                <w:i/>
                <w:iCs/>
              </w:rPr>
              <w:lastRenderedPageBreak/>
              <w:t xml:space="preserve">4. </w:t>
            </w:r>
            <w:proofErr w:type="spellStart"/>
            <w:r w:rsidRPr="00F96051">
              <w:rPr>
                <w:rStyle w:val="solexhl"/>
                <w:b/>
                <w:bCs w:val="0"/>
                <w:i/>
                <w:iCs/>
              </w:rPr>
              <w:t>Bertucci</w:t>
            </w:r>
            <w:proofErr w:type="spellEnd"/>
            <w:r w:rsidRPr="00F96051">
              <w:rPr>
                <w:b/>
                <w:bCs w:val="0"/>
                <w:i/>
                <w:iCs/>
              </w:rPr>
              <w:t xml:space="preserve"> v Royal Bank of Canada, </w:t>
            </w:r>
            <w:r w:rsidRPr="00F96051">
              <w:rPr>
                <w:b/>
                <w:bCs w:val="0"/>
              </w:rPr>
              <w:t>2016 FC 332</w:t>
            </w:r>
          </w:p>
          <w:p w14:paraId="20CC894E" w14:textId="77777777" w:rsidR="0078225C" w:rsidRDefault="0078225C">
            <w:pPr>
              <w:autoSpaceDE w:val="0"/>
              <w:autoSpaceDN w:val="0"/>
              <w:adjustRightInd w:val="0"/>
              <w:rPr>
                <w:i/>
                <w:iCs/>
                <w:highlight w:val="yellow"/>
              </w:rPr>
            </w:pPr>
          </w:p>
          <w:p w14:paraId="2C1CE630" w14:textId="22450F34" w:rsidR="00D921A9" w:rsidRDefault="00D921A9">
            <w:pPr>
              <w:autoSpaceDE w:val="0"/>
              <w:autoSpaceDN w:val="0"/>
              <w:adjustRightInd w:val="0"/>
              <w:rPr>
                <w:i/>
                <w:iCs/>
              </w:rPr>
            </w:pPr>
          </w:p>
          <w:p w14:paraId="6BB7971A" w14:textId="591FAAA7" w:rsidR="00D921A9" w:rsidRPr="00FC746F" w:rsidRDefault="00D921A9" w:rsidP="00890C36">
            <w:pPr>
              <w:autoSpaceDE w:val="0"/>
              <w:autoSpaceDN w:val="0"/>
              <w:adjustRightInd w:val="0"/>
              <w:rPr>
                <w:rFonts w:cs="Times New Roman"/>
                <w:i/>
                <w:iCs/>
                <w:color w:val="272627"/>
              </w:rPr>
            </w:pPr>
          </w:p>
        </w:tc>
        <w:tc>
          <w:tcPr>
            <w:tcW w:w="3243" w:type="dxa"/>
          </w:tcPr>
          <w:p w14:paraId="7D2CAE36" w14:textId="1566A537" w:rsidR="00D921A9" w:rsidRDefault="00D921A9" w:rsidP="00890C36">
            <w:pPr>
              <w:autoSpaceDE w:val="0"/>
              <w:autoSpaceDN w:val="0"/>
              <w:adjustRightInd w:val="0"/>
              <w:rPr>
                <w:rFonts w:cs="Times New Roman"/>
                <w:color w:val="272627"/>
              </w:rPr>
            </w:pPr>
            <w:r>
              <w:rPr>
                <w:rFonts w:cs="Times New Roman"/>
                <w:color w:val="272627"/>
              </w:rPr>
              <w:t>The Royal Bank closed the applicants’ bank accounts, orally explaining that it was no longer comfortable doi</w:t>
            </w:r>
            <w:r w:rsidR="00DB6BBB">
              <w:rPr>
                <w:rFonts w:cs="Times New Roman"/>
                <w:color w:val="272627"/>
              </w:rPr>
              <w:t>ng business with them, at para 6.</w:t>
            </w:r>
            <w:r>
              <w:rPr>
                <w:rFonts w:cs="Times New Roman"/>
                <w:color w:val="272627"/>
              </w:rPr>
              <w:t xml:space="preserve"> The applicants requested the Royal Bank to produce the personal information it held on them, pursuant to </w:t>
            </w:r>
            <w:r w:rsidR="003061DB" w:rsidRPr="003061DB">
              <w:rPr>
                <w:rFonts w:cs="Times New Roman"/>
                <w:i/>
                <w:iCs/>
                <w:color w:val="272627"/>
              </w:rPr>
              <w:t>PIPEDA</w:t>
            </w:r>
            <w:r>
              <w:rPr>
                <w:rFonts w:cs="Times New Roman"/>
                <w:color w:val="272627"/>
              </w:rPr>
              <w:t>, including why their accounts were to be closed.  The bank refused the request for various reasons, including that the information was confidential commercial information</w:t>
            </w:r>
            <w:r w:rsidR="00A17429">
              <w:rPr>
                <w:rFonts w:cs="Times New Roman"/>
                <w:color w:val="272627"/>
              </w:rPr>
              <w:t xml:space="preserve">, at para 7. </w:t>
            </w:r>
            <w:r>
              <w:rPr>
                <w:rFonts w:cs="Times New Roman"/>
                <w:color w:val="272627"/>
              </w:rPr>
              <w:t xml:space="preserve"> The applicants eventually brought this matter to the federal court, seeking disclosure of that personal information and damages under </w:t>
            </w:r>
            <w:r w:rsidR="003061DB" w:rsidRPr="003061DB">
              <w:rPr>
                <w:rFonts w:cs="Times New Roman"/>
                <w:i/>
                <w:iCs/>
                <w:color w:val="272627"/>
              </w:rPr>
              <w:t>PIPEDA</w:t>
            </w:r>
            <w:r>
              <w:rPr>
                <w:rFonts w:cs="Times New Roman"/>
                <w:color w:val="272627"/>
              </w:rPr>
              <w:t xml:space="preserve">. </w:t>
            </w:r>
          </w:p>
        </w:tc>
        <w:tc>
          <w:tcPr>
            <w:tcW w:w="4233" w:type="dxa"/>
          </w:tcPr>
          <w:p w14:paraId="362451DE" w14:textId="46CF49C6" w:rsidR="00D921A9" w:rsidRDefault="00D921A9" w:rsidP="001A681C">
            <w:pPr>
              <w:autoSpaceDE w:val="0"/>
              <w:autoSpaceDN w:val="0"/>
              <w:adjustRightInd w:val="0"/>
            </w:pPr>
            <w:r>
              <w:t xml:space="preserve">The court ordered production of the requested documents but declined to </w:t>
            </w:r>
            <w:r w:rsidR="003061DB" w:rsidRPr="003061DB">
              <w:t>award</w:t>
            </w:r>
            <w:r>
              <w:t xml:space="preserve"> damages. This is because there was little evidence that the applicants “suffered hardship or difficulties in having to make alternative banking arrangements, other than a feeling of humiliation”</w:t>
            </w:r>
            <w:r w:rsidR="00DB6BBB">
              <w:t xml:space="preserve"> </w:t>
            </w:r>
            <w:r w:rsidR="00A17429">
              <w:t>a</w:t>
            </w:r>
            <w:r w:rsidR="00DB6BBB">
              <w:t>t para 47.</w:t>
            </w:r>
          </w:p>
          <w:p w14:paraId="2A657C0E" w14:textId="77777777" w:rsidR="00D921A9" w:rsidRDefault="00D921A9" w:rsidP="00890C36">
            <w:pPr>
              <w:autoSpaceDE w:val="0"/>
              <w:autoSpaceDN w:val="0"/>
              <w:adjustRightInd w:val="0"/>
              <w:rPr>
                <w:rFonts w:cs="Times New Roman"/>
                <w:color w:val="272627"/>
              </w:rPr>
            </w:pPr>
          </w:p>
          <w:p w14:paraId="1254E6BA" w14:textId="2D1B9CA7" w:rsidR="00D921A9" w:rsidRDefault="00D921A9" w:rsidP="00DB6BBB">
            <w:pPr>
              <w:autoSpaceDE w:val="0"/>
              <w:autoSpaceDN w:val="0"/>
              <w:adjustRightInd w:val="0"/>
              <w:rPr>
                <w:rFonts w:cs="Times New Roman"/>
                <w:color w:val="272627"/>
              </w:rPr>
            </w:pPr>
            <w:r w:rsidRPr="00902CBF">
              <w:rPr>
                <w:rFonts w:cs="Times New Roman"/>
                <w:i/>
                <w:iCs/>
                <w:color w:val="272627"/>
              </w:rPr>
              <w:t>Author’s Note</w:t>
            </w:r>
            <w:r>
              <w:rPr>
                <w:rFonts w:cs="Times New Roman"/>
                <w:color w:val="272627"/>
              </w:rPr>
              <w:t xml:space="preserve">:  The basis for the damages claim and the court’s analysis of same would appear to be problematic since </w:t>
            </w:r>
            <w:r w:rsidR="003061DB" w:rsidRPr="003061DB">
              <w:rPr>
                <w:rFonts w:cs="Times New Roman"/>
                <w:i/>
                <w:iCs/>
                <w:color w:val="272627"/>
              </w:rPr>
              <w:t>PIPEDA</w:t>
            </w:r>
            <w:r>
              <w:rPr>
                <w:rFonts w:cs="Times New Roman"/>
                <w:color w:val="272627"/>
              </w:rPr>
              <w:t xml:space="preserve"> does not contain rules as to when a bank can terminate its relationship with a customer. It would seem that damages under </w:t>
            </w:r>
            <w:r w:rsidR="003061DB" w:rsidRPr="003061DB">
              <w:rPr>
                <w:rFonts w:cs="Times New Roman"/>
                <w:i/>
                <w:iCs/>
                <w:color w:val="272627"/>
              </w:rPr>
              <w:t>PIPEDA</w:t>
            </w:r>
            <w:r>
              <w:rPr>
                <w:rFonts w:cs="Times New Roman"/>
                <w:color w:val="272627"/>
              </w:rPr>
              <w:t xml:space="preserve"> in this case would be recoverable only if related to the bank’s wrongful failure to produce the applicant’s personal information.   </w:t>
            </w:r>
          </w:p>
        </w:tc>
      </w:tr>
      <w:tr w:rsidR="00D921A9" w:rsidRPr="00C86197" w14:paraId="07330B94" w14:textId="77777777" w:rsidTr="00890C36">
        <w:trPr>
          <w:trHeight w:val="526"/>
        </w:trPr>
        <w:tc>
          <w:tcPr>
            <w:tcW w:w="1875" w:type="dxa"/>
          </w:tcPr>
          <w:p w14:paraId="2BC11346" w14:textId="77777777" w:rsidR="00D921A9" w:rsidRPr="00AF0ACD" w:rsidRDefault="00D921A9" w:rsidP="00890C36">
            <w:pPr>
              <w:autoSpaceDE w:val="0"/>
              <w:autoSpaceDN w:val="0"/>
              <w:adjustRightInd w:val="0"/>
              <w:rPr>
                <w:rFonts w:cs="Times New Roman"/>
                <w:b/>
                <w:bCs w:val="0"/>
                <w:color w:val="272627"/>
              </w:rPr>
            </w:pPr>
            <w:r>
              <w:rPr>
                <w:rFonts w:cs="Times New Roman"/>
                <w:b/>
                <w:bCs w:val="0"/>
                <w:i/>
                <w:iCs/>
                <w:color w:val="272627"/>
              </w:rPr>
              <w:t xml:space="preserve">5. </w:t>
            </w:r>
            <w:r w:rsidRPr="00AF0ACD">
              <w:rPr>
                <w:rFonts w:cs="Times New Roman"/>
                <w:b/>
                <w:bCs w:val="0"/>
                <w:i/>
                <w:iCs/>
                <w:color w:val="272627"/>
              </w:rPr>
              <w:t>Townsend v Sun Life Financial</w:t>
            </w:r>
            <w:r w:rsidRPr="00AF0ACD">
              <w:rPr>
                <w:rFonts w:cs="Times New Roman"/>
                <w:b/>
                <w:bCs w:val="0"/>
                <w:color w:val="272627"/>
              </w:rPr>
              <w:t>, 2012 FC 550</w:t>
            </w:r>
          </w:p>
          <w:p w14:paraId="021B6421" w14:textId="77777777" w:rsidR="0078225C" w:rsidRDefault="0078225C" w:rsidP="00890C36">
            <w:pPr>
              <w:autoSpaceDE w:val="0"/>
              <w:autoSpaceDN w:val="0"/>
              <w:adjustRightInd w:val="0"/>
              <w:rPr>
                <w:rFonts w:cs="Times New Roman"/>
                <w:i/>
                <w:iCs/>
                <w:color w:val="272627"/>
              </w:rPr>
            </w:pPr>
          </w:p>
          <w:p w14:paraId="290D2CBD" w14:textId="6E931680" w:rsidR="00D921A9" w:rsidRPr="00C055F0" w:rsidRDefault="0078225C" w:rsidP="00890C36">
            <w:pPr>
              <w:autoSpaceDE w:val="0"/>
              <w:autoSpaceDN w:val="0"/>
              <w:adjustRightInd w:val="0"/>
              <w:rPr>
                <w:rFonts w:cs="Times New Roman"/>
                <w:color w:val="272627"/>
                <w:lang w:val="en-CA"/>
              </w:rPr>
            </w:pPr>
            <w:r>
              <w:rPr>
                <w:rFonts w:cs="Times New Roman"/>
                <w:i/>
                <w:iCs/>
                <w:color w:val="272627"/>
              </w:rPr>
              <w:t>[</w:t>
            </w:r>
            <w:r w:rsidR="00C055F0" w:rsidRPr="00495125">
              <w:rPr>
                <w:rFonts w:cs="Times New Roman"/>
                <w:i/>
                <w:iCs/>
                <w:color w:val="272627"/>
              </w:rPr>
              <w:t>cites</w:t>
            </w:r>
            <w:r w:rsidR="00B5106E" w:rsidRPr="00495125">
              <w:rPr>
                <w:rFonts w:cs="Times New Roman"/>
                <w:i/>
                <w:iCs/>
                <w:color w:val="272627"/>
              </w:rPr>
              <w:t xml:space="preserve"> </w:t>
            </w:r>
            <w:r w:rsidR="002B0617" w:rsidRPr="00495125">
              <w:rPr>
                <w:rFonts w:cs="Times New Roman"/>
                <w:i/>
                <w:iCs/>
                <w:color w:val="272627"/>
              </w:rPr>
              <w:t>Randal</w:t>
            </w:r>
            <w:r w:rsidR="00B5106E" w:rsidRPr="00495125">
              <w:rPr>
                <w:rFonts w:cs="Times New Roman"/>
                <w:i/>
                <w:iCs/>
                <w:color w:val="272627"/>
              </w:rPr>
              <w:t>l</w:t>
            </w:r>
            <w:r w:rsidR="00C055F0" w:rsidRPr="00495125">
              <w:rPr>
                <w:rFonts w:cs="Times New Roman"/>
                <w:i/>
                <w:iCs/>
                <w:color w:val="272627"/>
              </w:rPr>
              <w:t xml:space="preserve"> </w:t>
            </w:r>
            <w:r w:rsidR="0013561F">
              <w:rPr>
                <w:rFonts w:cs="Times New Roman"/>
                <w:i/>
                <w:iCs/>
                <w:color w:val="272627"/>
              </w:rPr>
              <w:t>with approval at para 23]</w:t>
            </w:r>
          </w:p>
        </w:tc>
        <w:tc>
          <w:tcPr>
            <w:tcW w:w="3243" w:type="dxa"/>
          </w:tcPr>
          <w:p w14:paraId="797A0CFF" w14:textId="383E5A52" w:rsidR="00D921A9" w:rsidRPr="004A3BD7" w:rsidRDefault="00D921A9" w:rsidP="00DB6BBB">
            <w:pPr>
              <w:autoSpaceDE w:val="0"/>
              <w:autoSpaceDN w:val="0"/>
              <w:adjustRightInd w:val="0"/>
              <w:rPr>
                <w:rFonts w:cs="Times New Roman"/>
                <w:color w:val="272627"/>
              </w:rPr>
            </w:pPr>
            <w:r>
              <w:rPr>
                <w:rFonts w:cs="Times New Roman"/>
                <w:color w:val="272627"/>
              </w:rPr>
              <w:t>Applicant had been dealing with Sun Life in a long-term care insurance matter</w:t>
            </w:r>
            <w:r w:rsidR="00A17429">
              <w:rPr>
                <w:rFonts w:cs="Times New Roman"/>
                <w:color w:val="272627"/>
              </w:rPr>
              <w:t xml:space="preserve">, at para 4. </w:t>
            </w:r>
            <w:r>
              <w:rPr>
                <w:rFonts w:cs="Times New Roman"/>
                <w:color w:val="272627"/>
              </w:rPr>
              <w:t xml:space="preserve"> Sun Life mishandled some of the complainant’s medical information by sending it to the wrong address</w:t>
            </w:r>
            <w:r w:rsidR="00A17429">
              <w:rPr>
                <w:rFonts w:cs="Times New Roman"/>
                <w:color w:val="272627"/>
              </w:rPr>
              <w:t>, at para 17.</w:t>
            </w:r>
            <w:r>
              <w:rPr>
                <w:rFonts w:cs="Times New Roman"/>
                <w:color w:val="272627"/>
              </w:rPr>
              <w:t xml:space="preserve"> </w:t>
            </w:r>
          </w:p>
        </w:tc>
        <w:tc>
          <w:tcPr>
            <w:tcW w:w="4233" w:type="dxa"/>
          </w:tcPr>
          <w:p w14:paraId="5A5197A2" w14:textId="1BAA3D20" w:rsidR="00D921A9" w:rsidRPr="00C86197" w:rsidRDefault="00D921A9" w:rsidP="00DB6BBB">
            <w:pPr>
              <w:autoSpaceDE w:val="0"/>
              <w:autoSpaceDN w:val="0"/>
              <w:adjustRightInd w:val="0"/>
              <w:rPr>
                <w:rFonts w:asciiTheme="minorHAnsi" w:hAnsiTheme="minorHAnsi" w:cstheme="minorHAnsi"/>
                <w:color w:val="272627"/>
              </w:rPr>
            </w:pPr>
            <w:r w:rsidRPr="00C86197">
              <w:rPr>
                <w:rFonts w:asciiTheme="minorHAnsi" w:hAnsiTheme="minorHAnsi" w:cstheme="minorHAnsi"/>
                <w:color w:val="272627"/>
              </w:rPr>
              <w:t xml:space="preserve">No damages </w:t>
            </w:r>
            <w:r w:rsidR="003061DB" w:rsidRPr="003061DB">
              <w:rPr>
                <w:rFonts w:asciiTheme="minorHAnsi" w:hAnsiTheme="minorHAnsi" w:cstheme="minorHAnsi"/>
                <w:color w:val="272627"/>
              </w:rPr>
              <w:t>award</w:t>
            </w:r>
            <w:r w:rsidRPr="00C86197">
              <w:rPr>
                <w:rFonts w:asciiTheme="minorHAnsi" w:hAnsiTheme="minorHAnsi" w:cstheme="minorHAnsi"/>
                <w:color w:val="272627"/>
              </w:rPr>
              <w:t xml:space="preserve">ed because Sun Life’s wrongful disclosure was minimal and caused the applicant no injury, at para 38. Organizations are not held “to a standard of perfection” at para 34, particularly in the context of Sun Life </w:t>
            </w:r>
            <w:r w:rsidRPr="00C86197">
              <w:rPr>
                <w:rFonts w:asciiTheme="minorHAnsi" w:hAnsiTheme="minorHAnsi" w:cstheme="minorHAnsi"/>
              </w:rPr>
              <w:t>already have “a detailed protocol before the occurrence of what can only be considered as a human error” at para 34.</w:t>
            </w:r>
          </w:p>
        </w:tc>
      </w:tr>
      <w:tr w:rsidR="00D921A9" w14:paraId="15F293C1" w14:textId="77777777" w:rsidTr="00890C36">
        <w:trPr>
          <w:trHeight w:val="526"/>
        </w:trPr>
        <w:tc>
          <w:tcPr>
            <w:tcW w:w="1875" w:type="dxa"/>
          </w:tcPr>
          <w:p w14:paraId="4C4FEB8E" w14:textId="77777777" w:rsidR="00D921A9" w:rsidRDefault="00D921A9" w:rsidP="00890C36">
            <w:pPr>
              <w:autoSpaceDE w:val="0"/>
              <w:autoSpaceDN w:val="0"/>
              <w:adjustRightInd w:val="0"/>
              <w:rPr>
                <w:b/>
                <w:bCs w:val="0"/>
              </w:rPr>
            </w:pPr>
            <w:r>
              <w:rPr>
                <w:b/>
                <w:bCs w:val="0"/>
                <w:i/>
              </w:rPr>
              <w:t>6</w:t>
            </w:r>
            <w:r w:rsidRPr="002A6D41">
              <w:rPr>
                <w:b/>
                <w:bCs w:val="0"/>
                <w:i/>
              </w:rPr>
              <w:t xml:space="preserve">. Stevens v SNF Maritime Metal Inc, </w:t>
            </w:r>
            <w:r w:rsidRPr="002A6D41">
              <w:rPr>
                <w:b/>
                <w:bCs w:val="0"/>
              </w:rPr>
              <w:t>2010 FC 1137</w:t>
            </w:r>
          </w:p>
          <w:p w14:paraId="310C88AB" w14:textId="6D500B98" w:rsidR="00D921A9" w:rsidRPr="002A6D41" w:rsidRDefault="00D921A9" w:rsidP="00890C36">
            <w:pPr>
              <w:autoSpaceDE w:val="0"/>
              <w:autoSpaceDN w:val="0"/>
              <w:adjustRightInd w:val="0"/>
              <w:rPr>
                <w:b/>
                <w:bCs w:val="0"/>
              </w:rPr>
            </w:pPr>
          </w:p>
          <w:p w14:paraId="48E3D90B" w14:textId="77777777" w:rsidR="00D921A9" w:rsidRDefault="00D921A9" w:rsidP="00890C36">
            <w:pPr>
              <w:autoSpaceDE w:val="0"/>
              <w:autoSpaceDN w:val="0"/>
              <w:adjustRightInd w:val="0"/>
              <w:rPr>
                <w:b/>
                <w:bCs w:val="0"/>
                <w:i/>
                <w:iCs/>
              </w:rPr>
            </w:pPr>
          </w:p>
          <w:p w14:paraId="680A5B6D" w14:textId="26565A0E" w:rsidR="00D921A9" w:rsidRPr="002A6D41" w:rsidRDefault="00D921A9" w:rsidP="00890C36">
            <w:pPr>
              <w:autoSpaceDE w:val="0"/>
              <w:autoSpaceDN w:val="0"/>
              <w:adjustRightInd w:val="0"/>
              <w:rPr>
                <w:b/>
                <w:bCs w:val="0"/>
                <w:i/>
                <w:iCs/>
              </w:rPr>
            </w:pPr>
          </w:p>
        </w:tc>
        <w:tc>
          <w:tcPr>
            <w:tcW w:w="3243" w:type="dxa"/>
          </w:tcPr>
          <w:p w14:paraId="70625C08" w14:textId="1E783585" w:rsidR="00D921A9" w:rsidRDefault="00D921A9" w:rsidP="00DB6BBB">
            <w:pPr>
              <w:autoSpaceDE w:val="0"/>
              <w:autoSpaceDN w:val="0"/>
              <w:adjustRightInd w:val="0"/>
              <w:rPr>
                <w:rFonts w:cs="Times New Roman"/>
                <w:color w:val="272627"/>
              </w:rPr>
            </w:pPr>
            <w:r>
              <w:t xml:space="preserve">Stevens was an employee of </w:t>
            </w:r>
            <w:proofErr w:type="spellStart"/>
            <w:r>
              <w:t>Alscott</w:t>
            </w:r>
            <w:proofErr w:type="spellEnd"/>
            <w:r>
              <w:t>, a company that sold metal to SNF Maritime Metal Inc (SNF). Part of Stevens</w:t>
            </w:r>
            <w:r w:rsidR="00DB6BBB">
              <w:t>’ job</w:t>
            </w:r>
            <w:r>
              <w:t xml:space="preserve"> was to deliver metal to SNF </w:t>
            </w:r>
            <w:r w:rsidR="00DB6BBB">
              <w:t xml:space="preserve">and </w:t>
            </w:r>
            <w:r>
              <w:t xml:space="preserve">remit cash proceeds to his foreman, at para 4. Stevens opened a personal account with SNF, delivered metal, and had proceeds deposited to his account, at para 5.  Stevens knew that some of the money that was deposited to his account belonged to </w:t>
            </w:r>
            <w:proofErr w:type="spellStart"/>
            <w:r>
              <w:t>Alscott</w:t>
            </w:r>
            <w:proofErr w:type="spellEnd"/>
            <w:r>
              <w:t xml:space="preserve"> but took no steps to correct that error, at para 24. Responding to decreased metal sales to SNF, </w:t>
            </w:r>
            <w:proofErr w:type="spellStart"/>
            <w:r>
              <w:t>Alscott</w:t>
            </w:r>
            <w:proofErr w:type="spellEnd"/>
            <w:r>
              <w:t xml:space="preserve"> made inquiries of SNF who disclosed the fact of Steven’s personal account, at para 6. Stevens was dismissed from his employment at para 8. Stevens </w:t>
            </w:r>
            <w:proofErr w:type="spellStart"/>
            <w:r w:rsidR="00DB6BBB">
              <w:t>saught</w:t>
            </w:r>
            <w:proofErr w:type="spellEnd"/>
            <w:r>
              <w:t xml:space="preserve"> damages under </w:t>
            </w:r>
            <w:r w:rsidR="003061DB" w:rsidRPr="003061DB">
              <w:rPr>
                <w:i/>
                <w:iCs/>
              </w:rPr>
              <w:t>PIPEDA</w:t>
            </w:r>
            <w:r>
              <w:t xml:space="preserve"> for losses related to termination.   </w:t>
            </w:r>
          </w:p>
        </w:tc>
        <w:tc>
          <w:tcPr>
            <w:tcW w:w="4233" w:type="dxa"/>
          </w:tcPr>
          <w:p w14:paraId="08718D48" w14:textId="132749F8" w:rsidR="00D921A9" w:rsidRDefault="00D921A9" w:rsidP="00DB6BBB">
            <w:pPr>
              <w:rPr>
                <w:iCs/>
              </w:rPr>
            </w:pPr>
            <w:r>
              <w:t xml:space="preserve">Court found a breach of </w:t>
            </w:r>
            <w:r w:rsidR="003061DB" w:rsidRPr="003061DB">
              <w:rPr>
                <w:i/>
                <w:iCs/>
              </w:rPr>
              <w:t>PIPEDA</w:t>
            </w:r>
            <w:r>
              <w:rPr>
                <w:i/>
              </w:rPr>
              <w:t xml:space="preserve"> </w:t>
            </w:r>
            <w:r>
              <w:rPr>
                <w:iCs/>
              </w:rPr>
              <w:t xml:space="preserve">because SNF’s disclosure of the personal account was wrongful, at para 18. However, Stevens also misconducted himself by taking not steps to correct SNF records, at para 24. As well, Stevens’s loss was caused by his termination for cause, at para 28.  In declining to </w:t>
            </w:r>
            <w:r w:rsidR="003061DB" w:rsidRPr="003061DB">
              <w:t>award</w:t>
            </w:r>
            <w:r>
              <w:rPr>
                <w:iCs/>
              </w:rPr>
              <w:t xml:space="preserve"> damages, court observed: </w:t>
            </w:r>
          </w:p>
          <w:p w14:paraId="0745A5B4" w14:textId="0C4691E7" w:rsidR="00D921A9" w:rsidRDefault="00D921A9" w:rsidP="00DB6BBB">
            <w:r>
              <w:t xml:space="preserve">“To the extent (if any) that privacy is involved, it is minimal and the Applicant has put </w:t>
            </w:r>
            <w:r w:rsidR="003061DB" w:rsidRPr="003061DB">
              <w:t>forward</w:t>
            </w:r>
            <w:r>
              <w:t xml:space="preserve"> no other evidence of impact on his standing or community perception or similar features of a breach of privacy claim</w:t>
            </w:r>
            <w:r w:rsidR="00DB6BBB">
              <w:t xml:space="preserve">” </w:t>
            </w:r>
            <w:r w:rsidR="00A17429">
              <w:t>a</w:t>
            </w:r>
            <w:r>
              <w:t xml:space="preserve">t para 31. </w:t>
            </w:r>
          </w:p>
        </w:tc>
      </w:tr>
      <w:tr w:rsidR="00D921A9" w14:paraId="57DDDB28" w14:textId="77777777" w:rsidTr="00890C36">
        <w:trPr>
          <w:trHeight w:val="526"/>
        </w:trPr>
        <w:tc>
          <w:tcPr>
            <w:tcW w:w="1875" w:type="dxa"/>
          </w:tcPr>
          <w:p w14:paraId="161B10C8" w14:textId="0221CC0E" w:rsidR="00D921A9" w:rsidRPr="00012165" w:rsidRDefault="00D921A9" w:rsidP="00890C36">
            <w:pPr>
              <w:autoSpaceDE w:val="0"/>
              <w:autoSpaceDN w:val="0"/>
              <w:adjustRightInd w:val="0"/>
              <w:rPr>
                <w:b/>
                <w:bCs w:val="0"/>
                <w:iCs/>
              </w:rPr>
            </w:pPr>
            <w:r>
              <w:rPr>
                <w:b/>
                <w:bCs w:val="0"/>
              </w:rPr>
              <w:lastRenderedPageBreak/>
              <w:t xml:space="preserve">7. </w:t>
            </w:r>
            <w:r w:rsidRPr="00012165">
              <w:rPr>
                <w:b/>
                <w:bCs w:val="0"/>
              </w:rPr>
              <w:t>Banuelos v TD Bank Financial Group, 2010 FC 934</w:t>
            </w:r>
          </w:p>
          <w:p w14:paraId="275F8EF1" w14:textId="63C9D95C" w:rsidR="00D921A9" w:rsidRPr="00012165" w:rsidRDefault="00D921A9" w:rsidP="00890C36">
            <w:pPr>
              <w:autoSpaceDE w:val="0"/>
              <w:autoSpaceDN w:val="0"/>
              <w:adjustRightInd w:val="0"/>
              <w:rPr>
                <w:b/>
                <w:bCs w:val="0"/>
                <w:iCs/>
              </w:rPr>
            </w:pPr>
          </w:p>
        </w:tc>
        <w:tc>
          <w:tcPr>
            <w:tcW w:w="3243" w:type="dxa"/>
          </w:tcPr>
          <w:p w14:paraId="17FB7591" w14:textId="1ABCF044" w:rsidR="00D921A9" w:rsidRDefault="00031E8F" w:rsidP="00890C36">
            <w:pPr>
              <w:autoSpaceDE w:val="0"/>
              <w:autoSpaceDN w:val="0"/>
              <w:adjustRightInd w:val="0"/>
            </w:pPr>
            <w:r>
              <w:t>Applicant claimed that TD disclosed his information to his mother, who was in divorce proceedings with his father</w:t>
            </w:r>
            <w:r w:rsidR="00A17429">
              <w:t xml:space="preserve">, at para 7. </w:t>
            </w:r>
            <w:r>
              <w:t>The Privacy Commissioner found there was no breach</w:t>
            </w:r>
            <w:r w:rsidR="00A17429">
              <w:t xml:space="preserve"> of </w:t>
            </w:r>
            <w:r w:rsidR="00A17429" w:rsidRPr="00A17429">
              <w:rPr>
                <w:i/>
                <w:iCs/>
              </w:rPr>
              <w:t>PIPEDA.</w:t>
            </w:r>
          </w:p>
        </w:tc>
        <w:tc>
          <w:tcPr>
            <w:tcW w:w="4233" w:type="dxa"/>
          </w:tcPr>
          <w:p w14:paraId="24D9F021" w14:textId="46FBE539" w:rsidR="00D921A9" w:rsidRDefault="00D921A9" w:rsidP="00890C36">
            <w:r>
              <w:t xml:space="preserve">No damages </w:t>
            </w:r>
            <w:r w:rsidR="003061DB" w:rsidRPr="003061DB">
              <w:t>award</w:t>
            </w:r>
            <w:r>
              <w:t xml:space="preserve">ed because no breach of </w:t>
            </w:r>
            <w:r w:rsidR="003061DB" w:rsidRPr="003061DB">
              <w:rPr>
                <w:i/>
                <w:iCs/>
              </w:rPr>
              <w:t>PIPEDA</w:t>
            </w:r>
            <w:r>
              <w:t>, at para 42.</w:t>
            </w:r>
          </w:p>
        </w:tc>
      </w:tr>
      <w:tr w:rsidR="00D921A9" w14:paraId="57C9725B" w14:textId="77777777" w:rsidTr="00890C36">
        <w:trPr>
          <w:trHeight w:val="526"/>
        </w:trPr>
        <w:tc>
          <w:tcPr>
            <w:tcW w:w="1875" w:type="dxa"/>
          </w:tcPr>
          <w:p w14:paraId="752D7E12" w14:textId="169EE044" w:rsidR="00D921A9" w:rsidRDefault="00D921A9" w:rsidP="00890C36">
            <w:pPr>
              <w:autoSpaceDE w:val="0"/>
              <w:autoSpaceDN w:val="0"/>
              <w:adjustRightInd w:val="0"/>
              <w:rPr>
                <w:b/>
                <w:bCs w:val="0"/>
              </w:rPr>
            </w:pPr>
            <w:bookmarkStart w:id="43" w:name="_Hlk74667939"/>
            <w:r>
              <w:rPr>
                <w:b/>
                <w:bCs w:val="0"/>
                <w:i/>
              </w:rPr>
              <w:t xml:space="preserve">8. </w:t>
            </w:r>
            <w:r w:rsidRPr="00921701">
              <w:rPr>
                <w:b/>
                <w:bCs w:val="0"/>
                <w:i/>
              </w:rPr>
              <w:t xml:space="preserve">Randall v </w:t>
            </w:r>
            <w:proofErr w:type="spellStart"/>
            <w:r w:rsidRPr="00921701">
              <w:rPr>
                <w:b/>
                <w:bCs w:val="0"/>
                <w:i/>
              </w:rPr>
              <w:t>Nubody</w:t>
            </w:r>
            <w:r w:rsidR="00DB6BBB">
              <w:rPr>
                <w:b/>
                <w:bCs w:val="0"/>
                <w:i/>
              </w:rPr>
              <w:t>’</w:t>
            </w:r>
            <w:r w:rsidRPr="00921701">
              <w:rPr>
                <w:b/>
                <w:bCs w:val="0"/>
                <w:i/>
              </w:rPr>
              <w:t>s</w:t>
            </w:r>
            <w:proofErr w:type="spellEnd"/>
            <w:r w:rsidRPr="00921701">
              <w:rPr>
                <w:b/>
                <w:bCs w:val="0"/>
                <w:i/>
              </w:rPr>
              <w:t xml:space="preserve"> Fitness </w:t>
            </w:r>
            <w:proofErr w:type="spellStart"/>
            <w:r w:rsidRPr="00921701">
              <w:rPr>
                <w:b/>
                <w:bCs w:val="0"/>
                <w:i/>
              </w:rPr>
              <w:t>Centres</w:t>
            </w:r>
            <w:proofErr w:type="spellEnd"/>
            <w:r w:rsidRPr="00921701">
              <w:rPr>
                <w:b/>
                <w:bCs w:val="0"/>
              </w:rPr>
              <w:t>, 2010 FC 681</w:t>
            </w:r>
          </w:p>
          <w:p w14:paraId="6D4A71FF" w14:textId="4EEC8D3D" w:rsidR="00D921A9" w:rsidRPr="003A3883" w:rsidRDefault="00D921A9" w:rsidP="00890C36">
            <w:pPr>
              <w:autoSpaceDE w:val="0"/>
              <w:autoSpaceDN w:val="0"/>
              <w:adjustRightInd w:val="0"/>
              <w:rPr>
                <w:i/>
                <w:iCs/>
              </w:rPr>
            </w:pPr>
          </w:p>
        </w:tc>
        <w:tc>
          <w:tcPr>
            <w:tcW w:w="3243" w:type="dxa"/>
          </w:tcPr>
          <w:p w14:paraId="5C042E68" w14:textId="322C22F8" w:rsidR="00D921A9" w:rsidRDefault="00D921A9" w:rsidP="00890C36">
            <w:pPr>
              <w:autoSpaceDE w:val="0"/>
              <w:autoSpaceDN w:val="0"/>
              <w:adjustRightInd w:val="0"/>
            </w:pPr>
            <w:r>
              <w:t>Applicant enrolled at the respondent’s fitness gym. The membership was partially subsidized by the applicant’s employer. The respondent released information to employer disclosing how many times the applicant frequented the gym, at para</w:t>
            </w:r>
            <w:r w:rsidR="00031E8F">
              <w:t xml:space="preserve"> 36.</w:t>
            </w:r>
          </w:p>
          <w:p w14:paraId="59051ED2" w14:textId="77777777" w:rsidR="00D921A9" w:rsidRDefault="00D921A9" w:rsidP="00890C36">
            <w:pPr>
              <w:autoSpaceDE w:val="0"/>
              <w:autoSpaceDN w:val="0"/>
              <w:adjustRightInd w:val="0"/>
              <w:rPr>
                <w:rFonts w:cs="Times New Roman"/>
                <w:color w:val="272627"/>
              </w:rPr>
            </w:pPr>
            <w:r>
              <w:rPr>
                <w:rFonts w:cs="Times New Roman"/>
                <w:color w:val="272627"/>
              </w:rPr>
              <w:t>Applicant claimed that “</w:t>
            </w:r>
            <w:r>
              <w:t xml:space="preserve">the disclosure of information on his fitness </w:t>
            </w:r>
            <w:proofErr w:type="spellStart"/>
            <w:r>
              <w:t>centre</w:t>
            </w:r>
            <w:proofErr w:type="spellEnd"/>
            <w:r>
              <w:t xml:space="preserve"> usage caused him embarrassment and created an atmosphere of competition amongst co-workers that he was unwillingly forced into. The applicant also stated that he believes that he was reprimanded by his superiors for his communications with the respondent” at para 18.  </w:t>
            </w:r>
          </w:p>
        </w:tc>
        <w:tc>
          <w:tcPr>
            <w:tcW w:w="4233" w:type="dxa"/>
          </w:tcPr>
          <w:p w14:paraId="347C56B3" w14:textId="16DA0393" w:rsidR="00D921A9" w:rsidRDefault="00D921A9" w:rsidP="00DB6BBB">
            <w:pPr>
              <w:rPr>
                <w:rFonts w:asciiTheme="minorHAnsi" w:hAnsiTheme="minorHAnsi" w:cstheme="minorHAnsi"/>
              </w:rPr>
            </w:pPr>
            <w:r>
              <w:t xml:space="preserve">Court found a breach of </w:t>
            </w:r>
            <w:r w:rsidR="003061DB" w:rsidRPr="003061DB">
              <w:rPr>
                <w:i/>
                <w:iCs/>
              </w:rPr>
              <w:t>PIPEDA</w:t>
            </w:r>
            <w:r>
              <w:t xml:space="preserve"> because </w:t>
            </w:r>
            <w:proofErr w:type="spellStart"/>
            <w:r>
              <w:t>Nubody</w:t>
            </w:r>
            <w:r w:rsidR="00191092">
              <w:t>’</w:t>
            </w:r>
            <w:r w:rsidR="007C4795">
              <w:t>s</w:t>
            </w:r>
            <w:proofErr w:type="spellEnd"/>
            <w:r>
              <w:t xml:space="preserve"> disclosed personal information concerning usage of the facility, at para 36 but would not </w:t>
            </w:r>
            <w:r w:rsidR="003061DB" w:rsidRPr="003061DB">
              <w:t>award</w:t>
            </w:r>
            <w:r>
              <w:t xml:space="preserve"> damages.  This is, in part, because </w:t>
            </w:r>
            <w:proofErr w:type="spellStart"/>
            <w:r>
              <w:t>Nubody</w:t>
            </w:r>
            <w:r w:rsidR="00191092">
              <w:t>’</w:t>
            </w:r>
            <w:r w:rsidR="007C4795">
              <w:t>s</w:t>
            </w:r>
            <w:proofErr w:type="spellEnd"/>
            <w:r>
              <w:t xml:space="preserve"> had adopted the Privacy Commissioner’s to improve its systems, at para 46-47. Furthermore</w:t>
            </w:r>
            <w:r w:rsidRPr="00902CBF">
              <w:rPr>
                <w:rFonts w:asciiTheme="minorHAnsi" w:hAnsiTheme="minorHAnsi" w:cstheme="minorHAnsi"/>
              </w:rPr>
              <w:t xml:space="preserve">, </w:t>
            </w:r>
            <w:r w:rsidRPr="00902CBF">
              <w:rPr>
                <w:rFonts w:asciiTheme="minorHAnsi" w:eastAsia="Times New Roman" w:hAnsiTheme="minorHAnsi" w:cstheme="minorHAnsi"/>
                <w:lang w:eastAsia="en-CA"/>
              </w:rPr>
              <w:t xml:space="preserve">“an </w:t>
            </w:r>
            <w:r w:rsidR="003061DB" w:rsidRPr="003061DB">
              <w:rPr>
                <w:rFonts w:asciiTheme="minorHAnsi" w:eastAsia="Times New Roman" w:hAnsiTheme="minorHAnsi" w:cstheme="minorHAnsi"/>
                <w:lang w:eastAsia="en-CA"/>
              </w:rPr>
              <w:t>award</w:t>
            </w:r>
            <w:r w:rsidRPr="00902CBF">
              <w:rPr>
                <w:rFonts w:asciiTheme="minorHAnsi" w:eastAsia="Times New Roman" w:hAnsiTheme="minorHAnsi" w:cstheme="minorHAnsi"/>
                <w:lang w:eastAsia="en-CA"/>
              </w:rPr>
              <w:t xml:space="preserve"> of damages is not be made lightly. Such an </w:t>
            </w:r>
            <w:r w:rsidR="003061DB" w:rsidRPr="003061DB">
              <w:rPr>
                <w:rFonts w:asciiTheme="minorHAnsi" w:eastAsia="Times New Roman" w:hAnsiTheme="minorHAnsi" w:cstheme="minorHAnsi"/>
                <w:lang w:eastAsia="en-CA"/>
              </w:rPr>
              <w:t>award</w:t>
            </w:r>
            <w:r w:rsidRPr="00902CBF">
              <w:rPr>
                <w:rFonts w:asciiTheme="minorHAnsi" w:eastAsia="Times New Roman" w:hAnsiTheme="minorHAnsi" w:cstheme="minorHAnsi"/>
                <w:lang w:eastAsia="en-CA"/>
              </w:rPr>
              <w:t xml:space="preserve"> should only be made in the most egregious situations. I do not find the instant case to be an egregious situation” at para 55, such as video-taping and phone-line tapping, at para 56. </w:t>
            </w:r>
            <w:r w:rsidRPr="00902CBF">
              <w:rPr>
                <w:rFonts w:asciiTheme="minorHAnsi" w:hAnsiTheme="minorHAnsi" w:cstheme="minorHAnsi"/>
              </w:rPr>
              <w:t xml:space="preserve">Here, the information </w:t>
            </w:r>
            <w:r>
              <w:rPr>
                <w:rFonts w:asciiTheme="minorHAnsi" w:hAnsiTheme="minorHAnsi" w:cstheme="minorHAnsi"/>
              </w:rPr>
              <w:t xml:space="preserve">released </w:t>
            </w:r>
            <w:r w:rsidRPr="00902CBF">
              <w:rPr>
                <w:rFonts w:asciiTheme="minorHAnsi" w:hAnsiTheme="minorHAnsi" w:cstheme="minorHAnsi"/>
              </w:rPr>
              <w:t>was</w:t>
            </w:r>
            <w:r>
              <w:rPr>
                <w:rFonts w:asciiTheme="minorHAnsi" w:hAnsiTheme="minorHAnsi" w:cstheme="minorHAnsi"/>
              </w:rPr>
              <w:t xml:space="preserve"> of</w:t>
            </w:r>
            <w:r w:rsidRPr="00902CBF">
              <w:rPr>
                <w:rFonts w:asciiTheme="minorHAnsi" w:hAnsiTheme="minorHAnsi" w:cstheme="minorHAnsi"/>
              </w:rPr>
              <w:t xml:space="preserve"> low sensitivity</w:t>
            </w:r>
            <w:r>
              <w:rPr>
                <w:rFonts w:asciiTheme="minorHAnsi" w:hAnsiTheme="minorHAnsi" w:cstheme="minorHAnsi"/>
              </w:rPr>
              <w:t xml:space="preserve">, at para 42, and caused no loss, at para </w:t>
            </w:r>
            <w:r w:rsidR="00DB6BBB">
              <w:rPr>
                <w:rFonts w:asciiTheme="minorHAnsi" w:hAnsiTheme="minorHAnsi" w:cstheme="minorHAnsi"/>
              </w:rPr>
              <w:t>49.</w:t>
            </w:r>
          </w:p>
          <w:p w14:paraId="2116E6E6" w14:textId="77777777" w:rsidR="00D921A9" w:rsidRDefault="00D921A9" w:rsidP="00890C36">
            <w:pPr>
              <w:rPr>
                <w:rFonts w:asciiTheme="minorHAnsi" w:hAnsiTheme="minorHAnsi" w:cstheme="minorHAnsi"/>
              </w:rPr>
            </w:pPr>
          </w:p>
          <w:p w14:paraId="06A4BF2E" w14:textId="31BA0D9C" w:rsidR="00D921A9" w:rsidRDefault="00D921A9" w:rsidP="00890C36">
            <w:pPr>
              <w:rPr>
                <w:rFonts w:cs="Times New Roman"/>
                <w:color w:val="272627"/>
              </w:rPr>
            </w:pPr>
            <w:r w:rsidRPr="00902CBF">
              <w:rPr>
                <w:rFonts w:cs="Times New Roman"/>
                <w:i/>
                <w:iCs/>
                <w:color w:val="272627"/>
              </w:rPr>
              <w:t>Author’s Note</w:t>
            </w:r>
            <w:r>
              <w:rPr>
                <w:rFonts w:cs="Times New Roman"/>
                <w:i/>
                <w:iCs/>
                <w:color w:val="272627"/>
              </w:rPr>
              <w:t xml:space="preserve">: </w:t>
            </w:r>
            <w:r>
              <w:rPr>
                <w:rFonts w:cs="Times New Roman"/>
                <w:color w:val="272627"/>
              </w:rPr>
              <w:t xml:space="preserve">Court’s requirement that damages are only available in the most egregious situation is problematic as this requirement is not found in </w:t>
            </w:r>
            <w:r w:rsidR="003061DB" w:rsidRPr="003061DB">
              <w:rPr>
                <w:rFonts w:cs="Times New Roman"/>
                <w:i/>
                <w:iCs/>
                <w:color w:val="272627"/>
              </w:rPr>
              <w:t>PIPEDA</w:t>
            </w:r>
            <w:r>
              <w:rPr>
                <w:rFonts w:cs="Times New Roman"/>
                <w:color w:val="272627"/>
              </w:rPr>
              <w:t xml:space="preserve">. </w:t>
            </w:r>
          </w:p>
          <w:p w14:paraId="7946EEF8" w14:textId="77777777" w:rsidR="00D921A9" w:rsidRDefault="00D921A9" w:rsidP="00890C36">
            <w:pPr>
              <w:rPr>
                <w:rFonts w:cs="Times New Roman"/>
                <w:color w:val="272627"/>
              </w:rPr>
            </w:pPr>
          </w:p>
          <w:p w14:paraId="314AA731" w14:textId="00374D48" w:rsidR="00D921A9" w:rsidRPr="00902CBF" w:rsidRDefault="00D921A9" w:rsidP="00890C36">
            <w:pPr>
              <w:rPr>
                <w:rFonts w:asciiTheme="minorHAnsi" w:hAnsiTheme="minorHAnsi" w:cstheme="minorHAnsi"/>
              </w:rPr>
            </w:pPr>
            <w:r>
              <w:rPr>
                <w:rFonts w:asciiTheme="minorHAnsi" w:hAnsiTheme="minorHAnsi" w:cstheme="minorHAnsi"/>
              </w:rPr>
              <w:t xml:space="preserve">No costs </w:t>
            </w:r>
            <w:r w:rsidR="003061DB" w:rsidRPr="003061DB">
              <w:rPr>
                <w:rFonts w:asciiTheme="minorHAnsi" w:hAnsiTheme="minorHAnsi" w:cstheme="minorHAnsi"/>
              </w:rPr>
              <w:t>award</w:t>
            </w:r>
            <w:r>
              <w:rPr>
                <w:rFonts w:asciiTheme="minorHAnsi" w:hAnsiTheme="minorHAnsi" w:cstheme="minorHAnsi"/>
              </w:rPr>
              <w:t>ed to either side, at para 59.</w:t>
            </w:r>
          </w:p>
          <w:p w14:paraId="17FCC976" w14:textId="77777777" w:rsidR="00D921A9" w:rsidRDefault="00D921A9" w:rsidP="00890C36">
            <w:pPr>
              <w:pBdr>
                <w:top w:val="nil"/>
                <w:left w:val="nil"/>
                <w:bottom w:val="nil"/>
                <w:right w:val="nil"/>
                <w:between w:val="nil"/>
              </w:pBdr>
              <w:spacing w:line="259" w:lineRule="auto"/>
            </w:pPr>
          </w:p>
        </w:tc>
      </w:tr>
      <w:bookmarkEnd w:id="43"/>
      <w:tr w:rsidR="00D921A9" w:rsidRPr="00C86197" w14:paraId="333DACB9" w14:textId="77777777" w:rsidTr="00890C36">
        <w:trPr>
          <w:trHeight w:val="526"/>
        </w:trPr>
        <w:tc>
          <w:tcPr>
            <w:tcW w:w="1875" w:type="dxa"/>
          </w:tcPr>
          <w:p w14:paraId="6634F9A1" w14:textId="00FAFB23" w:rsidR="00D921A9" w:rsidRDefault="00D921A9" w:rsidP="00890C36">
            <w:pPr>
              <w:autoSpaceDE w:val="0"/>
              <w:autoSpaceDN w:val="0"/>
              <w:adjustRightInd w:val="0"/>
              <w:rPr>
                <w:b/>
                <w:bCs w:val="0"/>
              </w:rPr>
            </w:pPr>
            <w:r>
              <w:rPr>
                <w:b/>
                <w:bCs w:val="0"/>
              </w:rPr>
              <w:t xml:space="preserve">9. </w:t>
            </w:r>
            <w:r w:rsidRPr="00C86197">
              <w:rPr>
                <w:b/>
                <w:bCs w:val="0"/>
              </w:rPr>
              <w:t>Privacy Commissioner of Canada v Air Canada, 2010 FC 429</w:t>
            </w:r>
          </w:p>
          <w:p w14:paraId="195976E6" w14:textId="192D68C6" w:rsidR="00D921A9" w:rsidRPr="00C86197" w:rsidRDefault="00D921A9" w:rsidP="00890C36">
            <w:pPr>
              <w:autoSpaceDE w:val="0"/>
              <w:autoSpaceDN w:val="0"/>
              <w:adjustRightInd w:val="0"/>
              <w:rPr>
                <w:rFonts w:cs="Times New Roman"/>
                <w:b/>
                <w:bCs w:val="0"/>
                <w:i/>
                <w:iCs/>
                <w:color w:val="272627"/>
              </w:rPr>
            </w:pPr>
          </w:p>
        </w:tc>
        <w:tc>
          <w:tcPr>
            <w:tcW w:w="3243" w:type="dxa"/>
          </w:tcPr>
          <w:p w14:paraId="18330E21" w14:textId="71C206E2" w:rsidR="00D921A9" w:rsidRDefault="00D921A9" w:rsidP="00031E8F">
            <w:pPr>
              <w:autoSpaceDE w:val="0"/>
              <w:autoSpaceDN w:val="0"/>
              <w:adjustRightInd w:val="0"/>
              <w:rPr>
                <w:rFonts w:cs="Times New Roman"/>
                <w:color w:val="272627"/>
              </w:rPr>
            </w:pPr>
            <w:r>
              <w:rPr>
                <w:rFonts w:cs="Times New Roman"/>
                <w:color w:val="272627"/>
              </w:rPr>
              <w:t xml:space="preserve">Mr. </w:t>
            </w:r>
            <w:proofErr w:type="spellStart"/>
            <w:r>
              <w:rPr>
                <w:rFonts w:cs="Times New Roman"/>
                <w:color w:val="272627"/>
              </w:rPr>
              <w:t>Dankwort</w:t>
            </w:r>
            <w:proofErr w:type="spellEnd"/>
            <w:r>
              <w:rPr>
                <w:rFonts w:cs="Times New Roman"/>
                <w:color w:val="272627"/>
              </w:rPr>
              <w:t xml:space="preserve"> complained to Air Canada about the conduct of one of its employees, at para 7, and demanded to see the file that Air Canada had on him. When Air Canada refused, </w:t>
            </w:r>
            <w:proofErr w:type="spellStart"/>
            <w:r>
              <w:rPr>
                <w:rFonts w:cs="Times New Roman"/>
                <w:color w:val="272627"/>
              </w:rPr>
              <w:t>Dankwort</w:t>
            </w:r>
            <w:proofErr w:type="spellEnd"/>
            <w:r>
              <w:rPr>
                <w:rFonts w:cs="Times New Roman"/>
                <w:color w:val="272627"/>
              </w:rPr>
              <w:t xml:space="preserve"> complained to the Privacy Commissioner </w:t>
            </w:r>
            <w:r w:rsidR="00031E8F">
              <w:rPr>
                <w:rFonts w:cs="Times New Roman"/>
                <w:color w:val="272627"/>
              </w:rPr>
              <w:t>which</w:t>
            </w:r>
            <w:r>
              <w:rPr>
                <w:rFonts w:cs="Times New Roman"/>
                <w:color w:val="272627"/>
              </w:rPr>
              <w:t xml:space="preserve"> instituted these proceedings for </w:t>
            </w:r>
            <w:r w:rsidR="00031E8F">
              <w:rPr>
                <w:rFonts w:cs="Times New Roman"/>
                <w:color w:val="272627"/>
              </w:rPr>
              <w:t xml:space="preserve">disclosure and </w:t>
            </w:r>
            <w:r>
              <w:rPr>
                <w:rFonts w:cs="Times New Roman"/>
                <w:color w:val="272627"/>
              </w:rPr>
              <w:t xml:space="preserve">damages. </w:t>
            </w:r>
          </w:p>
        </w:tc>
        <w:tc>
          <w:tcPr>
            <w:tcW w:w="4233" w:type="dxa"/>
          </w:tcPr>
          <w:p w14:paraId="79B1C0C8" w14:textId="70E4C25B" w:rsidR="00D921A9" w:rsidRPr="00C86197" w:rsidRDefault="00031E8F" w:rsidP="00031E8F">
            <w:pPr>
              <w:spacing w:before="100" w:beforeAutospacing="1" w:after="100" w:afterAutospacing="1"/>
              <w:rPr>
                <w:rFonts w:asciiTheme="minorHAnsi" w:hAnsiTheme="minorHAnsi" w:cstheme="minorHAnsi"/>
                <w:color w:val="272627"/>
              </w:rPr>
            </w:pPr>
            <w:r>
              <w:rPr>
                <w:rFonts w:asciiTheme="minorHAnsi" w:eastAsia="Times New Roman" w:hAnsiTheme="minorHAnsi" w:cstheme="minorHAnsi"/>
                <w:lang w:eastAsia="en-CA"/>
              </w:rPr>
              <w:t>The Court found that Air Canada was not required to disclose its file</w:t>
            </w:r>
            <w:r w:rsidR="00A56BA9">
              <w:rPr>
                <w:rFonts w:asciiTheme="minorHAnsi" w:eastAsia="Times New Roman" w:hAnsiTheme="minorHAnsi" w:cstheme="minorHAnsi"/>
                <w:lang w:eastAsia="en-CA"/>
              </w:rPr>
              <w:t>, at para 61</w:t>
            </w:r>
            <w:r>
              <w:rPr>
                <w:rFonts w:asciiTheme="minorHAnsi" w:eastAsia="Times New Roman" w:hAnsiTheme="minorHAnsi" w:cstheme="minorHAnsi"/>
                <w:lang w:eastAsia="en-CA"/>
              </w:rPr>
              <w:t xml:space="preserve"> and so </w:t>
            </w:r>
            <w:r w:rsidRPr="00C86197">
              <w:rPr>
                <w:rFonts w:asciiTheme="minorHAnsi" w:eastAsia="Times New Roman" w:hAnsiTheme="minorHAnsi" w:cstheme="minorHAnsi"/>
                <w:lang w:eastAsia="en-CA"/>
              </w:rPr>
              <w:t xml:space="preserve">no damages were </w:t>
            </w:r>
            <w:r w:rsidRPr="003061DB">
              <w:rPr>
                <w:rFonts w:asciiTheme="minorHAnsi" w:eastAsia="Times New Roman" w:hAnsiTheme="minorHAnsi" w:cstheme="minorHAnsi"/>
                <w:lang w:eastAsia="en-CA"/>
              </w:rPr>
              <w:t>award</w:t>
            </w:r>
            <w:r>
              <w:rPr>
                <w:rFonts w:asciiTheme="minorHAnsi" w:eastAsia="Times New Roman" w:hAnsiTheme="minorHAnsi" w:cstheme="minorHAnsi"/>
                <w:lang w:eastAsia="en-CA"/>
              </w:rPr>
              <w:t>ed to</w:t>
            </w:r>
            <w:r w:rsidR="00A56BA9">
              <w:rPr>
                <w:rFonts w:asciiTheme="minorHAnsi" w:eastAsia="Times New Roman" w:hAnsiTheme="minorHAnsi" w:cstheme="minorHAnsi"/>
                <w:lang w:eastAsia="en-CA"/>
              </w:rPr>
              <w:t xml:space="preserve"> </w:t>
            </w:r>
            <w:proofErr w:type="spellStart"/>
            <w:r w:rsidR="00DB6BBB">
              <w:rPr>
                <w:rFonts w:asciiTheme="minorHAnsi" w:eastAsia="Times New Roman" w:hAnsiTheme="minorHAnsi" w:cstheme="minorHAnsi"/>
                <w:lang w:eastAsia="en-CA"/>
              </w:rPr>
              <w:t>Dankwor</w:t>
            </w:r>
            <w:r w:rsidR="00D921A9" w:rsidRPr="00C86197">
              <w:rPr>
                <w:rFonts w:asciiTheme="minorHAnsi" w:eastAsia="Times New Roman" w:hAnsiTheme="minorHAnsi" w:cstheme="minorHAnsi"/>
                <w:lang w:eastAsia="en-CA"/>
              </w:rPr>
              <w:t>t</w:t>
            </w:r>
            <w:proofErr w:type="spellEnd"/>
            <w:r>
              <w:rPr>
                <w:rFonts w:asciiTheme="minorHAnsi" w:eastAsia="Times New Roman" w:hAnsiTheme="minorHAnsi" w:cstheme="minorHAnsi"/>
                <w:lang w:eastAsia="en-CA"/>
              </w:rPr>
              <w:t>, at para 62.</w:t>
            </w:r>
            <w:r w:rsidR="00D921A9" w:rsidRPr="00C86197">
              <w:rPr>
                <w:rFonts w:asciiTheme="minorHAnsi" w:eastAsia="Times New Roman" w:hAnsiTheme="minorHAnsi" w:cstheme="minorHAnsi"/>
                <w:lang w:eastAsia="en-CA"/>
              </w:rPr>
              <w:t xml:space="preserve"> </w:t>
            </w:r>
          </w:p>
        </w:tc>
      </w:tr>
      <w:tr w:rsidR="00D921A9" w14:paraId="461CC4BC" w14:textId="77777777" w:rsidTr="00890C36">
        <w:trPr>
          <w:trHeight w:val="526"/>
        </w:trPr>
        <w:tc>
          <w:tcPr>
            <w:tcW w:w="1875" w:type="dxa"/>
          </w:tcPr>
          <w:p w14:paraId="6017F69E" w14:textId="3BB0996F" w:rsidR="00D921A9" w:rsidRPr="00012165" w:rsidRDefault="00D921A9" w:rsidP="00890C36">
            <w:pPr>
              <w:autoSpaceDE w:val="0"/>
              <w:autoSpaceDN w:val="0"/>
              <w:adjustRightInd w:val="0"/>
              <w:rPr>
                <w:b/>
                <w:bCs w:val="0"/>
              </w:rPr>
            </w:pPr>
            <w:r>
              <w:rPr>
                <w:b/>
                <w:bCs w:val="0"/>
              </w:rPr>
              <w:t xml:space="preserve">10. </w:t>
            </w:r>
            <w:proofErr w:type="spellStart"/>
            <w:r w:rsidRPr="00012165">
              <w:rPr>
                <w:b/>
                <w:bCs w:val="0"/>
              </w:rPr>
              <w:t>Waxer</w:t>
            </w:r>
            <w:proofErr w:type="spellEnd"/>
            <w:r w:rsidRPr="00012165">
              <w:rPr>
                <w:b/>
                <w:bCs w:val="0"/>
              </w:rPr>
              <w:t xml:space="preserve"> v </w:t>
            </w:r>
            <w:r w:rsidR="00A56BA9">
              <w:rPr>
                <w:b/>
                <w:bCs w:val="0"/>
              </w:rPr>
              <w:t xml:space="preserve"> J</w:t>
            </w:r>
            <w:r w:rsidRPr="00012165">
              <w:rPr>
                <w:b/>
                <w:bCs w:val="0"/>
              </w:rPr>
              <w:t xml:space="preserve">J </w:t>
            </w:r>
            <w:proofErr w:type="spellStart"/>
            <w:r w:rsidRPr="00012165">
              <w:rPr>
                <w:b/>
                <w:bCs w:val="0"/>
              </w:rPr>
              <w:t>Barnicke</w:t>
            </w:r>
            <w:proofErr w:type="spellEnd"/>
            <w:r w:rsidRPr="00012165">
              <w:rPr>
                <w:b/>
                <w:bCs w:val="0"/>
              </w:rPr>
              <w:t xml:space="preserve"> Limited, 2009 FC 169</w:t>
            </w:r>
          </w:p>
        </w:tc>
        <w:tc>
          <w:tcPr>
            <w:tcW w:w="3243" w:type="dxa"/>
          </w:tcPr>
          <w:p w14:paraId="125CFB32" w14:textId="5D8F2DD8" w:rsidR="00D921A9" w:rsidRPr="005C3F03" w:rsidRDefault="00192056" w:rsidP="007F4395">
            <w:pPr>
              <w:autoSpaceDE w:val="0"/>
              <w:autoSpaceDN w:val="0"/>
              <w:adjustRightInd w:val="0"/>
            </w:pPr>
            <w:r>
              <w:t>Applicant complained that</w:t>
            </w:r>
            <w:r w:rsidR="007F4395">
              <w:t xml:space="preserve"> the</w:t>
            </w:r>
            <w:r>
              <w:t xml:space="preserve"> Respondent collected his information.</w:t>
            </w:r>
          </w:p>
        </w:tc>
        <w:tc>
          <w:tcPr>
            <w:tcW w:w="4233" w:type="dxa"/>
          </w:tcPr>
          <w:p w14:paraId="141D60F1" w14:textId="01144371" w:rsidR="00D921A9" w:rsidRPr="00012165" w:rsidRDefault="00D921A9" w:rsidP="00031E8F">
            <w:pPr>
              <w:autoSpaceDE w:val="0"/>
              <w:autoSpaceDN w:val="0"/>
              <w:adjustRightInd w:val="0"/>
              <w:rPr>
                <w:rFonts w:cs="Times New Roman"/>
                <w:b/>
                <w:bCs w:val="0"/>
                <w:color w:val="272627"/>
              </w:rPr>
            </w:pPr>
            <w:r>
              <w:rPr>
                <w:rFonts w:cs="Times New Roman"/>
                <w:color w:val="272627"/>
              </w:rPr>
              <w:t xml:space="preserve">No damages </w:t>
            </w:r>
            <w:r w:rsidR="003061DB" w:rsidRPr="003061DB">
              <w:rPr>
                <w:rFonts w:cs="Times New Roman"/>
                <w:color w:val="272627"/>
              </w:rPr>
              <w:t>award</w:t>
            </w:r>
            <w:r>
              <w:rPr>
                <w:rFonts w:cs="Times New Roman"/>
                <w:color w:val="272627"/>
              </w:rPr>
              <w:t>ed because no</w:t>
            </w:r>
            <w:r w:rsidR="00192056">
              <w:rPr>
                <w:rFonts w:cs="Times New Roman"/>
                <w:color w:val="272627"/>
              </w:rPr>
              <w:t xml:space="preserve"> information had been collected, at para 38.</w:t>
            </w:r>
            <w:r>
              <w:rPr>
                <w:rFonts w:cs="Times New Roman"/>
                <w:color w:val="272627"/>
              </w:rPr>
              <w:t xml:space="preserve"> </w:t>
            </w:r>
            <w:r w:rsidR="003061DB" w:rsidRPr="003061DB">
              <w:rPr>
                <w:rFonts w:cs="Times New Roman"/>
                <w:i/>
                <w:iCs/>
                <w:color w:val="272627"/>
              </w:rPr>
              <w:t>PIPEDA</w:t>
            </w:r>
            <w:r>
              <w:rPr>
                <w:rFonts w:cs="Times New Roman"/>
                <w:color w:val="272627"/>
              </w:rPr>
              <w:t xml:space="preserve"> does not apply to unsuccessful attempts </w:t>
            </w:r>
            <w:r w:rsidR="00192056">
              <w:rPr>
                <w:rFonts w:cs="Times New Roman"/>
                <w:color w:val="272627"/>
              </w:rPr>
              <w:t>to collect personal information, at para 46.</w:t>
            </w:r>
          </w:p>
        </w:tc>
      </w:tr>
      <w:tr w:rsidR="00D921A9" w14:paraId="0497E876" w14:textId="77777777" w:rsidTr="00890C36">
        <w:trPr>
          <w:trHeight w:val="526"/>
        </w:trPr>
        <w:tc>
          <w:tcPr>
            <w:tcW w:w="1875" w:type="dxa"/>
          </w:tcPr>
          <w:p w14:paraId="58B42933" w14:textId="77777777" w:rsidR="00D921A9" w:rsidRPr="00E46292" w:rsidRDefault="00D921A9" w:rsidP="00890C36">
            <w:pPr>
              <w:autoSpaceDE w:val="0"/>
              <w:autoSpaceDN w:val="0"/>
              <w:adjustRightInd w:val="0"/>
              <w:rPr>
                <w:rFonts w:cs="Times New Roman"/>
                <w:b/>
                <w:bCs w:val="0"/>
                <w:i/>
                <w:iCs/>
                <w:color w:val="272627"/>
              </w:rPr>
            </w:pPr>
            <w:r>
              <w:rPr>
                <w:b/>
                <w:bCs w:val="0"/>
              </w:rPr>
              <w:t xml:space="preserve">11. </w:t>
            </w:r>
            <w:r w:rsidRPr="00E46292">
              <w:rPr>
                <w:b/>
                <w:bCs w:val="0"/>
              </w:rPr>
              <w:t xml:space="preserve">Johnson v. Bell Canada, 2008 FC 1086 </w:t>
            </w:r>
          </w:p>
        </w:tc>
        <w:tc>
          <w:tcPr>
            <w:tcW w:w="3243" w:type="dxa"/>
          </w:tcPr>
          <w:p w14:paraId="129D7F9E" w14:textId="11BDA84F" w:rsidR="00D921A9" w:rsidRPr="005C3F03" w:rsidRDefault="00D921A9" w:rsidP="00890C36">
            <w:pPr>
              <w:autoSpaceDE w:val="0"/>
              <w:autoSpaceDN w:val="0"/>
              <w:adjustRightInd w:val="0"/>
              <w:rPr>
                <w:rFonts w:cs="Times New Roman"/>
                <w:color w:val="272627"/>
              </w:rPr>
            </w:pPr>
            <w:r w:rsidRPr="005C3F03">
              <w:t xml:space="preserve">Applicant alleged, inter alia, that Bell failed to comply with </w:t>
            </w:r>
            <w:r w:rsidR="003061DB" w:rsidRPr="003061DB">
              <w:rPr>
                <w:i/>
                <w:iCs/>
              </w:rPr>
              <w:t>PIPEDA</w:t>
            </w:r>
            <w:r w:rsidRPr="005C3F03">
              <w:t xml:space="preserve"> in relation to his access request, at para 5.  </w:t>
            </w:r>
          </w:p>
        </w:tc>
        <w:tc>
          <w:tcPr>
            <w:tcW w:w="4233" w:type="dxa"/>
          </w:tcPr>
          <w:p w14:paraId="3F358E11" w14:textId="467E47E6" w:rsidR="00D921A9" w:rsidRDefault="00D921A9" w:rsidP="00890C36">
            <w:pPr>
              <w:autoSpaceDE w:val="0"/>
              <w:autoSpaceDN w:val="0"/>
              <w:adjustRightInd w:val="0"/>
              <w:rPr>
                <w:rFonts w:cs="Times New Roman"/>
                <w:color w:val="272627"/>
              </w:rPr>
            </w:pPr>
            <w:r>
              <w:rPr>
                <w:rFonts w:cs="Times New Roman"/>
                <w:color w:val="272627"/>
              </w:rPr>
              <w:t xml:space="preserve">No damages </w:t>
            </w:r>
            <w:r w:rsidR="003061DB" w:rsidRPr="003061DB">
              <w:rPr>
                <w:rFonts w:cs="Times New Roman"/>
                <w:color w:val="272627"/>
              </w:rPr>
              <w:t>award</w:t>
            </w:r>
            <w:r>
              <w:rPr>
                <w:rFonts w:cs="Times New Roman"/>
                <w:color w:val="272627"/>
              </w:rPr>
              <w:t xml:space="preserve">ed because Bell Canada had complied with </w:t>
            </w:r>
            <w:r w:rsidR="003061DB" w:rsidRPr="003061DB">
              <w:rPr>
                <w:rFonts w:cs="Times New Roman"/>
                <w:i/>
                <w:iCs/>
                <w:color w:val="272627"/>
              </w:rPr>
              <w:t>PIPEDA</w:t>
            </w:r>
            <w:r>
              <w:rPr>
                <w:rFonts w:cs="Times New Roman"/>
                <w:color w:val="272627"/>
              </w:rPr>
              <w:t>, at para 54.</w:t>
            </w:r>
          </w:p>
        </w:tc>
      </w:tr>
      <w:tr w:rsidR="00D921A9" w14:paraId="275316A8" w14:textId="77777777" w:rsidTr="00890C36">
        <w:trPr>
          <w:trHeight w:val="526"/>
        </w:trPr>
        <w:tc>
          <w:tcPr>
            <w:tcW w:w="1875" w:type="dxa"/>
          </w:tcPr>
          <w:p w14:paraId="52BDB8E1" w14:textId="24FBCD55" w:rsidR="00D921A9" w:rsidRPr="00397053" w:rsidRDefault="00D921A9" w:rsidP="007F4395">
            <w:pPr>
              <w:autoSpaceDE w:val="0"/>
              <w:autoSpaceDN w:val="0"/>
              <w:adjustRightInd w:val="0"/>
              <w:rPr>
                <w:b/>
                <w:bCs w:val="0"/>
                <w:lang w:val="fr-FR"/>
              </w:rPr>
            </w:pPr>
            <w:r>
              <w:rPr>
                <w:b/>
                <w:bCs w:val="0"/>
                <w:lang w:val="fr-FR"/>
              </w:rPr>
              <w:lastRenderedPageBreak/>
              <w:t>12</w:t>
            </w:r>
            <w:r w:rsidRPr="002067BF">
              <w:rPr>
                <w:b/>
                <w:bCs w:val="0"/>
                <w:lang w:val="fr-FR"/>
              </w:rPr>
              <w:t>.</w:t>
            </w:r>
            <w:r>
              <w:rPr>
                <w:b/>
                <w:bCs w:val="0"/>
                <w:lang w:val="fr-FR"/>
              </w:rPr>
              <w:t xml:space="preserve"> </w:t>
            </w:r>
            <w:proofErr w:type="spellStart"/>
            <w:r w:rsidR="007F4395">
              <w:rPr>
                <w:b/>
                <w:bCs w:val="0"/>
                <w:lang w:val="fr-FR"/>
              </w:rPr>
              <w:t>Wansink</w:t>
            </w:r>
            <w:proofErr w:type="spellEnd"/>
            <w:r w:rsidRPr="00397053">
              <w:rPr>
                <w:b/>
                <w:bCs w:val="0"/>
                <w:lang w:val="fr-FR"/>
              </w:rPr>
              <w:t xml:space="preserve"> v </w:t>
            </w:r>
            <w:proofErr w:type="spellStart"/>
            <w:r w:rsidRPr="00397053">
              <w:rPr>
                <w:b/>
                <w:bCs w:val="0"/>
                <w:lang w:val="fr-FR"/>
              </w:rPr>
              <w:t>Telus</w:t>
            </w:r>
            <w:proofErr w:type="spellEnd"/>
            <w:r w:rsidRPr="00397053">
              <w:rPr>
                <w:b/>
                <w:bCs w:val="0"/>
                <w:lang w:val="fr-FR"/>
              </w:rPr>
              <w:t xml:space="preserve"> Com</w:t>
            </w:r>
            <w:r w:rsidR="007F4395">
              <w:rPr>
                <w:b/>
                <w:bCs w:val="0"/>
                <w:lang w:val="fr-FR"/>
              </w:rPr>
              <w:t>munications Inc, 2007</w:t>
            </w:r>
            <w:r w:rsidRPr="00397053">
              <w:rPr>
                <w:b/>
                <w:bCs w:val="0"/>
                <w:lang w:val="fr-FR"/>
              </w:rPr>
              <w:t xml:space="preserve"> FC</w:t>
            </w:r>
            <w:r w:rsidR="007F4395">
              <w:rPr>
                <w:b/>
                <w:bCs w:val="0"/>
                <w:lang w:val="fr-FR"/>
              </w:rPr>
              <w:t>A</w:t>
            </w:r>
            <w:r w:rsidRPr="00397053">
              <w:rPr>
                <w:b/>
                <w:bCs w:val="0"/>
                <w:lang w:val="fr-FR"/>
              </w:rPr>
              <w:t xml:space="preserve"> </w:t>
            </w:r>
            <w:r w:rsidR="007F4395">
              <w:rPr>
                <w:b/>
                <w:bCs w:val="0"/>
                <w:lang w:val="fr-FR"/>
              </w:rPr>
              <w:t>21</w:t>
            </w:r>
          </w:p>
        </w:tc>
        <w:tc>
          <w:tcPr>
            <w:tcW w:w="3243" w:type="dxa"/>
          </w:tcPr>
          <w:p w14:paraId="536A6A8D" w14:textId="28C17E28" w:rsidR="00D921A9" w:rsidRPr="00A56BA9" w:rsidRDefault="00D921A9" w:rsidP="007F4395">
            <w:pPr>
              <w:autoSpaceDE w:val="0"/>
              <w:autoSpaceDN w:val="0"/>
              <w:adjustRightInd w:val="0"/>
            </w:pPr>
            <w:r w:rsidRPr="00397053">
              <w:t xml:space="preserve">Several employees of </w:t>
            </w:r>
            <w:proofErr w:type="spellStart"/>
            <w:r w:rsidRPr="00397053">
              <w:t>Telus</w:t>
            </w:r>
            <w:proofErr w:type="spellEnd"/>
            <w:r w:rsidRPr="00397053">
              <w:t xml:space="preserve"> o</w:t>
            </w:r>
            <w:r>
              <w:t xml:space="preserve">bjected to its institution of “speaker verification technology” for identity verification purposes as impinging on privacy, contrary to </w:t>
            </w:r>
            <w:r w:rsidR="003061DB" w:rsidRPr="003061DB">
              <w:rPr>
                <w:i/>
                <w:iCs/>
              </w:rPr>
              <w:t>PIPEDA</w:t>
            </w:r>
            <w:r w:rsidR="00A56BA9">
              <w:rPr>
                <w:i/>
                <w:iCs/>
              </w:rPr>
              <w:t xml:space="preserve">, </w:t>
            </w:r>
            <w:r w:rsidR="00A56BA9">
              <w:t>at para</w:t>
            </w:r>
            <w:r w:rsidR="007F4395">
              <w:t>s 6 and 7</w:t>
            </w:r>
            <w:r w:rsidR="00A56BA9">
              <w:t>.</w:t>
            </w:r>
          </w:p>
        </w:tc>
        <w:tc>
          <w:tcPr>
            <w:tcW w:w="4233" w:type="dxa"/>
          </w:tcPr>
          <w:p w14:paraId="348682C2" w14:textId="7ACC6C39" w:rsidR="00D921A9" w:rsidRDefault="00D921A9" w:rsidP="007F4395">
            <w:pPr>
              <w:autoSpaceDE w:val="0"/>
              <w:autoSpaceDN w:val="0"/>
              <w:adjustRightInd w:val="0"/>
              <w:rPr>
                <w:rFonts w:cs="Times New Roman"/>
                <w:color w:val="272627"/>
              </w:rPr>
            </w:pPr>
            <w:r>
              <w:rPr>
                <w:rFonts w:cs="Times New Roman"/>
                <w:color w:val="272627"/>
              </w:rPr>
              <w:t xml:space="preserve">No damages </w:t>
            </w:r>
            <w:r w:rsidR="003061DB" w:rsidRPr="003061DB">
              <w:rPr>
                <w:rFonts w:cs="Times New Roman"/>
                <w:color w:val="272627"/>
              </w:rPr>
              <w:t>award</w:t>
            </w:r>
            <w:r>
              <w:rPr>
                <w:rFonts w:cs="Times New Roman"/>
                <w:color w:val="272627"/>
              </w:rPr>
              <w:t xml:space="preserve">ed because </w:t>
            </w:r>
            <w:proofErr w:type="spellStart"/>
            <w:r>
              <w:rPr>
                <w:rFonts w:cs="Times New Roman"/>
                <w:color w:val="272627"/>
              </w:rPr>
              <w:t>Telus</w:t>
            </w:r>
            <w:proofErr w:type="spellEnd"/>
            <w:r>
              <w:rPr>
                <w:rFonts w:cs="Times New Roman"/>
                <w:color w:val="272627"/>
              </w:rPr>
              <w:t xml:space="preserve"> had complied with </w:t>
            </w:r>
            <w:r w:rsidR="003061DB" w:rsidRPr="003061DB">
              <w:rPr>
                <w:rFonts w:cs="Times New Roman"/>
                <w:i/>
                <w:iCs/>
                <w:color w:val="272627"/>
              </w:rPr>
              <w:t>PIPEDA</w:t>
            </w:r>
            <w:r w:rsidR="00CA3D5B">
              <w:rPr>
                <w:rFonts w:cs="Times New Roman"/>
                <w:color w:val="272627"/>
              </w:rPr>
              <w:t xml:space="preserve">, at para </w:t>
            </w:r>
            <w:r w:rsidR="007F4395">
              <w:rPr>
                <w:rFonts w:cs="Times New Roman"/>
                <w:color w:val="272627"/>
              </w:rPr>
              <w:t>32</w:t>
            </w:r>
            <w:r w:rsidR="00CA3D5B">
              <w:rPr>
                <w:rFonts w:cs="Times New Roman"/>
                <w:color w:val="272627"/>
              </w:rPr>
              <w:t>.</w:t>
            </w:r>
          </w:p>
        </w:tc>
      </w:tr>
      <w:tr w:rsidR="00D921A9" w14:paraId="50F159B5" w14:textId="77777777" w:rsidTr="00890C36">
        <w:trPr>
          <w:trHeight w:val="526"/>
        </w:trPr>
        <w:tc>
          <w:tcPr>
            <w:tcW w:w="1875" w:type="dxa"/>
          </w:tcPr>
          <w:p w14:paraId="3998FE21" w14:textId="659DD42E" w:rsidR="00D921A9" w:rsidRPr="0069062F" w:rsidRDefault="00D921A9" w:rsidP="00890C36">
            <w:pPr>
              <w:autoSpaceDE w:val="0"/>
              <w:autoSpaceDN w:val="0"/>
              <w:adjustRightInd w:val="0"/>
              <w:rPr>
                <w:b/>
                <w:bCs w:val="0"/>
                <w:lang w:val="en-CA"/>
              </w:rPr>
            </w:pPr>
            <w:r w:rsidRPr="0069062F">
              <w:rPr>
                <w:b/>
                <w:bCs w:val="0"/>
                <w:lang w:val="en-CA"/>
              </w:rPr>
              <w:t>1</w:t>
            </w:r>
            <w:r>
              <w:rPr>
                <w:b/>
                <w:bCs w:val="0"/>
              </w:rPr>
              <w:t>3</w:t>
            </w:r>
            <w:r w:rsidRPr="0069062F">
              <w:rPr>
                <w:b/>
                <w:bCs w:val="0"/>
                <w:lang w:val="en-CA"/>
              </w:rPr>
              <w:t xml:space="preserve">. </w:t>
            </w:r>
            <w:r w:rsidRPr="0069062F">
              <w:rPr>
                <w:b/>
                <w:bCs w:val="0"/>
              </w:rPr>
              <w:t>Morgan v Alta Flights (</w:t>
            </w:r>
            <w:r w:rsidR="003061DB" w:rsidRPr="003061DB">
              <w:rPr>
                <w:b/>
                <w:bCs w:val="0"/>
                <w:i/>
                <w:iCs/>
              </w:rPr>
              <w:t>Charter</w:t>
            </w:r>
            <w:r w:rsidRPr="0069062F">
              <w:rPr>
                <w:b/>
                <w:bCs w:val="0"/>
              </w:rPr>
              <w:t>s) Inc., 2005 FC 421</w:t>
            </w:r>
            <w:r>
              <w:rPr>
                <w:b/>
                <w:bCs w:val="0"/>
              </w:rPr>
              <w:t>, affirmed</w:t>
            </w:r>
            <w:r w:rsidRPr="0069062F">
              <w:rPr>
                <w:b/>
                <w:bCs w:val="0"/>
              </w:rPr>
              <w:t xml:space="preserve"> Morgan v. Alta Flights (</w:t>
            </w:r>
            <w:r w:rsidR="003061DB" w:rsidRPr="003061DB">
              <w:rPr>
                <w:b/>
                <w:bCs w:val="0"/>
                <w:i/>
                <w:iCs/>
              </w:rPr>
              <w:t>Charter</w:t>
            </w:r>
            <w:r w:rsidRPr="0069062F">
              <w:rPr>
                <w:b/>
                <w:bCs w:val="0"/>
              </w:rPr>
              <w:t>s) Inc., 2006 FCA 121</w:t>
            </w:r>
          </w:p>
        </w:tc>
        <w:tc>
          <w:tcPr>
            <w:tcW w:w="3243" w:type="dxa"/>
          </w:tcPr>
          <w:p w14:paraId="3D59FC53" w14:textId="51C33F58" w:rsidR="00D921A9" w:rsidRPr="00397053" w:rsidRDefault="00CA3D5B" w:rsidP="00CA3D5B">
            <w:pPr>
              <w:spacing w:before="100" w:beforeAutospacing="1" w:after="100" w:afterAutospacing="1"/>
            </w:pPr>
            <w:r>
              <w:t>The applicant complained that her employed attempted to collect her personal information by hiding a voice recorder</w:t>
            </w:r>
            <w:r w:rsidRPr="00CA3D5B">
              <w:t xml:space="preserve"> </w:t>
            </w:r>
            <w:r>
              <w:t>underneath a coffee table in the break room</w:t>
            </w:r>
            <w:r w:rsidR="0037320F">
              <w:t>, at para 4.</w:t>
            </w:r>
            <w:r>
              <w:t xml:space="preserve"> Her manager “</w:t>
            </w:r>
            <w:r w:rsidRPr="00CA3D5B">
              <w:t>admitted she personally hid the recorder in the smoke room on the night in question with the intention of recording the conversations in that room of Ms. Morgan</w:t>
            </w:r>
            <w:r>
              <w:t>…”</w:t>
            </w:r>
            <w:r w:rsidRPr="00CA3D5B">
              <w:t xml:space="preserve"> </w:t>
            </w:r>
            <w:r>
              <w:t>at para 5.</w:t>
            </w:r>
          </w:p>
        </w:tc>
        <w:tc>
          <w:tcPr>
            <w:tcW w:w="4233" w:type="dxa"/>
          </w:tcPr>
          <w:p w14:paraId="4031C8CE" w14:textId="7BC8072E" w:rsidR="00D921A9" w:rsidRDefault="00D921A9" w:rsidP="00CA3D5B">
            <w:pPr>
              <w:autoSpaceDE w:val="0"/>
              <w:autoSpaceDN w:val="0"/>
              <w:adjustRightInd w:val="0"/>
              <w:rPr>
                <w:rFonts w:cs="Times New Roman"/>
                <w:color w:val="272627"/>
              </w:rPr>
            </w:pPr>
            <w:r>
              <w:rPr>
                <w:rFonts w:cs="Times New Roman"/>
                <w:color w:val="272627"/>
              </w:rPr>
              <w:t xml:space="preserve">No damages </w:t>
            </w:r>
            <w:r w:rsidR="003061DB" w:rsidRPr="003061DB">
              <w:rPr>
                <w:rFonts w:cs="Times New Roman"/>
                <w:color w:val="272627"/>
              </w:rPr>
              <w:t>award</w:t>
            </w:r>
            <w:r>
              <w:rPr>
                <w:rFonts w:cs="Times New Roman"/>
                <w:color w:val="272627"/>
              </w:rPr>
              <w:t>ed because no</w:t>
            </w:r>
            <w:r w:rsidR="00CA3D5B">
              <w:rPr>
                <w:rFonts w:cs="Times New Roman"/>
                <w:color w:val="272627"/>
              </w:rPr>
              <w:t xml:space="preserve"> information had been collected, at para 22.</w:t>
            </w:r>
            <w:r>
              <w:rPr>
                <w:rFonts w:cs="Times New Roman"/>
                <w:color w:val="272627"/>
              </w:rPr>
              <w:t xml:space="preserve"> </w:t>
            </w:r>
            <w:r w:rsidR="003061DB" w:rsidRPr="003061DB">
              <w:rPr>
                <w:rFonts w:cs="Times New Roman"/>
                <w:i/>
                <w:iCs/>
                <w:color w:val="272627"/>
              </w:rPr>
              <w:t>PIPEDA</w:t>
            </w:r>
            <w:r>
              <w:rPr>
                <w:rFonts w:cs="Times New Roman"/>
                <w:color w:val="272627"/>
              </w:rPr>
              <w:t xml:space="preserve"> does not apply to unsuccessful attempts to</w:t>
            </w:r>
            <w:r w:rsidR="00CA3D5B">
              <w:rPr>
                <w:rFonts w:cs="Times New Roman"/>
                <w:color w:val="272627"/>
              </w:rPr>
              <w:t xml:space="preserve"> collect personal information, at para 20.</w:t>
            </w:r>
          </w:p>
        </w:tc>
      </w:tr>
      <w:tr w:rsidR="00D921A9" w14:paraId="654132DD" w14:textId="77777777" w:rsidTr="00890C36">
        <w:trPr>
          <w:trHeight w:val="526"/>
        </w:trPr>
        <w:tc>
          <w:tcPr>
            <w:tcW w:w="1875" w:type="dxa"/>
          </w:tcPr>
          <w:p w14:paraId="560B4A8C" w14:textId="77777777" w:rsidR="00D921A9" w:rsidRPr="00AF0ACD" w:rsidRDefault="00D921A9" w:rsidP="00890C36">
            <w:pPr>
              <w:autoSpaceDE w:val="0"/>
              <w:autoSpaceDN w:val="0"/>
              <w:adjustRightInd w:val="0"/>
              <w:rPr>
                <w:rFonts w:cs="Times New Roman"/>
                <w:b/>
                <w:bCs w:val="0"/>
                <w:color w:val="272627"/>
                <w:lang w:val="fr-FR"/>
              </w:rPr>
            </w:pPr>
            <w:r>
              <w:rPr>
                <w:b/>
                <w:bCs w:val="0"/>
                <w:i/>
                <w:iCs/>
                <w:lang w:val="fr-FR"/>
              </w:rPr>
              <w:t xml:space="preserve">14. </w:t>
            </w:r>
            <w:r w:rsidRPr="00AF0ACD">
              <w:rPr>
                <w:b/>
                <w:bCs w:val="0"/>
                <w:i/>
                <w:iCs/>
                <w:lang w:val="fr-FR"/>
              </w:rPr>
              <w:t xml:space="preserve">Englander v </w:t>
            </w:r>
            <w:proofErr w:type="spellStart"/>
            <w:r w:rsidRPr="00AF0ACD">
              <w:rPr>
                <w:b/>
                <w:bCs w:val="0"/>
                <w:i/>
                <w:iCs/>
                <w:lang w:val="fr-FR"/>
              </w:rPr>
              <w:t>Telus</w:t>
            </w:r>
            <w:proofErr w:type="spellEnd"/>
            <w:r w:rsidRPr="00AF0ACD">
              <w:rPr>
                <w:b/>
                <w:bCs w:val="0"/>
                <w:i/>
                <w:iCs/>
                <w:lang w:val="fr-FR"/>
              </w:rPr>
              <w:t xml:space="preserve"> Communications Inc</w:t>
            </w:r>
            <w:r w:rsidRPr="00AF0ACD">
              <w:rPr>
                <w:b/>
                <w:bCs w:val="0"/>
                <w:lang w:val="fr-FR"/>
              </w:rPr>
              <w:t>, 2004 FCA 387</w:t>
            </w:r>
          </w:p>
        </w:tc>
        <w:tc>
          <w:tcPr>
            <w:tcW w:w="3243" w:type="dxa"/>
          </w:tcPr>
          <w:p w14:paraId="0A37B5E1" w14:textId="71B1F280" w:rsidR="00D921A9" w:rsidRPr="004A3BD7" w:rsidRDefault="00D921A9" w:rsidP="00890C36">
            <w:pPr>
              <w:autoSpaceDE w:val="0"/>
              <w:autoSpaceDN w:val="0"/>
              <w:adjustRightInd w:val="0"/>
              <w:rPr>
                <w:rFonts w:cs="Times New Roman"/>
                <w:color w:val="272627"/>
              </w:rPr>
            </w:pPr>
            <w:r>
              <w:rPr>
                <w:rFonts w:cs="Times New Roman"/>
                <w:color w:val="272627"/>
              </w:rPr>
              <w:t xml:space="preserve">Applicant alleged that </w:t>
            </w:r>
            <w:proofErr w:type="spellStart"/>
            <w:r>
              <w:rPr>
                <w:rFonts w:cs="Times New Roman"/>
                <w:color w:val="272627"/>
              </w:rPr>
              <w:t>Telus</w:t>
            </w:r>
            <w:proofErr w:type="spellEnd"/>
            <w:r>
              <w:rPr>
                <w:rFonts w:cs="Times New Roman"/>
                <w:color w:val="272627"/>
              </w:rPr>
              <w:t xml:space="preserve"> failed to obtained valid consent to publish customers’ personal information in its directories and objected, </w:t>
            </w:r>
            <w:r w:rsidRPr="0012214C">
              <w:rPr>
                <w:rFonts w:cs="Times New Roman"/>
                <w:i/>
                <w:iCs/>
                <w:color w:val="272627"/>
              </w:rPr>
              <w:t>inter alia</w:t>
            </w:r>
            <w:r>
              <w:rPr>
                <w:rFonts w:cs="Times New Roman"/>
                <w:color w:val="272627"/>
              </w:rPr>
              <w:t xml:space="preserve">, to a fee charged by </w:t>
            </w:r>
            <w:proofErr w:type="spellStart"/>
            <w:r>
              <w:rPr>
                <w:rFonts w:cs="Times New Roman"/>
                <w:color w:val="272627"/>
              </w:rPr>
              <w:t>Telus</w:t>
            </w:r>
            <w:proofErr w:type="spellEnd"/>
            <w:r>
              <w:rPr>
                <w:rFonts w:cs="Times New Roman"/>
                <w:color w:val="272627"/>
              </w:rPr>
              <w:t xml:space="preserve"> to customers to keep their phone number confidential</w:t>
            </w:r>
            <w:r w:rsidR="0037320F">
              <w:rPr>
                <w:rFonts w:cs="Times New Roman"/>
                <w:color w:val="272627"/>
              </w:rPr>
              <w:t>, at para 2.</w:t>
            </w:r>
            <w:r>
              <w:rPr>
                <w:rFonts w:cs="Times New Roman"/>
                <w:color w:val="272627"/>
              </w:rPr>
              <w:t xml:space="preserve"> </w:t>
            </w:r>
          </w:p>
        </w:tc>
        <w:tc>
          <w:tcPr>
            <w:tcW w:w="4233" w:type="dxa"/>
          </w:tcPr>
          <w:p w14:paraId="16492420" w14:textId="24423FB3" w:rsidR="00D921A9" w:rsidRDefault="00D921A9" w:rsidP="00CA3D5B">
            <w:pPr>
              <w:autoSpaceDE w:val="0"/>
              <w:autoSpaceDN w:val="0"/>
              <w:adjustRightInd w:val="0"/>
              <w:rPr>
                <w:rFonts w:cs="Times New Roman"/>
                <w:color w:val="272627"/>
              </w:rPr>
            </w:pPr>
            <w:proofErr w:type="spellStart"/>
            <w:r>
              <w:t>Telus</w:t>
            </w:r>
            <w:proofErr w:type="spellEnd"/>
            <w:r>
              <w:t xml:space="preserve"> violated then s</w:t>
            </w:r>
            <w:r w:rsidR="00EE7DF1">
              <w:t>ection</w:t>
            </w:r>
            <w:r>
              <w:t xml:space="preserve"> 5 of </w:t>
            </w:r>
            <w:r w:rsidR="003061DB" w:rsidRPr="003061DB">
              <w:rPr>
                <w:i/>
                <w:iCs/>
              </w:rPr>
              <w:t>PIPEDA</w:t>
            </w:r>
            <w:r>
              <w:t xml:space="preserve"> because it failed to advise first time customers “of the primary and secondary purposes for which the information was collected and of the availability of non-published number service” at para 89. The court would not </w:t>
            </w:r>
            <w:r w:rsidR="003061DB" w:rsidRPr="003061DB">
              <w:t>award</w:t>
            </w:r>
            <w:r>
              <w:t xml:space="preserve"> damages remedy however, because complainant had not “been personally aggrieved” at para</w:t>
            </w:r>
            <w:r>
              <w:rPr>
                <w:rFonts w:cs="Times New Roman"/>
                <w:color w:val="272627"/>
              </w:rPr>
              <w:t xml:space="preserve"> 90 and had not personally incurred any charges. Applicant</w:t>
            </w:r>
            <w:r w:rsidR="0037320F">
              <w:rPr>
                <w:rFonts w:cs="Times New Roman"/>
                <w:color w:val="272627"/>
              </w:rPr>
              <w:t xml:space="preserve">, who was self-represented, </w:t>
            </w:r>
            <w:r>
              <w:rPr>
                <w:rFonts w:cs="Times New Roman"/>
                <w:color w:val="272627"/>
              </w:rPr>
              <w:t xml:space="preserve"> </w:t>
            </w:r>
            <w:r w:rsidR="0037320F">
              <w:rPr>
                <w:rFonts w:cs="Times New Roman"/>
                <w:color w:val="272627"/>
              </w:rPr>
              <w:t xml:space="preserve">was </w:t>
            </w:r>
            <w:r w:rsidR="003061DB" w:rsidRPr="003061DB">
              <w:rPr>
                <w:rFonts w:cs="Times New Roman"/>
                <w:color w:val="272627"/>
              </w:rPr>
              <w:t>award</w:t>
            </w:r>
            <w:r>
              <w:rPr>
                <w:rFonts w:cs="Times New Roman"/>
                <w:color w:val="272627"/>
              </w:rPr>
              <w:t>ed reasonable costs for being successful in part, at para 87.</w:t>
            </w:r>
          </w:p>
          <w:p w14:paraId="0EFB999F" w14:textId="77777777" w:rsidR="00D921A9" w:rsidRPr="004A3BD7" w:rsidRDefault="00D921A9" w:rsidP="00890C36">
            <w:pPr>
              <w:autoSpaceDE w:val="0"/>
              <w:autoSpaceDN w:val="0"/>
              <w:adjustRightInd w:val="0"/>
              <w:rPr>
                <w:rFonts w:cs="Times New Roman"/>
                <w:color w:val="272627"/>
              </w:rPr>
            </w:pPr>
          </w:p>
        </w:tc>
      </w:tr>
    </w:tbl>
    <w:p w14:paraId="11493AC7" w14:textId="5F400A98" w:rsidR="00D921A9" w:rsidRPr="008D5924" w:rsidRDefault="00D921A9" w:rsidP="00890C36">
      <w:pPr>
        <w:rPr>
          <w:rFonts w:asciiTheme="minorHAnsi" w:hAnsiTheme="minorHAnsi" w:cstheme="minorHAnsi"/>
          <w:color w:val="272627"/>
          <w:sz w:val="22"/>
          <w:szCs w:val="22"/>
          <w:lang w:val="en-US"/>
        </w:rPr>
      </w:pPr>
      <w:proofErr w:type="spellStart"/>
      <w:r w:rsidRPr="00E82925">
        <w:rPr>
          <w:rFonts w:asciiTheme="minorHAnsi" w:eastAsia="Times New Roman" w:hAnsiTheme="minorHAnsi" w:cstheme="minorHAnsi"/>
          <w:i/>
          <w:iCs/>
          <w:sz w:val="22"/>
          <w:szCs w:val="22"/>
          <w:lang w:eastAsia="en-CA"/>
        </w:rPr>
        <w:t>Arcand</w:t>
      </w:r>
      <w:proofErr w:type="spellEnd"/>
      <w:r w:rsidRPr="00E82925">
        <w:rPr>
          <w:rFonts w:asciiTheme="minorHAnsi" w:eastAsia="Times New Roman" w:hAnsiTheme="minorHAnsi" w:cstheme="minorHAnsi"/>
          <w:i/>
          <w:iCs/>
          <w:sz w:val="22"/>
          <w:szCs w:val="22"/>
          <w:lang w:eastAsia="en-CA"/>
        </w:rPr>
        <w:t xml:space="preserve"> v </w:t>
      </w:r>
      <w:proofErr w:type="spellStart"/>
      <w:r w:rsidRPr="00E82925">
        <w:rPr>
          <w:rFonts w:asciiTheme="minorHAnsi" w:eastAsia="Times New Roman" w:hAnsiTheme="minorHAnsi" w:cstheme="minorHAnsi"/>
          <w:i/>
          <w:iCs/>
          <w:sz w:val="22"/>
          <w:szCs w:val="22"/>
          <w:lang w:eastAsia="en-CA"/>
        </w:rPr>
        <w:t>Abiwyn</w:t>
      </w:r>
      <w:proofErr w:type="spellEnd"/>
      <w:r w:rsidRPr="00E82925">
        <w:rPr>
          <w:rFonts w:asciiTheme="minorHAnsi" w:eastAsia="Times New Roman" w:hAnsiTheme="minorHAnsi" w:cstheme="minorHAnsi"/>
          <w:i/>
          <w:iCs/>
          <w:sz w:val="22"/>
          <w:szCs w:val="22"/>
          <w:lang w:eastAsia="en-CA"/>
        </w:rPr>
        <w:t xml:space="preserve"> Co-Operative Inc</w:t>
      </w:r>
      <w:r w:rsidRPr="008D5924">
        <w:rPr>
          <w:rFonts w:asciiTheme="minorHAnsi" w:eastAsia="Times New Roman" w:hAnsiTheme="minorHAnsi" w:cstheme="minorHAnsi"/>
          <w:sz w:val="22"/>
          <w:szCs w:val="22"/>
          <w:lang w:eastAsia="en-CA"/>
        </w:rPr>
        <w:t xml:space="preserve">, </w:t>
      </w:r>
      <w:r w:rsidRPr="00E82925">
        <w:rPr>
          <w:rFonts w:asciiTheme="minorHAnsi" w:eastAsia="Times New Roman" w:hAnsiTheme="minorHAnsi" w:cstheme="minorHAnsi"/>
          <w:sz w:val="22"/>
          <w:szCs w:val="22"/>
          <w:lang w:eastAsia="en-CA"/>
        </w:rPr>
        <w:t>2010 FC 529</w:t>
      </w:r>
      <w:r>
        <w:rPr>
          <w:rFonts w:asciiTheme="minorHAnsi" w:eastAsia="Times New Roman" w:hAnsiTheme="minorHAnsi" w:cstheme="minorHAnsi"/>
          <w:sz w:val="22"/>
          <w:szCs w:val="22"/>
          <w:lang w:eastAsia="en-CA"/>
        </w:rPr>
        <w:t xml:space="preserve"> is not included in the Chart above </w:t>
      </w:r>
      <w:r w:rsidRPr="008D5924">
        <w:rPr>
          <w:rFonts w:asciiTheme="minorHAnsi" w:eastAsia="Times New Roman" w:hAnsiTheme="minorHAnsi" w:cstheme="minorHAnsi"/>
          <w:sz w:val="22"/>
          <w:szCs w:val="22"/>
          <w:lang w:eastAsia="en-CA"/>
        </w:rPr>
        <w:t xml:space="preserve">because the </w:t>
      </w:r>
      <w:r w:rsidR="003061DB" w:rsidRPr="003061DB">
        <w:rPr>
          <w:rFonts w:asciiTheme="minorHAnsi" w:eastAsia="Times New Roman" w:hAnsiTheme="minorHAnsi" w:cstheme="minorHAnsi"/>
          <w:i/>
          <w:iCs/>
          <w:sz w:val="22"/>
          <w:szCs w:val="22"/>
          <w:lang w:eastAsia="en-CA"/>
        </w:rPr>
        <w:t>PIPEDA</w:t>
      </w:r>
      <w:r w:rsidRPr="008D5924">
        <w:rPr>
          <w:rFonts w:asciiTheme="minorHAnsi" w:eastAsia="Times New Roman" w:hAnsiTheme="minorHAnsi" w:cstheme="minorHAnsi"/>
          <w:sz w:val="22"/>
          <w:szCs w:val="22"/>
          <w:lang w:eastAsia="en-CA"/>
        </w:rPr>
        <w:t xml:space="preserve"> damage claim was denied not on the merits but </w:t>
      </w:r>
      <w:r>
        <w:rPr>
          <w:rFonts w:asciiTheme="minorHAnsi" w:eastAsia="Times New Roman" w:hAnsiTheme="minorHAnsi" w:cstheme="minorHAnsi"/>
          <w:sz w:val="22"/>
          <w:szCs w:val="22"/>
          <w:lang w:eastAsia="en-CA"/>
        </w:rPr>
        <w:t xml:space="preserve">including </w:t>
      </w:r>
      <w:r w:rsidRPr="008D5924">
        <w:rPr>
          <w:rFonts w:asciiTheme="minorHAnsi" w:eastAsia="Times New Roman" w:hAnsiTheme="minorHAnsi" w:cstheme="minorHAnsi"/>
          <w:sz w:val="22"/>
          <w:szCs w:val="22"/>
          <w:lang w:eastAsia="en-CA"/>
        </w:rPr>
        <w:t>on the basis that Applicant had signed a release, at para 63.</w:t>
      </w:r>
    </w:p>
    <w:sectPr w:rsidR="00D921A9" w:rsidRPr="008D5924" w:rsidSect="00066166">
      <w:headerReference w:type="default" r:id="rId16"/>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B826F" w14:textId="77777777" w:rsidR="00A67B29" w:rsidRDefault="00A67B29" w:rsidP="006241D9">
      <w:pPr>
        <w:spacing w:after="0"/>
      </w:pPr>
      <w:r>
        <w:separator/>
      </w:r>
    </w:p>
  </w:endnote>
  <w:endnote w:type="continuationSeparator" w:id="0">
    <w:p w14:paraId="453D6779" w14:textId="77777777" w:rsidR="00A67B29" w:rsidRDefault="00A67B29" w:rsidP="006241D9">
      <w:pPr>
        <w:spacing w:after="0"/>
      </w:pPr>
      <w:r>
        <w:continuationSeparator/>
      </w:r>
    </w:p>
  </w:endnote>
  <w:endnote w:type="continuationNotice" w:id="1">
    <w:p w14:paraId="1C4B16A0" w14:textId="77777777" w:rsidR="00A67B29" w:rsidRDefault="00A67B2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838CF" w14:textId="77777777" w:rsidR="00A67B29" w:rsidRDefault="00A67B29" w:rsidP="006241D9">
      <w:pPr>
        <w:spacing w:after="0"/>
      </w:pPr>
      <w:r>
        <w:separator/>
      </w:r>
    </w:p>
  </w:footnote>
  <w:footnote w:type="continuationSeparator" w:id="0">
    <w:p w14:paraId="01706947" w14:textId="77777777" w:rsidR="00A67B29" w:rsidRDefault="00A67B29" w:rsidP="006241D9">
      <w:pPr>
        <w:spacing w:after="0"/>
      </w:pPr>
      <w:r>
        <w:continuationSeparator/>
      </w:r>
    </w:p>
  </w:footnote>
  <w:footnote w:type="continuationNotice" w:id="1">
    <w:p w14:paraId="5F8DF160" w14:textId="77777777" w:rsidR="00A67B29" w:rsidRDefault="00A67B29">
      <w:pPr>
        <w:spacing w:after="0"/>
      </w:pPr>
    </w:p>
  </w:footnote>
  <w:footnote w:id="2">
    <w:p w14:paraId="07C75F9F" w14:textId="72E286C4" w:rsidR="00580293" w:rsidRPr="00EC393A" w:rsidRDefault="00580293">
      <w:pPr>
        <w:pStyle w:val="FootnoteText"/>
        <w:rPr>
          <w:lang w:val="en-US"/>
        </w:rPr>
      </w:pPr>
      <w:r w:rsidRPr="00EC393A">
        <w:rPr>
          <w:rStyle w:val="FootnoteReference"/>
        </w:rPr>
        <w:sym w:font="Symbol" w:char="F02A"/>
      </w:r>
      <w:r w:rsidRPr="00EC393A">
        <w:t xml:space="preserve"> Faculty of Law, University of Alberta.</w:t>
      </w:r>
    </w:p>
  </w:footnote>
  <w:footnote w:id="3">
    <w:p w14:paraId="34ECF438" w14:textId="45270F65" w:rsidR="00580293" w:rsidRDefault="00580293" w:rsidP="00515A1D">
      <w:pPr>
        <w:pStyle w:val="ListParagraph"/>
        <w:ind w:left="0"/>
        <w:rPr>
          <w:sz w:val="20"/>
          <w:szCs w:val="20"/>
          <w:lang w:val="en-US"/>
        </w:rPr>
      </w:pPr>
      <w:r w:rsidRPr="00EC393A">
        <w:rPr>
          <w:rStyle w:val="FootnoteReference"/>
          <w:sz w:val="20"/>
          <w:szCs w:val="20"/>
        </w:rPr>
        <w:sym w:font="Symbol" w:char="F02A"/>
      </w:r>
      <w:r w:rsidRPr="00EC393A">
        <w:rPr>
          <w:rStyle w:val="FootnoteReference"/>
          <w:sz w:val="20"/>
          <w:szCs w:val="20"/>
        </w:rPr>
        <w:sym w:font="Symbol" w:char="F02A"/>
      </w:r>
      <w:r w:rsidRPr="00EC393A">
        <w:rPr>
          <w:sz w:val="20"/>
          <w:szCs w:val="20"/>
        </w:rPr>
        <w:t xml:space="preserve"> </w:t>
      </w:r>
      <w:r>
        <w:rPr>
          <w:sz w:val="20"/>
          <w:szCs w:val="20"/>
        </w:rPr>
        <w:t>Lincoln Alexander School</w:t>
      </w:r>
      <w:r w:rsidRPr="00EC393A">
        <w:rPr>
          <w:sz w:val="20"/>
          <w:szCs w:val="20"/>
          <w:lang w:val="en-US"/>
        </w:rPr>
        <w:t xml:space="preserve"> of Law, Ryerson University.</w:t>
      </w:r>
    </w:p>
    <w:p w14:paraId="53D37F26" w14:textId="27F824D4" w:rsidR="00580293" w:rsidRPr="00EC393A" w:rsidRDefault="00580293" w:rsidP="00EC393A">
      <w:pPr>
        <w:pStyle w:val="ListParagraph"/>
        <w:ind w:left="0"/>
        <w:rPr>
          <w:rFonts w:asciiTheme="minorHAnsi" w:hAnsiTheme="minorHAnsi" w:cstheme="minorBidi"/>
          <w:sz w:val="20"/>
          <w:szCs w:val="20"/>
        </w:rPr>
      </w:pPr>
      <w:r w:rsidRPr="00EC393A">
        <w:rPr>
          <w:sz w:val="20"/>
          <w:szCs w:val="20"/>
          <w:lang w:val="en-US"/>
        </w:rPr>
        <w:t xml:space="preserve">The authors are grateful to then-JD students Nahanni </w:t>
      </w:r>
      <w:proofErr w:type="spellStart"/>
      <w:r w:rsidRPr="00EC393A">
        <w:rPr>
          <w:sz w:val="20"/>
          <w:szCs w:val="20"/>
          <w:lang w:val="en-US"/>
        </w:rPr>
        <w:t>Fellenz</w:t>
      </w:r>
      <w:proofErr w:type="spellEnd"/>
      <w:r w:rsidRPr="00EC393A">
        <w:rPr>
          <w:sz w:val="20"/>
          <w:szCs w:val="20"/>
          <w:lang w:val="en-US"/>
        </w:rPr>
        <w:t xml:space="preserve"> and Daniel Nunez for their outstanding research assistance. The authors also express appreciation to the </w:t>
      </w:r>
      <w:r>
        <w:rPr>
          <w:sz w:val="20"/>
          <w:szCs w:val="20"/>
          <w:lang w:val="en-US"/>
        </w:rPr>
        <w:t xml:space="preserve">Canadian </w:t>
      </w:r>
      <w:r w:rsidRPr="00EC393A">
        <w:rPr>
          <w:sz w:val="20"/>
          <w:szCs w:val="20"/>
          <w:lang w:val="en-US"/>
        </w:rPr>
        <w:t xml:space="preserve">Foundation for Legal Research as well as the Faculty of Law, University of Alberta for research funding. We would like to deeply thank Professor Jeffrey Berryman (Faculty of Law, University of Windsor), Professor Teresa </w:t>
      </w:r>
      <w:proofErr w:type="spellStart"/>
      <w:r w:rsidRPr="00EC393A">
        <w:rPr>
          <w:sz w:val="20"/>
          <w:szCs w:val="20"/>
          <w:lang w:val="en-US"/>
        </w:rPr>
        <w:t>Scassa</w:t>
      </w:r>
      <w:proofErr w:type="spellEnd"/>
      <w:r w:rsidRPr="00EC393A">
        <w:rPr>
          <w:sz w:val="20"/>
          <w:szCs w:val="20"/>
          <w:lang w:val="en-US"/>
        </w:rPr>
        <w:t xml:space="preserve"> (Faculty of Law, University of Ottawa), Professor Barbara von </w:t>
      </w:r>
      <w:proofErr w:type="spellStart"/>
      <w:r w:rsidRPr="00EC393A">
        <w:rPr>
          <w:sz w:val="20"/>
          <w:szCs w:val="20"/>
          <w:lang w:val="en-US"/>
        </w:rPr>
        <w:t>Tigerstrom</w:t>
      </w:r>
      <w:proofErr w:type="spellEnd"/>
      <w:r w:rsidRPr="00EC393A">
        <w:rPr>
          <w:sz w:val="20"/>
          <w:szCs w:val="20"/>
          <w:lang w:val="en-US"/>
        </w:rPr>
        <w:t xml:space="preserve"> (College of Law, University of Saskatchewan), and Professor Christopher Hunt (Faculty of Law, Thompson Rivers University) for their thoughtful and detailed comments on an earlier draft of this </w:t>
      </w:r>
      <w:r>
        <w:rPr>
          <w:sz w:val="20"/>
          <w:szCs w:val="20"/>
          <w:lang w:val="en-US"/>
        </w:rPr>
        <w:t>article</w:t>
      </w:r>
      <w:r w:rsidRPr="00EC393A">
        <w:rPr>
          <w:sz w:val="20"/>
          <w:szCs w:val="20"/>
          <w:lang w:val="en-US"/>
        </w:rPr>
        <w:t xml:space="preserve">. Errors and omissions remain our own.  </w:t>
      </w:r>
    </w:p>
    <w:p w14:paraId="4B8CA1A0" w14:textId="037D1BE9" w:rsidR="00580293" w:rsidRDefault="00580293">
      <w:pPr>
        <w:pStyle w:val="FootnoteText"/>
        <w:rPr>
          <w:lang w:val="en-US"/>
        </w:rPr>
      </w:pPr>
    </w:p>
    <w:p w14:paraId="306213BE" w14:textId="77777777" w:rsidR="00580293" w:rsidRPr="00EC393A" w:rsidRDefault="00580293">
      <w:pPr>
        <w:pStyle w:val="FootnoteText"/>
        <w:rPr>
          <w:lang w:val="en-US"/>
        </w:rPr>
      </w:pPr>
    </w:p>
  </w:footnote>
  <w:footnote w:id="4">
    <w:p w14:paraId="2271555A" w14:textId="26D5A1EE" w:rsidR="00580293" w:rsidRPr="003E1E87" w:rsidRDefault="00580293" w:rsidP="007233C7">
      <w:pPr>
        <w:pStyle w:val="FootnoteText"/>
      </w:pPr>
      <w:r w:rsidRPr="003E1E87">
        <w:rPr>
          <w:rStyle w:val="FootnoteReference"/>
        </w:rPr>
        <w:footnoteRef/>
      </w:r>
      <w:r w:rsidRPr="003E1E87">
        <w:t xml:space="preserve"> Bill C-11, </w:t>
      </w:r>
      <w:r w:rsidRPr="003E1E87">
        <w:rPr>
          <w:i/>
          <w:iCs/>
        </w:rPr>
        <w:t>An Act to enact the Consumer Privacy Protection Act and the Personal Information and Data Protection Tribunal Act and to make consequential and related amendments to other Acts</w:t>
      </w:r>
      <w:r w:rsidRPr="003E1E87">
        <w:t>, 2</w:t>
      </w:r>
      <w:r w:rsidRPr="003E1E87">
        <w:rPr>
          <w:vertAlign w:val="superscript"/>
        </w:rPr>
        <w:t>nd</w:t>
      </w:r>
      <w:r w:rsidRPr="003E1E87">
        <w:t xml:space="preserve"> </w:t>
      </w:r>
      <w:proofErr w:type="spellStart"/>
      <w:r w:rsidRPr="003E1E87">
        <w:t>Sess</w:t>
      </w:r>
      <w:proofErr w:type="spellEnd"/>
      <w:r w:rsidRPr="003E1E87">
        <w:t>, 43</w:t>
      </w:r>
      <w:r w:rsidRPr="003E1E87">
        <w:rPr>
          <w:vertAlign w:val="superscript"/>
        </w:rPr>
        <w:t>rd</w:t>
      </w:r>
      <w:r w:rsidRPr="003E1E87">
        <w:t xml:space="preserve"> </w:t>
      </w:r>
      <w:proofErr w:type="spellStart"/>
      <w:r w:rsidRPr="003E1E87">
        <w:t>Parl</w:t>
      </w:r>
      <w:proofErr w:type="spellEnd"/>
      <w:r w:rsidRPr="003E1E87">
        <w:t xml:space="preserve">, 2020. </w:t>
      </w:r>
      <w:r>
        <w:t>Online:</w:t>
      </w:r>
      <w:r w:rsidRPr="003E1E87">
        <w:t xml:space="preserve"> </w:t>
      </w:r>
      <w:r>
        <w:t>&lt;</w:t>
      </w:r>
      <w:hyperlink r:id="rId1" w:anchor="ID0E0XB0BA" w:history="1">
        <w:r w:rsidRPr="003E1E87">
          <w:rPr>
            <w:rStyle w:val="Hyperlink"/>
          </w:rPr>
          <w:t>https://parl.ca/DocumentViewer/en/43-2/bill/C-11/first-reading#ID0E0XB0BA</w:t>
        </w:r>
      </w:hyperlink>
      <w:r>
        <w:t>&gt;.</w:t>
      </w:r>
      <w:r w:rsidRPr="003E1E87">
        <w:t xml:space="preserve"> This </w:t>
      </w:r>
      <w:r>
        <w:t>article</w:t>
      </w:r>
      <w:r w:rsidRPr="003E1E87">
        <w:t xml:space="preserve"> relies on the wording of the bill as of June 16, 2021.      </w:t>
      </w:r>
    </w:p>
  </w:footnote>
  <w:footnote w:id="5">
    <w:p w14:paraId="2D4CFE9C" w14:textId="34ECBCDB" w:rsidR="00580293" w:rsidRPr="003E1E87" w:rsidRDefault="00580293" w:rsidP="00EA79BA">
      <w:pPr>
        <w:pStyle w:val="FootnoteText"/>
      </w:pPr>
      <w:r w:rsidRPr="003E1E87">
        <w:rPr>
          <w:rStyle w:val="FootnoteReference"/>
        </w:rPr>
        <w:footnoteRef/>
      </w:r>
      <w:r w:rsidRPr="003E1E87">
        <w:t xml:space="preserve"> Parliament of Canada</w:t>
      </w:r>
      <w:r>
        <w:t>,</w:t>
      </w:r>
      <w:r w:rsidRPr="003E1E87">
        <w:t xml:space="preserve"> </w:t>
      </w:r>
      <w:proofErr w:type="spellStart"/>
      <w:r w:rsidRPr="003E1E87">
        <w:t>Legis</w:t>
      </w:r>
      <w:r w:rsidRPr="003E1E87">
        <w:rPr>
          <w:i/>
          <w:iCs/>
        </w:rPr>
        <w:t>info</w:t>
      </w:r>
      <w:proofErr w:type="spellEnd"/>
      <w:r>
        <w:t xml:space="preserve">, </w:t>
      </w:r>
      <w:r w:rsidRPr="003E1E87">
        <w:t>House Government Bill</w:t>
      </w:r>
      <w:r>
        <w:t>,</w:t>
      </w:r>
      <w:r w:rsidRPr="003E1E87">
        <w:t xml:space="preserve"> C-11</w:t>
      </w:r>
      <w:r>
        <w:t>, Status of the Bill, online:</w:t>
      </w:r>
      <w:r w:rsidRPr="003E1E87">
        <w:t xml:space="preserve"> </w:t>
      </w:r>
      <w:r w:rsidRPr="00E160D4">
        <w:t xml:space="preserve"> </w:t>
      </w:r>
      <w:r>
        <w:t>&lt;</w:t>
      </w:r>
      <w:hyperlink r:id="rId2" w:history="1">
        <w:r w:rsidRPr="00E60FBA">
          <w:rPr>
            <w:rStyle w:val="Hyperlink"/>
          </w:rPr>
          <w:t>https://www.parl.ca/LegisInfo/BillDetails.aspx?Language=en&amp;Mode=1&amp;billId=10950130&amp;View=0</w:t>
        </w:r>
      </w:hyperlink>
      <w:r>
        <w:t xml:space="preserve">&gt; </w:t>
      </w:r>
      <w:r w:rsidRPr="003E1E87">
        <w:t xml:space="preserve"> </w:t>
      </w:r>
    </w:p>
  </w:footnote>
  <w:footnote w:id="6">
    <w:p w14:paraId="0AADB31D" w14:textId="7915F752" w:rsidR="00580293" w:rsidRPr="003E1E87" w:rsidRDefault="00580293" w:rsidP="00945CC0">
      <w:pPr>
        <w:pStyle w:val="FootnoteText"/>
      </w:pPr>
      <w:r w:rsidRPr="003E1E87">
        <w:rPr>
          <w:rStyle w:val="FootnoteReference"/>
        </w:rPr>
        <w:footnoteRef/>
      </w:r>
      <w:r w:rsidRPr="003E1E87">
        <w:t xml:space="preserve"> Bill C-11, Part 1. For a clear and comprehensive review of Bill C-11, see Kirsten Thompson et al, </w:t>
      </w:r>
      <w:r w:rsidRPr="003E1E87">
        <w:rPr>
          <w:i/>
          <w:iCs/>
        </w:rPr>
        <w:t>Dentons Data CPPA In-Depth Guide</w:t>
      </w:r>
      <w:r w:rsidRPr="003E1E87">
        <w:t xml:space="preserve">, (28 January 2021), online: </w:t>
      </w:r>
      <w:r>
        <w:t>&lt;</w:t>
      </w:r>
      <w:hyperlink r:id="rId3" w:history="1">
        <w:r w:rsidRPr="003E1E87">
          <w:rPr>
            <w:rStyle w:val="Hyperlink"/>
          </w:rPr>
          <w:t>https://www.dentons.com/en/insights/guides-reports-and-whitepapers/2021/january/28/dentons-</w:t>
        </w:r>
        <w:r w:rsidRPr="003E1E87">
          <w:rPr>
            <w:rStyle w:val="Hyperlink"/>
            <w:i/>
            <w:iCs/>
          </w:rPr>
          <w:t>CPPA</w:t>
        </w:r>
        <w:r w:rsidRPr="003E1E87">
          <w:rPr>
            <w:rStyle w:val="Hyperlink"/>
          </w:rPr>
          <w:t>-in-depth-guide-a-detailed-review-of-key-provisions-in-canadas-proposed-new-privacy-law?utm_source=email&amp;utm_medium=email&amp;utm_campaign=vuture</w:t>
        </w:r>
      </w:hyperlink>
      <w:r>
        <w:t>&gt;</w:t>
      </w:r>
    </w:p>
  </w:footnote>
  <w:footnote w:id="7">
    <w:p w14:paraId="6D041015" w14:textId="5ABDF5DB" w:rsidR="00580293" w:rsidRPr="003E1E87" w:rsidRDefault="00580293" w:rsidP="009B56D2">
      <w:pPr>
        <w:pStyle w:val="FootnoteText"/>
      </w:pPr>
      <w:r w:rsidRPr="003E1E87">
        <w:rPr>
          <w:rStyle w:val="FootnoteReference"/>
        </w:rPr>
        <w:footnoteRef/>
      </w:r>
      <w:r w:rsidRPr="003E1E87">
        <w:t xml:space="preserve"> Note that in May of 2021, </w:t>
      </w:r>
      <w:r w:rsidRPr="003E1E87">
        <w:rPr>
          <w:i/>
          <w:iCs/>
        </w:rPr>
        <w:t>CPPA</w:t>
      </w:r>
      <w:r w:rsidRPr="003E1E87">
        <w:t xml:space="preserve"> was subject to considerable criticism by Federal Privacy Commissioner, Daniel Therrien, in submissions to the House of Commons Standing Committee on Access to Information, Privacy and Ethics. See Office of the Privacy Commission of Canada</w:t>
      </w:r>
      <w:r>
        <w:t xml:space="preserve"> (OPC)</w:t>
      </w:r>
      <w:r w:rsidRPr="003E1E87">
        <w:t xml:space="preserve">, “Reform bill ‘a step back overall’ for privacy”, News Release (11 May 2021), online: </w:t>
      </w:r>
      <w:r>
        <w:t>&lt;</w:t>
      </w:r>
      <w:hyperlink r:id="rId4" w:history="1">
        <w:r w:rsidRPr="003E1E87">
          <w:rPr>
            <w:rStyle w:val="Hyperlink"/>
          </w:rPr>
          <w:t>https://www.priv.gc.ca/en/opc-news/news-and-announcements/2021/nr-c_210511/</w:t>
        </w:r>
      </w:hyperlink>
      <w:r>
        <w:t>&gt;.</w:t>
      </w:r>
      <w:r w:rsidRPr="003E1E87">
        <w:t xml:space="preserve">   </w:t>
      </w:r>
    </w:p>
  </w:footnote>
  <w:footnote w:id="8">
    <w:p w14:paraId="17BEDCA5" w14:textId="77777777" w:rsidR="00580293" w:rsidRPr="003E1E87" w:rsidRDefault="00580293" w:rsidP="004E5E6D">
      <w:pPr>
        <w:pStyle w:val="FootnoteText"/>
      </w:pPr>
      <w:r w:rsidRPr="003E1E87">
        <w:rPr>
          <w:rStyle w:val="FootnoteReference"/>
        </w:rPr>
        <w:footnoteRef/>
      </w:r>
      <w:r w:rsidRPr="003E1E87">
        <w:t xml:space="preserve"> </w:t>
      </w:r>
      <w:r w:rsidRPr="003E1E87">
        <w:rPr>
          <w:i/>
          <w:iCs/>
        </w:rPr>
        <w:t>Personal Information Protection and Electronic Documents Act</w:t>
      </w:r>
      <w:r w:rsidRPr="003E1E87">
        <w:t>, SC 2000, c 5 [</w:t>
      </w:r>
      <w:r w:rsidRPr="003E1E87">
        <w:rPr>
          <w:i/>
          <w:iCs/>
        </w:rPr>
        <w:t>PIPEDA</w:t>
      </w:r>
      <w:r w:rsidRPr="003E1E87">
        <w:t>].</w:t>
      </w:r>
    </w:p>
  </w:footnote>
  <w:footnote w:id="9">
    <w:p w14:paraId="39AC2B8E" w14:textId="448DB025" w:rsidR="00580293" w:rsidRPr="003E1E87" w:rsidRDefault="00580293" w:rsidP="00140575">
      <w:pPr>
        <w:pStyle w:val="FootnoteText"/>
      </w:pPr>
      <w:r w:rsidRPr="003E1E87">
        <w:rPr>
          <w:rStyle w:val="FootnoteReference"/>
        </w:rPr>
        <w:footnoteRef/>
      </w:r>
      <w:r w:rsidRPr="003E1E87">
        <w:t xml:space="preserve"> The history of the repeated calls to reform since 2005 is summarized on the website of the Office of the Privacy Commissioner of Canada in </w:t>
      </w:r>
      <w:r w:rsidRPr="003E1E87">
        <w:rPr>
          <w:i/>
          <w:iCs/>
        </w:rPr>
        <w:t>PIPEDA Reform: Submissions, Recommendations and Research</w:t>
      </w:r>
      <w:r w:rsidRPr="003E1E87">
        <w:t xml:space="preserve">, (no date) online: </w:t>
      </w:r>
      <w:r>
        <w:t>&lt;</w:t>
      </w:r>
      <w:hyperlink r:id="rId5" w:history="1">
        <w:r w:rsidRPr="003E1E87">
          <w:rPr>
            <w:rStyle w:val="Hyperlink"/>
          </w:rPr>
          <w:t>https://www.priv.gc.ca/en/privacy-topics/privacy-laws-in-canada/the-personal-information-protection-and-electronic-documents-act-pipeda/pipeda_r/?Page=7</w:t>
        </w:r>
      </w:hyperlink>
      <w:r>
        <w:t>&gt;.</w:t>
      </w:r>
      <w:r w:rsidRPr="003E1E87">
        <w:t xml:space="preserve"> See also Standing Committee on Access to Information, Privacy and Ethics,</w:t>
      </w:r>
      <w:r w:rsidRPr="003E1E87">
        <w:rPr>
          <w:bCs/>
          <w:i/>
          <w:iCs/>
        </w:rPr>
        <w:t xml:space="preserve"> Statutory Review of the Personal Information Protection and Electronic Documents Act (PIPEDA)</w:t>
      </w:r>
      <w:r w:rsidRPr="003E1E87">
        <w:rPr>
          <w:bCs/>
        </w:rPr>
        <w:t>, 1</w:t>
      </w:r>
      <w:r w:rsidRPr="003E1E87">
        <w:rPr>
          <w:bCs/>
          <w:vertAlign w:val="superscript"/>
        </w:rPr>
        <w:t>st</w:t>
      </w:r>
      <w:r w:rsidRPr="003E1E87">
        <w:rPr>
          <w:bCs/>
        </w:rPr>
        <w:t xml:space="preserve"> </w:t>
      </w:r>
      <w:proofErr w:type="spellStart"/>
      <w:r w:rsidRPr="003E1E87">
        <w:rPr>
          <w:bCs/>
        </w:rPr>
        <w:t>Sess</w:t>
      </w:r>
      <w:proofErr w:type="spellEnd"/>
      <w:r w:rsidRPr="003E1E87">
        <w:rPr>
          <w:bCs/>
        </w:rPr>
        <w:t xml:space="preserve">, 39th </w:t>
      </w:r>
      <w:proofErr w:type="spellStart"/>
      <w:r w:rsidRPr="003E1E87">
        <w:rPr>
          <w:bCs/>
        </w:rPr>
        <w:t>Parl</w:t>
      </w:r>
      <w:proofErr w:type="spellEnd"/>
      <w:r w:rsidRPr="003E1E87">
        <w:rPr>
          <w:bCs/>
        </w:rPr>
        <w:t xml:space="preserve">, 2007; </w:t>
      </w:r>
      <w:r w:rsidRPr="003E1E87">
        <w:t xml:space="preserve">Standing Committee on Access to Information, Privacy and Ethics, </w:t>
      </w:r>
      <w:r w:rsidRPr="003E1E87">
        <w:rPr>
          <w:bCs/>
          <w:i/>
          <w:iCs/>
        </w:rPr>
        <w:t>Towards Privacy by design: Review of the Personal Information Protection and Electronic Documents Act</w:t>
      </w:r>
      <w:r w:rsidRPr="003E1E87">
        <w:rPr>
          <w:bCs/>
        </w:rPr>
        <w:t>, 1</w:t>
      </w:r>
      <w:r w:rsidRPr="003E1E87">
        <w:rPr>
          <w:bCs/>
          <w:vertAlign w:val="superscript"/>
        </w:rPr>
        <w:t>st</w:t>
      </w:r>
      <w:r w:rsidRPr="003E1E87">
        <w:rPr>
          <w:bCs/>
        </w:rPr>
        <w:t xml:space="preserve"> </w:t>
      </w:r>
      <w:proofErr w:type="spellStart"/>
      <w:r w:rsidRPr="003E1E87">
        <w:rPr>
          <w:bCs/>
        </w:rPr>
        <w:t>Sess</w:t>
      </w:r>
      <w:proofErr w:type="spellEnd"/>
      <w:r w:rsidRPr="003E1E87">
        <w:rPr>
          <w:bCs/>
        </w:rPr>
        <w:t xml:space="preserve">, 42 </w:t>
      </w:r>
      <w:proofErr w:type="spellStart"/>
      <w:r w:rsidRPr="003E1E87">
        <w:rPr>
          <w:bCs/>
        </w:rPr>
        <w:t>Parl</w:t>
      </w:r>
      <w:proofErr w:type="spellEnd"/>
      <w:r w:rsidRPr="003E1E87">
        <w:rPr>
          <w:bCs/>
        </w:rPr>
        <w:t>, 2018.</w:t>
      </w:r>
    </w:p>
  </w:footnote>
  <w:footnote w:id="10">
    <w:p w14:paraId="374F63B8" w14:textId="130BB011" w:rsidR="00580293" w:rsidRPr="003E1E87" w:rsidRDefault="00580293" w:rsidP="00020233">
      <w:pPr>
        <w:pStyle w:val="FootnoteText"/>
      </w:pPr>
      <w:r w:rsidRPr="003E1E87">
        <w:rPr>
          <w:rStyle w:val="FootnoteReference"/>
        </w:rPr>
        <w:footnoteRef/>
      </w:r>
      <w:r w:rsidRPr="003E1E87">
        <w:t xml:space="preserve"> </w:t>
      </w:r>
      <w:r w:rsidRPr="003E1E87">
        <w:rPr>
          <w:i/>
          <w:iCs/>
        </w:rPr>
        <w:t>PIPEDA</w:t>
      </w:r>
      <w:r w:rsidRPr="003E1E87">
        <w:t xml:space="preserve">, s 3 states in its entirety as follows: </w:t>
      </w:r>
    </w:p>
    <w:p w14:paraId="7BB15DAF" w14:textId="77777777" w:rsidR="00580293" w:rsidRPr="003E1E87" w:rsidRDefault="00580293" w:rsidP="00020233">
      <w:pPr>
        <w:pStyle w:val="FootnoteText"/>
        <w:ind w:left="720"/>
      </w:pPr>
      <w:r w:rsidRPr="003E1E87">
        <w:t xml:space="preserve">The purpose of this Part is to establish, in an era in which technology increasingly facilitates the circulation and exchange of information, rules to govern the collection, use and disclosure of personal information in a manner that recognizes the right of privacy of individuals with respect to their personal information and the need of organizations to collect, use or disclose personal information for purposes that a reasonable person would consider appropriate in the circumstances. </w:t>
      </w:r>
    </w:p>
  </w:footnote>
  <w:footnote w:id="11">
    <w:p w14:paraId="5EB57508" w14:textId="531FEF25" w:rsidR="00580293" w:rsidRPr="003E1E87" w:rsidRDefault="00580293" w:rsidP="00E41304">
      <w:pPr>
        <w:pStyle w:val="FootnoteText"/>
      </w:pPr>
      <w:r w:rsidRPr="003E1E87">
        <w:rPr>
          <w:rStyle w:val="FootnoteReference"/>
        </w:rPr>
        <w:footnoteRef/>
      </w:r>
      <w:r w:rsidRPr="003E1E87">
        <w:t xml:space="preserve"> See</w:t>
      </w:r>
      <w:r>
        <w:t xml:space="preserve"> </w:t>
      </w:r>
      <w:r w:rsidRPr="00E41304">
        <w:t>Appendix A:</w:t>
      </w:r>
      <w:r w:rsidRPr="003E1E87">
        <w:t xml:space="preserve"> </w:t>
      </w:r>
      <w:r w:rsidR="00E41304">
        <w:t>“</w:t>
      </w:r>
      <w:r w:rsidRPr="003E1E87">
        <w:t xml:space="preserve">Successful Applications for Damages under </w:t>
      </w:r>
      <w:r w:rsidRPr="003E1E87">
        <w:rPr>
          <w:i/>
          <w:iCs/>
        </w:rPr>
        <w:t>PIPEDA</w:t>
      </w:r>
      <w:r w:rsidR="00E41304">
        <w:t xml:space="preserve"> in a Commercial Context</w:t>
      </w:r>
      <w:r w:rsidRPr="003E1E87">
        <w:t xml:space="preserve">”, </w:t>
      </w:r>
      <w:r>
        <w:t xml:space="preserve">and </w:t>
      </w:r>
      <w:r w:rsidRPr="003E1E87">
        <w:t xml:space="preserve">Appendix B: </w:t>
      </w:r>
      <w:r w:rsidR="00E41304">
        <w:t>“</w:t>
      </w:r>
      <w:r w:rsidRPr="003E1E87">
        <w:t xml:space="preserve">Unsuccessful Applications for Damages under </w:t>
      </w:r>
      <w:r w:rsidRPr="003E1E87">
        <w:rPr>
          <w:i/>
          <w:iCs/>
        </w:rPr>
        <w:t>PIPEDA</w:t>
      </w:r>
      <w:r w:rsidR="00E41304">
        <w:rPr>
          <w:i/>
          <w:iCs/>
        </w:rPr>
        <w:t xml:space="preserve"> </w:t>
      </w:r>
      <w:r w:rsidR="00E41304">
        <w:t>in a Commercial Context</w:t>
      </w:r>
      <w:r w:rsidRPr="003E1E87">
        <w:t>”</w:t>
      </w:r>
      <w:r>
        <w:t>, as well as related discussion</w:t>
      </w:r>
      <w:r w:rsidR="00E41304">
        <w:t xml:space="preserve"> in Part Two, forthcoming in the June </w:t>
      </w:r>
      <w:r w:rsidR="00B00624">
        <w:t xml:space="preserve">2022 </w:t>
      </w:r>
      <w:r w:rsidR="00E41304">
        <w:t>issue of The Advocates’ Quarterly</w:t>
      </w:r>
      <w:r>
        <w:t>.</w:t>
      </w:r>
    </w:p>
  </w:footnote>
  <w:footnote w:id="12">
    <w:p w14:paraId="38AC6730" w14:textId="6932E57E" w:rsidR="00580293" w:rsidRPr="00945CC0" w:rsidRDefault="00580293" w:rsidP="00945CC0">
      <w:pPr>
        <w:pStyle w:val="Heading2"/>
        <w:contextualSpacing/>
        <w:rPr>
          <w:rFonts w:ascii="Arial" w:hAnsi="Arial" w:cs="Arial"/>
          <w:b/>
          <w:bCs/>
          <w:sz w:val="20"/>
          <w:szCs w:val="20"/>
        </w:rPr>
      </w:pPr>
      <w:r w:rsidRPr="003E1E87">
        <w:rPr>
          <w:rStyle w:val="FootnoteReference"/>
          <w:rFonts w:ascii="Arial" w:hAnsi="Arial" w:cs="Arial"/>
          <w:color w:val="auto"/>
          <w:sz w:val="20"/>
          <w:szCs w:val="20"/>
        </w:rPr>
        <w:footnoteRef/>
      </w:r>
      <w:r w:rsidRPr="003E1E87">
        <w:rPr>
          <w:rFonts w:ascii="Arial" w:hAnsi="Arial" w:cs="Arial"/>
          <w:color w:val="auto"/>
          <w:sz w:val="20"/>
          <w:szCs w:val="20"/>
        </w:rPr>
        <w:t xml:space="preserve"> Accord Teresa </w:t>
      </w:r>
      <w:proofErr w:type="spellStart"/>
      <w:r w:rsidRPr="003E1E87">
        <w:rPr>
          <w:rFonts w:ascii="Arial" w:hAnsi="Arial" w:cs="Arial"/>
          <w:color w:val="auto"/>
          <w:sz w:val="20"/>
          <w:szCs w:val="20"/>
        </w:rPr>
        <w:t>Scassa</w:t>
      </w:r>
      <w:proofErr w:type="spellEnd"/>
      <w:r w:rsidRPr="003E1E87">
        <w:rPr>
          <w:rFonts w:ascii="Arial" w:hAnsi="Arial" w:cs="Arial"/>
          <w:color w:val="auto"/>
          <w:sz w:val="20"/>
          <w:szCs w:val="20"/>
        </w:rPr>
        <w:t>, “How do new data protection enforcement provisions in Canada's Bill C-11 measure up?” (</w:t>
      </w:r>
      <w:r>
        <w:rPr>
          <w:rFonts w:ascii="Arial" w:hAnsi="Arial" w:cs="Arial"/>
          <w:color w:val="auto"/>
          <w:sz w:val="20"/>
          <w:szCs w:val="20"/>
        </w:rPr>
        <w:t>4 January 2021</w:t>
      </w:r>
      <w:r w:rsidRPr="003E1E87">
        <w:rPr>
          <w:rFonts w:ascii="Arial" w:hAnsi="Arial" w:cs="Arial"/>
          <w:color w:val="auto"/>
          <w:sz w:val="20"/>
          <w:szCs w:val="20"/>
        </w:rPr>
        <w:t xml:space="preserve">), online: </w:t>
      </w:r>
      <w:r>
        <w:rPr>
          <w:rFonts w:ascii="Arial" w:hAnsi="Arial" w:cs="Arial"/>
          <w:color w:val="auto"/>
          <w:sz w:val="20"/>
          <w:szCs w:val="20"/>
        </w:rPr>
        <w:t>&lt;</w:t>
      </w:r>
      <w:hyperlink r:id="rId6" w:history="1">
        <w:r w:rsidRPr="003E1E87">
          <w:rPr>
            <w:rStyle w:val="Hyperlink"/>
            <w:rFonts w:ascii="Arial" w:hAnsi="Arial" w:cs="Arial"/>
            <w:bCs/>
            <w:sz w:val="20"/>
            <w:szCs w:val="20"/>
          </w:rPr>
          <w:t>http://www.teresascassa.ca/index.php?option=com_k2&amp;view=item&amp;id=337:how-do-new-data-protection-enforcement-provisions-in-canadas-bill-c-11-measure-up?&amp;Itemid=80</w:t>
        </w:r>
      </w:hyperlink>
      <w:r w:rsidRPr="00945CC0">
        <w:rPr>
          <w:rFonts w:asciiTheme="minorBidi" w:hAnsiTheme="minorBidi" w:cstheme="minorBidi"/>
          <w:color w:val="auto"/>
          <w:sz w:val="20"/>
          <w:szCs w:val="20"/>
        </w:rPr>
        <w:t>&gt;</w:t>
      </w:r>
      <w:r>
        <w:rPr>
          <w:rFonts w:asciiTheme="minorBidi" w:hAnsiTheme="minorBidi" w:cstheme="minorBidi"/>
          <w:color w:val="auto"/>
          <w:sz w:val="20"/>
          <w:szCs w:val="20"/>
        </w:rPr>
        <w:t xml:space="preserve">. </w:t>
      </w:r>
      <w:r w:rsidRPr="00945CC0">
        <w:rPr>
          <w:rFonts w:asciiTheme="minorBidi" w:hAnsiTheme="minorBidi" w:cstheme="minorBidi"/>
          <w:color w:val="auto"/>
          <w:sz w:val="20"/>
          <w:szCs w:val="20"/>
        </w:rPr>
        <w:t>For a similar view in the context of health information, see Liam O’Reilly, “Getting to Damages in the Health Information Privacy Context:  Is the Cost Worth the Damage?” (11 April 2016) CanLII Connects</w:t>
      </w:r>
      <w:r>
        <w:rPr>
          <w:rFonts w:asciiTheme="minorBidi" w:hAnsiTheme="minorBidi" w:cstheme="minorBidi"/>
          <w:color w:val="auto"/>
          <w:sz w:val="20"/>
          <w:szCs w:val="20"/>
        </w:rPr>
        <w:t>, online: &lt;</w:t>
      </w:r>
      <w:hyperlink r:id="rId7" w:history="1">
        <w:r w:rsidRPr="00E60FBA">
          <w:rPr>
            <w:rStyle w:val="Hyperlink"/>
            <w:rFonts w:asciiTheme="minorBidi" w:hAnsiTheme="minorBidi" w:cstheme="minorBidi"/>
            <w:sz w:val="20"/>
            <w:szCs w:val="20"/>
          </w:rPr>
          <w:t>https://canliiconnects-prod.s3.amazonaws.com/uploads/opinion/file/42318/Liam_O_Reilly__Getting_to_Damages_in_the_Health_Information_Privacy_Context__Is_the_Cost_Worth_the_Damages.pdf</w:t>
        </w:r>
      </w:hyperlink>
      <w:r>
        <w:rPr>
          <w:rFonts w:asciiTheme="minorBidi" w:hAnsiTheme="minorBidi" w:cstheme="minorBidi"/>
          <w:color w:val="auto"/>
          <w:sz w:val="20"/>
          <w:szCs w:val="20"/>
        </w:rPr>
        <w:t xml:space="preserve">&gt; </w:t>
      </w:r>
      <w:r w:rsidRPr="00945CC0">
        <w:rPr>
          <w:rFonts w:asciiTheme="minorBidi" w:hAnsiTheme="minorBidi" w:cstheme="minorBidi"/>
          <w:color w:val="auto"/>
          <w:sz w:val="20"/>
          <w:szCs w:val="20"/>
        </w:rPr>
        <w:t>at 37</w:t>
      </w:r>
      <w:r>
        <w:rPr>
          <w:rFonts w:asciiTheme="minorBidi" w:hAnsiTheme="minorBidi" w:cstheme="minorBidi"/>
          <w:color w:val="auto"/>
          <w:sz w:val="20"/>
          <w:szCs w:val="20"/>
        </w:rPr>
        <w:t>.</w:t>
      </w:r>
      <w:r w:rsidRPr="00945CC0">
        <w:rPr>
          <w:rFonts w:asciiTheme="minorBidi" w:hAnsiTheme="minorBidi" w:cstheme="minorBidi"/>
          <w:color w:val="auto"/>
          <w:sz w:val="20"/>
          <w:szCs w:val="20"/>
        </w:rPr>
        <w:t xml:space="preserve">  </w:t>
      </w:r>
    </w:p>
    <w:p w14:paraId="39E1A2B7" w14:textId="37F95F1D" w:rsidR="00580293" w:rsidRPr="003E1E87" w:rsidRDefault="00580293" w:rsidP="005546D7">
      <w:pPr>
        <w:pStyle w:val="FootnoteText"/>
        <w:ind w:firstLine="720"/>
      </w:pPr>
      <w:r w:rsidRPr="003E1E87">
        <w:t xml:space="preserve">In the context of class action settlement proceedings, </w:t>
      </w:r>
      <w:proofErr w:type="spellStart"/>
      <w:r w:rsidRPr="003E1E87">
        <w:rPr>
          <w:i/>
          <w:iCs/>
        </w:rPr>
        <w:t>Haikola</w:t>
      </w:r>
      <w:proofErr w:type="spellEnd"/>
      <w:r w:rsidRPr="003E1E87">
        <w:rPr>
          <w:i/>
          <w:iCs/>
        </w:rPr>
        <w:t xml:space="preserve"> v. The Personal Insurance Company</w:t>
      </w:r>
      <w:r w:rsidRPr="003E1E87">
        <w:t>, 2019 ONSC 5982 [</w:t>
      </w:r>
      <w:proofErr w:type="spellStart"/>
      <w:r w:rsidRPr="003E1E87">
        <w:rPr>
          <w:i/>
          <w:iCs/>
        </w:rPr>
        <w:t>Haikola</w:t>
      </w:r>
      <w:proofErr w:type="spellEnd"/>
      <w:r w:rsidRPr="003E1E87">
        <w:t xml:space="preserve">] described the considerable inconvenience of pursuing a complaint under </w:t>
      </w:r>
      <w:r w:rsidRPr="003E1E87">
        <w:rPr>
          <w:i/>
          <w:iCs/>
        </w:rPr>
        <w:t>PIPEDA</w:t>
      </w:r>
      <w:r w:rsidRPr="003E1E87">
        <w:t xml:space="preserve">, at para 86, concluding that: “The hurdles  associated with obtaining a report [from the Privacy Commissioner], including submitting a full </w:t>
      </w:r>
      <w:r w:rsidRPr="003E1E87">
        <w:rPr>
          <w:rStyle w:val="solexhl"/>
        </w:rPr>
        <w:t>privacy</w:t>
      </w:r>
      <w:r w:rsidRPr="003E1E87">
        <w:t xml:space="preserve"> complaint to the </w:t>
      </w:r>
      <w:r w:rsidRPr="003E1E87">
        <w:rPr>
          <w:rStyle w:val="solexhl"/>
        </w:rPr>
        <w:t>Privacy</w:t>
      </w:r>
      <w:r w:rsidRPr="003E1E87">
        <w:t xml:space="preserve"> Commissioner, do not justify the likely modest amounts that </w:t>
      </w:r>
      <w:r w:rsidRPr="003E1E87">
        <w:rPr>
          <w:rStyle w:val="solexhl"/>
        </w:rPr>
        <w:t>Class</w:t>
      </w:r>
      <w:r w:rsidRPr="003E1E87">
        <w:t xml:space="preserve"> Members would have obtained in compensation after a Federal Court action (assuming that after receiving a report, an individual complainant would choose to incur the time and legal fees associated with a Federal Court proceeding).”</w:t>
      </w:r>
    </w:p>
  </w:footnote>
  <w:footnote w:id="13">
    <w:p w14:paraId="4D9E747C" w14:textId="609AF3BB" w:rsidR="00580293" w:rsidRPr="003E1E87" w:rsidRDefault="00580293" w:rsidP="00DF2012">
      <w:pPr>
        <w:pStyle w:val="FootnoteText"/>
      </w:pPr>
      <w:r w:rsidRPr="003E1E87">
        <w:rPr>
          <w:rStyle w:val="FootnoteReference"/>
        </w:rPr>
        <w:footnoteRef/>
      </w:r>
      <w:r w:rsidRPr="003E1E87">
        <w:t xml:space="preserve"> </w:t>
      </w:r>
      <w:proofErr w:type="spellStart"/>
      <w:r w:rsidRPr="003E1E87">
        <w:rPr>
          <w:i/>
          <w:iCs/>
        </w:rPr>
        <w:t>Haikola</w:t>
      </w:r>
      <w:proofErr w:type="spellEnd"/>
      <w:r w:rsidRPr="003E1E87">
        <w:t xml:space="preserve">, </w:t>
      </w:r>
      <w:r w:rsidRPr="003E1E87">
        <w:rPr>
          <w:i/>
          <w:iCs/>
        </w:rPr>
        <w:t>ibid,</w:t>
      </w:r>
      <w:r w:rsidRPr="003E1E87">
        <w:t xml:space="preserve"> also illustrates that class actions do not necessarily</w:t>
      </w:r>
      <w:r>
        <w:t xml:space="preserve"> produce a high payout either. </w:t>
      </w:r>
      <w:r w:rsidRPr="003E1E87">
        <w:t xml:space="preserve">The approved settlement in </w:t>
      </w:r>
      <w:proofErr w:type="spellStart"/>
      <w:r w:rsidRPr="003E1E87">
        <w:rPr>
          <w:i/>
          <w:iCs/>
        </w:rPr>
        <w:t>Haikola</w:t>
      </w:r>
      <w:proofErr w:type="spellEnd"/>
      <w:r w:rsidRPr="003E1E87">
        <w:t xml:space="preserve"> was between $150.00 to $180.00 per claimant, at para 32. At issue in </w:t>
      </w:r>
      <w:proofErr w:type="spellStart"/>
      <w:r w:rsidRPr="003E1E87">
        <w:rPr>
          <w:i/>
          <w:iCs/>
        </w:rPr>
        <w:t>Haikola</w:t>
      </w:r>
      <w:proofErr w:type="spellEnd"/>
      <w:r w:rsidRPr="003E1E87">
        <w:t xml:space="preserve"> was the insurer’s systematic practice of collecting “credit score information from its insureds during its automobile insurance claims adjusting process” at para 2. For discussion of this case, see Teresa </w:t>
      </w:r>
      <w:proofErr w:type="spellStart"/>
      <w:r w:rsidRPr="003E1E87">
        <w:t>Scassa</w:t>
      </w:r>
      <w:proofErr w:type="spellEnd"/>
      <w:r w:rsidRPr="003E1E87">
        <w:t xml:space="preserve">, </w:t>
      </w:r>
      <w:r w:rsidRPr="003E1E87">
        <w:rPr>
          <w:i/>
          <w:iCs/>
        </w:rPr>
        <w:t>A Troubling New Twist on Privacy Class Action Lawsuits in Canada</w:t>
      </w:r>
      <w:r w:rsidRPr="003E1E87">
        <w:t>, (03 December 2019)</w:t>
      </w:r>
      <w:r>
        <w:t>,</w:t>
      </w:r>
      <w:r w:rsidRPr="003E1E87">
        <w:t xml:space="preserve"> online: </w:t>
      </w:r>
      <w:r>
        <w:t>&lt;</w:t>
      </w:r>
      <w:hyperlink r:id="rId8" w:history="1">
        <w:r w:rsidRPr="003E1E87">
          <w:rPr>
            <w:rStyle w:val="Hyperlink"/>
          </w:rPr>
          <w:t>https://www.teresascassa.ca/index.php?option=com_k2&amp;view=item&amp;id=318:a-troubling-new-twist-on-privacy-class-action-lawsuits-in-canada&amp;Itemid=80</w:t>
        </w:r>
      </w:hyperlink>
      <w:r>
        <w:t>&gt;</w:t>
      </w:r>
    </w:p>
  </w:footnote>
  <w:footnote w:id="14">
    <w:p w14:paraId="1A47CB25" w14:textId="00133E0A" w:rsidR="00580293" w:rsidRPr="003E1E87" w:rsidRDefault="00580293">
      <w:pPr>
        <w:pStyle w:val="FootnoteText"/>
      </w:pPr>
      <w:r w:rsidRPr="003E1E87">
        <w:rPr>
          <w:rStyle w:val="FootnoteReference"/>
        </w:rPr>
        <w:footnoteRef/>
      </w:r>
      <w:r w:rsidRPr="003E1E87">
        <w:t xml:space="preserve"> </w:t>
      </w:r>
      <w:r w:rsidRPr="003E1E87">
        <w:rPr>
          <w:i/>
          <w:iCs/>
        </w:rPr>
        <w:t xml:space="preserve">Randall v </w:t>
      </w:r>
      <w:proofErr w:type="spellStart"/>
      <w:r w:rsidRPr="003E1E87">
        <w:rPr>
          <w:i/>
          <w:iCs/>
        </w:rPr>
        <w:t>Nubody</w:t>
      </w:r>
      <w:r>
        <w:rPr>
          <w:i/>
          <w:iCs/>
        </w:rPr>
        <w:t>’</w:t>
      </w:r>
      <w:r w:rsidRPr="003E1E87">
        <w:rPr>
          <w:i/>
          <w:iCs/>
        </w:rPr>
        <w:t>s</w:t>
      </w:r>
      <w:proofErr w:type="spellEnd"/>
      <w:r w:rsidRPr="003E1E87">
        <w:rPr>
          <w:i/>
          <w:iCs/>
        </w:rPr>
        <w:t xml:space="preserve"> Fitness Centres</w:t>
      </w:r>
      <w:r w:rsidRPr="003E1E87">
        <w:t xml:space="preserve">, 2010 FC 681 at </w:t>
      </w:r>
      <w:r>
        <w:t xml:space="preserve">para </w:t>
      </w:r>
      <w:r w:rsidRPr="003E1E87">
        <w:t>55 [</w:t>
      </w:r>
      <w:r w:rsidRPr="003E1E87">
        <w:rPr>
          <w:i/>
          <w:iCs/>
        </w:rPr>
        <w:t>Randall</w:t>
      </w:r>
      <w:r w:rsidRPr="003E1E87">
        <w:t>].</w:t>
      </w:r>
    </w:p>
  </w:footnote>
  <w:footnote w:id="15">
    <w:p w14:paraId="1980626D" w14:textId="307CF3FE" w:rsidR="00580293" w:rsidRPr="003E1E87" w:rsidRDefault="00580293" w:rsidP="00BA6DA1">
      <w:pPr>
        <w:pStyle w:val="FootnoteText"/>
      </w:pPr>
      <w:r w:rsidRPr="003E1E87">
        <w:rPr>
          <w:rStyle w:val="FootnoteReference"/>
        </w:rPr>
        <w:footnoteRef/>
      </w:r>
      <w:r w:rsidRPr="003E1E87">
        <w:t xml:space="preserve"> </w:t>
      </w:r>
      <w:r w:rsidRPr="003E1E87">
        <w:rPr>
          <w:i/>
          <w:iCs/>
        </w:rPr>
        <w:t xml:space="preserve">Ibid </w:t>
      </w:r>
      <w:r w:rsidRPr="003E1E87">
        <w:t xml:space="preserve">at para 56. </w:t>
      </w:r>
    </w:p>
  </w:footnote>
  <w:footnote w:id="16">
    <w:p w14:paraId="6D4C9C1A" w14:textId="397ECBF2" w:rsidR="00580293" w:rsidRPr="003E1E87" w:rsidRDefault="00580293" w:rsidP="00BA6DA1">
      <w:pPr>
        <w:pStyle w:val="FootnoteText"/>
      </w:pPr>
      <w:r w:rsidRPr="003E1E87">
        <w:rPr>
          <w:rStyle w:val="FootnoteReference"/>
        </w:rPr>
        <w:footnoteRef/>
      </w:r>
      <w:r w:rsidRPr="003E1E87">
        <w:t xml:space="preserve"> </w:t>
      </w:r>
      <w:r w:rsidRPr="003E1E87">
        <w:rPr>
          <w:rFonts w:eastAsia="Times New Roman"/>
          <w:lang w:eastAsia="en-CA"/>
        </w:rPr>
        <w:t xml:space="preserve">Cory J in </w:t>
      </w:r>
      <w:r w:rsidRPr="003E1E87">
        <w:rPr>
          <w:i/>
          <w:iCs/>
        </w:rPr>
        <w:t>Hill v Church of Scientology of Toronto</w:t>
      </w:r>
      <w:r w:rsidRPr="003E1E87">
        <w:t>, 1995 CanLII 59 (SCC), [1995] 2 SCR 1130</w:t>
      </w:r>
      <w:r w:rsidRPr="003E1E87">
        <w:rPr>
          <w:rFonts w:eastAsia="Times New Roman"/>
          <w:lang w:eastAsia="en-CA"/>
        </w:rPr>
        <w:t xml:space="preserve"> at para 196 [</w:t>
      </w:r>
      <w:r w:rsidRPr="003E1E87">
        <w:rPr>
          <w:rFonts w:eastAsia="Times New Roman"/>
          <w:i/>
          <w:iCs/>
          <w:lang w:eastAsia="en-CA"/>
        </w:rPr>
        <w:t>Hill</w:t>
      </w:r>
      <w:r w:rsidRPr="003E1E87">
        <w:rPr>
          <w:rFonts w:eastAsia="Times New Roman"/>
          <w:lang w:eastAsia="en-CA"/>
        </w:rPr>
        <w:t xml:space="preserve">], states that punitive damages are “the means by which the jury or judge expresses its outrage at the </w:t>
      </w:r>
      <w:r w:rsidRPr="003E1E87">
        <w:rPr>
          <w:rFonts w:eastAsia="Times New Roman"/>
          <w:b/>
          <w:bCs/>
          <w:lang w:eastAsia="en-CA"/>
        </w:rPr>
        <w:t>egregious</w:t>
      </w:r>
      <w:r w:rsidRPr="003E1E87">
        <w:rPr>
          <w:rFonts w:eastAsia="Times New Roman"/>
          <w:lang w:eastAsia="en-CA"/>
        </w:rPr>
        <w:t xml:space="preserve"> conduct” [emphasis added].</w:t>
      </w:r>
    </w:p>
  </w:footnote>
  <w:footnote w:id="17">
    <w:p w14:paraId="62768399" w14:textId="5B4575B3" w:rsidR="00580293" w:rsidRPr="003E1E87" w:rsidRDefault="00580293">
      <w:pPr>
        <w:pStyle w:val="FootnoteText"/>
      </w:pPr>
      <w:r w:rsidRPr="003E1E87">
        <w:rPr>
          <w:rStyle w:val="FootnoteReference"/>
        </w:rPr>
        <w:footnoteRef/>
      </w:r>
      <w:r w:rsidRPr="003E1E87">
        <w:t xml:space="preserve"> Justice Thomas Cromwell, “Money Remedies: Towards a Functional Approach” in </w:t>
      </w:r>
      <w:r w:rsidRPr="003E1E87">
        <w:rPr>
          <w:i/>
          <w:iCs/>
        </w:rPr>
        <w:t>Remedies: From Dollars to Sense</w:t>
      </w:r>
      <w:r w:rsidRPr="003E1E87">
        <w:t xml:space="preserve"> (2010 Isaac Pitblado Lectures) (Winnipeg: Law Society of Manitoba, 2010) at I-20.</w:t>
      </w:r>
    </w:p>
  </w:footnote>
  <w:footnote w:id="18">
    <w:p w14:paraId="4AEC383A" w14:textId="0521A5C1" w:rsidR="00580293" w:rsidRPr="003E1E87" w:rsidRDefault="00580293" w:rsidP="002E6FEF">
      <w:pPr>
        <w:pStyle w:val="FootnoteText"/>
      </w:pPr>
      <w:r w:rsidRPr="003E1E87">
        <w:rPr>
          <w:rStyle w:val="FootnoteReference"/>
        </w:rPr>
        <w:footnoteRef/>
      </w:r>
      <w:r w:rsidRPr="003E1E87">
        <w:t xml:space="preserve"> </w:t>
      </w:r>
      <w:proofErr w:type="spellStart"/>
      <w:r w:rsidRPr="003E1E87">
        <w:t>Scassa</w:t>
      </w:r>
      <w:proofErr w:type="spellEnd"/>
      <w:r w:rsidRPr="003E1E87">
        <w:t xml:space="preserve">, </w:t>
      </w:r>
      <w:r w:rsidRPr="003E1E87">
        <w:rPr>
          <w:i/>
          <w:iCs/>
        </w:rPr>
        <w:t>supra</w:t>
      </w:r>
      <w:r w:rsidRPr="003E1E87">
        <w:t xml:space="preserve"> notes </w:t>
      </w:r>
      <w:r w:rsidRPr="003E1E87">
        <w:fldChar w:fldCharType="begin"/>
      </w:r>
      <w:r w:rsidRPr="003E1E87">
        <w:instrText xml:space="preserve"> NOTEREF _Ref78152263 \h </w:instrText>
      </w:r>
      <w:r w:rsidRPr="003E1E87">
        <w:fldChar w:fldCharType="separate"/>
      </w:r>
      <w:r>
        <w:t>9</w:t>
      </w:r>
      <w:r w:rsidRPr="003E1E87">
        <w:fldChar w:fldCharType="end"/>
      </w:r>
      <w:r w:rsidRPr="003E1E87">
        <w:t xml:space="preserve"> and </w:t>
      </w:r>
      <w:r w:rsidRPr="003E1E87">
        <w:fldChar w:fldCharType="begin"/>
      </w:r>
      <w:r w:rsidRPr="003E1E87">
        <w:instrText xml:space="preserve"> NOTEREF _Ref77356323 \h </w:instrText>
      </w:r>
      <w:r w:rsidRPr="003E1E87">
        <w:fldChar w:fldCharType="separate"/>
      </w:r>
      <w:r>
        <w:t>10</w:t>
      </w:r>
      <w:r w:rsidRPr="003E1E87">
        <w:fldChar w:fldCharType="end"/>
      </w:r>
      <w:r w:rsidRPr="003E1E87">
        <w:t>.</w:t>
      </w:r>
      <w:r>
        <w:t xml:space="preserve"> We do discuss briefly below the impact that future legislation may have on class actions, in Part Two</w:t>
      </w:r>
      <w:r w:rsidR="00486D7A">
        <w:t xml:space="preserve">, </w:t>
      </w:r>
      <w:r w:rsidR="00486D7A" w:rsidRPr="005F592D">
        <w:t xml:space="preserve">forthcoming in the June </w:t>
      </w:r>
      <w:r w:rsidR="00B00624">
        <w:t xml:space="preserve">2022 </w:t>
      </w:r>
      <w:r w:rsidR="00486D7A" w:rsidRPr="005F592D">
        <w:t>issue of The Advocates’ Quarterly</w:t>
      </w:r>
      <w:r>
        <w:t>.</w:t>
      </w:r>
    </w:p>
  </w:footnote>
  <w:footnote w:id="19">
    <w:p w14:paraId="3A4DE814" w14:textId="4D543F21" w:rsidR="00580293" w:rsidRPr="003E1E87" w:rsidRDefault="00580293" w:rsidP="008A3CE7">
      <w:pPr>
        <w:spacing w:after="0"/>
        <w:contextualSpacing/>
        <w:rPr>
          <w:rFonts w:asciiTheme="minorHAnsi" w:hAnsiTheme="minorHAnsi" w:cstheme="minorBidi"/>
          <w:sz w:val="22"/>
          <w:szCs w:val="22"/>
        </w:rPr>
      </w:pPr>
      <w:r w:rsidRPr="003E1E87">
        <w:rPr>
          <w:rStyle w:val="FootnoteReference"/>
          <w:sz w:val="22"/>
          <w:szCs w:val="22"/>
        </w:rPr>
        <w:footnoteRef/>
      </w:r>
      <w:r w:rsidRPr="003E1E87">
        <w:rPr>
          <w:sz w:val="20"/>
          <w:szCs w:val="20"/>
        </w:rPr>
        <w:t xml:space="preserve">Mr. Justice Frank </w:t>
      </w:r>
      <w:proofErr w:type="spellStart"/>
      <w:r w:rsidRPr="003E1E87">
        <w:rPr>
          <w:sz w:val="20"/>
          <w:szCs w:val="20"/>
        </w:rPr>
        <w:t>Iacobucci</w:t>
      </w:r>
      <w:proofErr w:type="spellEnd"/>
      <w:r w:rsidRPr="003E1E87">
        <w:rPr>
          <w:sz w:val="20"/>
          <w:szCs w:val="20"/>
        </w:rPr>
        <w:t xml:space="preserve">, “Recent Developments Concerning Freedom of Speech and Privacy in the Context of Global Communications Technology” (1999) 48 UNBLJ 189 at 203. </w:t>
      </w:r>
    </w:p>
  </w:footnote>
  <w:footnote w:id="20">
    <w:p w14:paraId="59CD1FC1" w14:textId="20352277" w:rsidR="00580293" w:rsidRPr="003E1E87" w:rsidRDefault="00580293" w:rsidP="00945CC0">
      <w:pPr>
        <w:pStyle w:val="FootnoteText"/>
      </w:pPr>
      <w:r w:rsidRPr="003E1E87">
        <w:rPr>
          <w:rStyle w:val="FootnoteReference"/>
        </w:rPr>
        <w:footnoteRef/>
      </w:r>
      <w:r w:rsidRPr="003E1E87">
        <w:t xml:space="preserve"> </w:t>
      </w:r>
      <w:r w:rsidRPr="003E1E87">
        <w:rPr>
          <w:rStyle w:val="std-header"/>
        </w:rPr>
        <w:t xml:space="preserve">Alexandra </w:t>
      </w:r>
      <w:proofErr w:type="spellStart"/>
      <w:r w:rsidRPr="003E1E87">
        <w:rPr>
          <w:rStyle w:val="std-header"/>
        </w:rPr>
        <w:t>Savoie</w:t>
      </w:r>
      <w:proofErr w:type="spellEnd"/>
      <w:r w:rsidRPr="003E1E87">
        <w:rPr>
          <w:rStyle w:val="std-header"/>
        </w:rPr>
        <w:t xml:space="preserve">, </w:t>
      </w:r>
      <w:proofErr w:type="spellStart"/>
      <w:r w:rsidRPr="003E1E87">
        <w:rPr>
          <w:rStyle w:val="std-header"/>
        </w:rPr>
        <w:t>Maxime</w:t>
      </w:r>
      <w:proofErr w:type="spellEnd"/>
      <w:r w:rsidRPr="003E1E87">
        <w:rPr>
          <w:rStyle w:val="std-header"/>
        </w:rPr>
        <w:t xml:space="preserve">-Oliver </w:t>
      </w:r>
      <w:proofErr w:type="spellStart"/>
      <w:r w:rsidRPr="003E1E87">
        <w:rPr>
          <w:rStyle w:val="std-header"/>
        </w:rPr>
        <w:t>Thibodeau</w:t>
      </w:r>
      <w:proofErr w:type="spellEnd"/>
      <w:r w:rsidRPr="003E1E87">
        <w:rPr>
          <w:rStyle w:val="std-header"/>
        </w:rPr>
        <w:t xml:space="preserve"> et al (revisers), Canada’s Federal Privacy Laws, Publication No. 2007-44-E17 (revised 17 November 2020), </w:t>
      </w:r>
      <w:r>
        <w:rPr>
          <w:rStyle w:val="std-header"/>
        </w:rPr>
        <w:t xml:space="preserve">Library of Parliament, </w:t>
      </w:r>
      <w:r w:rsidRPr="003E1E87">
        <w:rPr>
          <w:rStyle w:val="std-header"/>
        </w:rPr>
        <w:t xml:space="preserve">online:  </w:t>
      </w:r>
      <w:r>
        <w:rPr>
          <w:rStyle w:val="std-header"/>
        </w:rPr>
        <w:t>&lt;</w:t>
      </w:r>
      <w:hyperlink r:id="rId9" w:history="1">
        <w:r w:rsidRPr="003E1E87">
          <w:rPr>
            <w:rStyle w:val="Hyperlink"/>
          </w:rPr>
          <w:t xml:space="preserve">https://lop.parl.ca/staticfiles/PublicWebsite/Home/ResearchPublications/BackgroundPapers/PDF/2007-44-e.pdf </w:t>
        </w:r>
      </w:hyperlink>
      <w:r>
        <w:rPr>
          <w:rStyle w:val="std-header"/>
        </w:rPr>
        <w:t xml:space="preserve">&gt; </w:t>
      </w:r>
      <w:r w:rsidRPr="003E1E87">
        <w:rPr>
          <w:rStyle w:val="std-header"/>
        </w:rPr>
        <w:t xml:space="preserve">at 4.  </w:t>
      </w:r>
    </w:p>
  </w:footnote>
  <w:footnote w:id="21">
    <w:p w14:paraId="610DE46C" w14:textId="7EB99D8F" w:rsidR="00580293" w:rsidRPr="00770CBE" w:rsidRDefault="00580293" w:rsidP="000E59D7">
      <w:pPr>
        <w:spacing w:after="0"/>
        <w:contextualSpacing/>
        <w:rPr>
          <w:sz w:val="20"/>
          <w:szCs w:val="20"/>
        </w:rPr>
      </w:pPr>
      <w:r w:rsidRPr="00770CBE">
        <w:rPr>
          <w:rStyle w:val="FootnoteReference"/>
          <w:sz w:val="20"/>
          <w:szCs w:val="20"/>
        </w:rPr>
        <w:footnoteRef/>
      </w:r>
      <w:r w:rsidRPr="00770CBE">
        <w:rPr>
          <w:sz w:val="20"/>
          <w:szCs w:val="20"/>
        </w:rPr>
        <w:t xml:space="preserve"> </w:t>
      </w:r>
      <w:r w:rsidRPr="00753425">
        <w:rPr>
          <w:sz w:val="20"/>
          <w:szCs w:val="20"/>
        </w:rPr>
        <w:t xml:space="preserve">Note that </w:t>
      </w:r>
      <w:r w:rsidRPr="00753425">
        <w:rPr>
          <w:i/>
          <w:iCs/>
          <w:sz w:val="20"/>
          <w:szCs w:val="20"/>
        </w:rPr>
        <w:t>PIPEDA</w:t>
      </w:r>
      <w:r w:rsidRPr="00753425">
        <w:rPr>
          <w:sz w:val="20"/>
          <w:szCs w:val="20"/>
        </w:rPr>
        <w:t xml:space="preserve">, s 26(2)(b) states that “The Governor in Council may, by order… if satisfied that legislation of a province that is substantially similar to this Part applies to an organization, a class of organizations, an activity or a class of activities, exempt the organization, activity or class from the application of this Part in respect of the collection, use or disclosure of personal information that occurs within that province.” Accordingly, Alberta, British Columbia and Quebec have been exempted with respect to their private sector privacy legislation. The statutes and exemption orders are as follows:  </w:t>
      </w:r>
      <w:r w:rsidRPr="00753425">
        <w:rPr>
          <w:i/>
          <w:iCs/>
          <w:sz w:val="20"/>
          <w:szCs w:val="20"/>
        </w:rPr>
        <w:t>Personal Information Protection Act</w:t>
      </w:r>
      <w:r w:rsidRPr="00753425">
        <w:rPr>
          <w:sz w:val="20"/>
          <w:szCs w:val="20"/>
        </w:rPr>
        <w:t xml:space="preserve">, SA 2003 cP-6.5 [Alberta PIPA] – Organizations in the Province of Alberta Exemption Order, SOR/2004-219; </w:t>
      </w:r>
      <w:r>
        <w:rPr>
          <w:i/>
          <w:iCs/>
          <w:sz w:val="20"/>
          <w:szCs w:val="20"/>
        </w:rPr>
        <w:t xml:space="preserve">Personal Information </w:t>
      </w:r>
      <w:r w:rsidRPr="00753425">
        <w:rPr>
          <w:i/>
          <w:iCs/>
          <w:sz w:val="20"/>
          <w:szCs w:val="20"/>
        </w:rPr>
        <w:t>Protection Act</w:t>
      </w:r>
      <w:r w:rsidRPr="00753425">
        <w:rPr>
          <w:sz w:val="20"/>
          <w:szCs w:val="20"/>
        </w:rPr>
        <w:t xml:space="preserve">, SBC 2003, c 63 [BC PIPA] – Organizations in the Province of British Columbia Exemption Order, SOR/2004-220 and </w:t>
      </w:r>
      <w:r w:rsidRPr="00753425">
        <w:rPr>
          <w:i/>
          <w:iCs/>
          <w:sz w:val="20"/>
          <w:szCs w:val="20"/>
        </w:rPr>
        <w:t>An Act respecting the protection of personal information in the private sector</w:t>
      </w:r>
      <w:r w:rsidRPr="00753425">
        <w:rPr>
          <w:sz w:val="20"/>
          <w:szCs w:val="20"/>
        </w:rPr>
        <w:t xml:space="preserve">, CQLR cP-39.1 [Quebec Act] –  Organizations in the Province of Quebec Exemption Order, SOR/2003-374. For a detailed account of </w:t>
      </w:r>
      <w:r w:rsidRPr="00753425">
        <w:rPr>
          <w:i/>
          <w:iCs/>
          <w:sz w:val="20"/>
          <w:szCs w:val="20"/>
        </w:rPr>
        <w:t>PIPEDA</w:t>
      </w:r>
      <w:r w:rsidRPr="00753425">
        <w:rPr>
          <w:sz w:val="20"/>
          <w:szCs w:val="20"/>
        </w:rPr>
        <w:t xml:space="preserve">, provincial regimes, and related case law, see </w:t>
      </w:r>
      <w:hyperlink r:id="rId10" w:history="1">
        <w:r w:rsidRPr="00753425">
          <w:rPr>
            <w:rStyle w:val="Hyperlink"/>
            <w:color w:val="auto"/>
            <w:sz w:val="20"/>
            <w:szCs w:val="20"/>
            <w:u w:val="none"/>
          </w:rPr>
          <w:t xml:space="preserve">Barbara McIsaac, </w:t>
        </w:r>
      </w:hyperlink>
      <w:r w:rsidRPr="00753425">
        <w:rPr>
          <w:sz w:val="20"/>
          <w:szCs w:val="20"/>
        </w:rPr>
        <w:t xml:space="preserve">Rick Shields and </w:t>
      </w:r>
      <w:hyperlink r:id="rId11" w:history="1">
        <w:r w:rsidRPr="00753425">
          <w:rPr>
            <w:rStyle w:val="Hyperlink"/>
            <w:color w:val="auto"/>
            <w:sz w:val="20"/>
            <w:szCs w:val="20"/>
            <w:u w:val="none"/>
          </w:rPr>
          <w:t>Kris Klein</w:t>
        </w:r>
      </w:hyperlink>
      <w:r w:rsidRPr="00753425">
        <w:rPr>
          <w:sz w:val="20"/>
          <w:szCs w:val="20"/>
        </w:rPr>
        <w:t xml:space="preserve">, </w:t>
      </w:r>
      <w:r w:rsidRPr="00753425">
        <w:rPr>
          <w:i/>
          <w:iCs/>
          <w:sz w:val="20"/>
          <w:szCs w:val="20"/>
        </w:rPr>
        <w:t>The Law of Privacy in Canada</w:t>
      </w:r>
      <w:r w:rsidRPr="00753425">
        <w:rPr>
          <w:sz w:val="20"/>
          <w:szCs w:val="20"/>
        </w:rPr>
        <w:t xml:space="preserve"> Binder/loose-leaf Subscription (Toronto: Thomson Reuters, 2000). For another comprehensive account, see Barbara von </w:t>
      </w:r>
      <w:proofErr w:type="spellStart"/>
      <w:r w:rsidRPr="00753425">
        <w:rPr>
          <w:sz w:val="20"/>
          <w:szCs w:val="20"/>
        </w:rPr>
        <w:t>Tigerstrom</w:t>
      </w:r>
      <w:proofErr w:type="spellEnd"/>
      <w:r w:rsidRPr="00753425">
        <w:rPr>
          <w:sz w:val="20"/>
          <w:szCs w:val="20"/>
        </w:rPr>
        <w:t xml:space="preserve">, </w:t>
      </w:r>
      <w:r w:rsidRPr="00753425">
        <w:rPr>
          <w:i/>
          <w:iCs/>
          <w:sz w:val="20"/>
          <w:szCs w:val="20"/>
        </w:rPr>
        <w:t xml:space="preserve">Information &amp; Privacy Law in Canada </w:t>
      </w:r>
      <w:r w:rsidRPr="00753425">
        <w:rPr>
          <w:sz w:val="20"/>
          <w:szCs w:val="20"/>
        </w:rPr>
        <w:t>(Toronto:  Irwin Law, 2020).</w:t>
      </w:r>
      <w:r w:rsidRPr="00770CBE">
        <w:rPr>
          <w:sz w:val="20"/>
          <w:szCs w:val="20"/>
        </w:rPr>
        <w:t xml:space="preserve"> </w:t>
      </w:r>
    </w:p>
  </w:footnote>
  <w:footnote w:id="22">
    <w:p w14:paraId="183BE939" w14:textId="176FA30B" w:rsidR="00580293" w:rsidRPr="003E1E87" w:rsidRDefault="00580293" w:rsidP="003E1E87">
      <w:pPr>
        <w:pStyle w:val="FootnoteText"/>
      </w:pPr>
      <w:r w:rsidRPr="003E1E87">
        <w:rPr>
          <w:rStyle w:val="FootnoteReference"/>
        </w:rPr>
        <w:footnoteRef/>
      </w:r>
      <w:r w:rsidRPr="003E1E87">
        <w:t xml:space="preserve"> </w:t>
      </w:r>
      <w:r w:rsidRPr="003E1E87">
        <w:rPr>
          <w:i/>
          <w:iCs/>
        </w:rPr>
        <w:t>PIPEDA</w:t>
      </w:r>
      <w:r w:rsidRPr="003E1E87">
        <w:t>, s 11(1).</w:t>
      </w:r>
    </w:p>
  </w:footnote>
  <w:footnote w:id="23">
    <w:p w14:paraId="47D2A8AA" w14:textId="23D08B99" w:rsidR="00580293" w:rsidRPr="003E1E87" w:rsidRDefault="00580293" w:rsidP="008D4E22">
      <w:pPr>
        <w:pStyle w:val="FootnoteText"/>
      </w:pPr>
      <w:r w:rsidRPr="003E1E87">
        <w:rPr>
          <w:rStyle w:val="FootnoteReference"/>
        </w:rPr>
        <w:footnoteRef/>
      </w:r>
      <w:r w:rsidRPr="003E1E87">
        <w:t xml:space="preserve"> See, for example, </w:t>
      </w:r>
      <w:r w:rsidRPr="003E1E87">
        <w:rPr>
          <w:i/>
          <w:iCs/>
        </w:rPr>
        <w:t>Englander v Telus Communications Inc</w:t>
      </w:r>
      <w:r w:rsidRPr="003E1E87">
        <w:t>, 2004 FCA 387</w:t>
      </w:r>
      <w:r w:rsidRPr="003E1E87">
        <w:rPr>
          <w:rStyle w:val="reflex"/>
          <w:i/>
          <w:iCs/>
        </w:rPr>
        <w:t xml:space="preserve"> </w:t>
      </w:r>
      <w:r w:rsidRPr="003E1E87">
        <w:rPr>
          <w:rStyle w:val="reflex"/>
        </w:rPr>
        <w:t xml:space="preserve">at para 48 </w:t>
      </w:r>
      <w:r w:rsidRPr="003E1E87">
        <w:t>[</w:t>
      </w:r>
      <w:r w:rsidRPr="003E1E87">
        <w:rPr>
          <w:i/>
          <w:iCs/>
        </w:rPr>
        <w:t>Englander</w:t>
      </w:r>
      <w:r w:rsidRPr="003E1E87">
        <w:t>]</w:t>
      </w:r>
      <w:r w:rsidRPr="003E1E87">
        <w:rPr>
          <w:rStyle w:val="reflex"/>
        </w:rPr>
        <w:t xml:space="preserve"> wherein the Federal Court of Appeal states that “th</w:t>
      </w:r>
      <w:r w:rsidRPr="003E1E87">
        <w:t xml:space="preserve">e hearing under subsection 14(1) of the Act is a proceeding </w:t>
      </w:r>
      <w:r w:rsidRPr="003E1E87">
        <w:rPr>
          <w:i/>
          <w:iCs/>
        </w:rPr>
        <w:t>de novo</w:t>
      </w:r>
      <w:r w:rsidRPr="003E1E87">
        <w:t xml:space="preserve"> akin to an action…”</w:t>
      </w:r>
    </w:p>
  </w:footnote>
  <w:footnote w:id="24">
    <w:p w14:paraId="36894025" w14:textId="148BCF29" w:rsidR="00580293" w:rsidRPr="003E1E87" w:rsidRDefault="00580293" w:rsidP="002208BE">
      <w:pPr>
        <w:pStyle w:val="FootnoteText"/>
      </w:pPr>
      <w:r w:rsidRPr="003E1E87">
        <w:rPr>
          <w:rStyle w:val="FootnoteReference"/>
        </w:rPr>
        <w:footnoteRef/>
      </w:r>
      <w:r w:rsidRPr="003E1E87">
        <w:t xml:space="preserve"> Note the court’s assessment in </w:t>
      </w:r>
      <w:r w:rsidRPr="003E1E87">
        <w:rPr>
          <w:i/>
          <w:iCs/>
        </w:rPr>
        <w:t>Blum v Mortgage Architects Inc</w:t>
      </w:r>
      <w:r w:rsidRPr="003E1E87">
        <w:t>, 2015 FC 323 [</w:t>
      </w:r>
      <w:r w:rsidRPr="003E1E87">
        <w:rPr>
          <w:i/>
          <w:iCs/>
        </w:rPr>
        <w:t>Blum</w:t>
      </w:r>
      <w:r w:rsidRPr="003E1E87">
        <w:t>] that “</w:t>
      </w:r>
      <w:r w:rsidRPr="003E1E87">
        <w:rPr>
          <w:i/>
          <w:iCs/>
        </w:rPr>
        <w:t>PIPEDA</w:t>
      </w:r>
      <w:r w:rsidRPr="003E1E87">
        <w:t xml:space="preserve">’s right of action is not an end run on existing rights to damages; it is a right to a different kind of damage claim arising from a breach of a right to privacy” at para 14, citing </w:t>
      </w:r>
      <w:r w:rsidRPr="003E1E87">
        <w:rPr>
          <w:i/>
          <w:iCs/>
        </w:rPr>
        <w:t>Stevens v SNF Maritime Metal Inc</w:t>
      </w:r>
      <w:r w:rsidRPr="003E1E87">
        <w:t xml:space="preserve">, 2010 FC 1137. The court’s reference to a ‘right to privacy’ is itself very broad, as evidenced by the emerging common law privacy torts that are discussed below. </w:t>
      </w:r>
      <w:r w:rsidRPr="003E1E87">
        <w:rPr>
          <w:i/>
          <w:iCs/>
        </w:rPr>
        <w:t>PIPEDA</w:t>
      </w:r>
      <w:r w:rsidRPr="003E1E87">
        <w:t xml:space="preserve"> and the proposed </w:t>
      </w:r>
      <w:r w:rsidRPr="003E1E87">
        <w:rPr>
          <w:i/>
          <w:iCs/>
        </w:rPr>
        <w:t>CPPA</w:t>
      </w:r>
      <w:r w:rsidRPr="003E1E87">
        <w:t xml:space="preserve"> engage the private sector’s failure to protect personal information.</w:t>
      </w:r>
    </w:p>
  </w:footnote>
  <w:footnote w:id="25">
    <w:p w14:paraId="378C94C6" w14:textId="7794B180" w:rsidR="00580293" w:rsidRPr="003E1E87" w:rsidRDefault="00580293">
      <w:pPr>
        <w:pStyle w:val="FootnoteText"/>
      </w:pPr>
      <w:r w:rsidRPr="003E1E87">
        <w:rPr>
          <w:rStyle w:val="FootnoteReference"/>
        </w:rPr>
        <w:footnoteRef/>
      </w:r>
      <w:r w:rsidRPr="003E1E87">
        <w:t xml:space="preserve"> </w:t>
      </w:r>
      <w:r w:rsidRPr="003E1E87">
        <w:rPr>
          <w:i/>
          <w:iCs/>
        </w:rPr>
        <w:t>Supra</w:t>
      </w:r>
      <w:r w:rsidRPr="003E1E87">
        <w:t xml:space="preserve"> note </w:t>
      </w:r>
      <w:r w:rsidRPr="003E1E87">
        <w:fldChar w:fldCharType="begin"/>
      </w:r>
      <w:r w:rsidRPr="003E1E87">
        <w:instrText xml:space="preserve"> NOTEREF _Ref77329982 \h </w:instrText>
      </w:r>
      <w:r w:rsidRPr="003E1E87">
        <w:fldChar w:fldCharType="separate"/>
      </w:r>
      <w:r>
        <w:t>6</w:t>
      </w:r>
      <w:r w:rsidRPr="003E1E87">
        <w:fldChar w:fldCharType="end"/>
      </w:r>
    </w:p>
  </w:footnote>
  <w:footnote w:id="26">
    <w:p w14:paraId="55DDC6CE" w14:textId="7415F135" w:rsidR="00580293" w:rsidRPr="003E1E87" w:rsidRDefault="00580293" w:rsidP="000D3C45">
      <w:pPr>
        <w:spacing w:after="0"/>
        <w:rPr>
          <w:sz w:val="20"/>
          <w:szCs w:val="20"/>
        </w:rPr>
      </w:pPr>
      <w:r w:rsidRPr="003E1E87">
        <w:rPr>
          <w:rStyle w:val="FootnoteReference"/>
          <w:sz w:val="20"/>
          <w:szCs w:val="20"/>
        </w:rPr>
        <w:footnoteRef/>
      </w:r>
      <w:r w:rsidRPr="003E1E87">
        <w:rPr>
          <w:sz w:val="20"/>
          <w:szCs w:val="20"/>
        </w:rPr>
        <w:t xml:space="preserve"> </w:t>
      </w:r>
      <w:r w:rsidRPr="003E1E87">
        <w:rPr>
          <w:i/>
          <w:iCs/>
          <w:sz w:val="20"/>
          <w:szCs w:val="20"/>
        </w:rPr>
        <w:t>PIPEDA</w:t>
      </w:r>
      <w:r w:rsidRPr="003E1E87">
        <w:rPr>
          <w:sz w:val="20"/>
          <w:szCs w:val="20"/>
        </w:rPr>
        <w:t xml:space="preserve">, Schedule 1. </w:t>
      </w:r>
      <w:r w:rsidRPr="000D3C45">
        <w:rPr>
          <w:i/>
          <w:iCs/>
          <w:sz w:val="20"/>
          <w:szCs w:val="20"/>
        </w:rPr>
        <w:t>PIPEDA</w:t>
      </w:r>
      <w:r>
        <w:rPr>
          <w:sz w:val="20"/>
          <w:szCs w:val="20"/>
        </w:rPr>
        <w:t>, s</w:t>
      </w:r>
      <w:r w:rsidRPr="003E1E87">
        <w:rPr>
          <w:sz w:val="20"/>
          <w:szCs w:val="20"/>
        </w:rPr>
        <w:t xml:space="preserve"> 5(2)</w:t>
      </w:r>
      <w:r>
        <w:rPr>
          <w:sz w:val="20"/>
          <w:szCs w:val="20"/>
        </w:rPr>
        <w:t xml:space="preserve"> </w:t>
      </w:r>
      <w:r w:rsidRPr="003E1E87">
        <w:rPr>
          <w:sz w:val="20"/>
          <w:szCs w:val="20"/>
        </w:rPr>
        <w:t xml:space="preserve">provides that “the word </w:t>
      </w:r>
      <w:r w:rsidRPr="003E1E87">
        <w:rPr>
          <w:i/>
          <w:iCs/>
          <w:sz w:val="20"/>
          <w:szCs w:val="20"/>
        </w:rPr>
        <w:t>should</w:t>
      </w:r>
      <w:r w:rsidRPr="003E1E87">
        <w:rPr>
          <w:sz w:val="20"/>
          <w:szCs w:val="20"/>
        </w:rPr>
        <w:t xml:space="preserve">, when used in Schedule 1, indicates a recommendation and does not impose an obligation.” See von </w:t>
      </w:r>
      <w:proofErr w:type="spellStart"/>
      <w:r w:rsidRPr="003E1E87">
        <w:rPr>
          <w:sz w:val="20"/>
          <w:szCs w:val="20"/>
        </w:rPr>
        <w:t>Tigerstrom</w:t>
      </w:r>
      <w:proofErr w:type="spellEnd"/>
      <w:r w:rsidRPr="003E1E87">
        <w:rPr>
          <w:sz w:val="20"/>
          <w:szCs w:val="20"/>
        </w:rPr>
        <w:t xml:space="preserve">, </w:t>
      </w:r>
      <w:r w:rsidRPr="003E1E87">
        <w:rPr>
          <w:i/>
          <w:iCs/>
          <w:sz w:val="20"/>
          <w:szCs w:val="20"/>
        </w:rPr>
        <w:t xml:space="preserve">supra </w:t>
      </w:r>
      <w:r w:rsidRPr="003E1E87">
        <w:rPr>
          <w:sz w:val="20"/>
          <w:szCs w:val="20"/>
        </w:rPr>
        <w:t xml:space="preserve">note </w:t>
      </w:r>
      <w:r w:rsidRPr="003E1E87">
        <w:rPr>
          <w:sz w:val="20"/>
          <w:szCs w:val="20"/>
        </w:rPr>
        <w:fldChar w:fldCharType="begin"/>
      </w:r>
      <w:r w:rsidRPr="003E1E87">
        <w:rPr>
          <w:sz w:val="20"/>
          <w:szCs w:val="20"/>
        </w:rPr>
        <w:instrText xml:space="preserve"> NOTEREF _Ref78152384 \h </w:instrText>
      </w:r>
      <w:r w:rsidRPr="003E1E87">
        <w:rPr>
          <w:sz w:val="20"/>
          <w:szCs w:val="20"/>
        </w:rPr>
      </w:r>
      <w:r w:rsidRPr="003E1E87">
        <w:rPr>
          <w:sz w:val="20"/>
          <w:szCs w:val="20"/>
        </w:rPr>
        <w:fldChar w:fldCharType="separate"/>
      </w:r>
      <w:r>
        <w:rPr>
          <w:sz w:val="20"/>
          <w:szCs w:val="20"/>
        </w:rPr>
        <w:t>18</w:t>
      </w:r>
      <w:r w:rsidRPr="003E1E87">
        <w:rPr>
          <w:sz w:val="20"/>
          <w:szCs w:val="20"/>
        </w:rPr>
        <w:fldChar w:fldCharType="end"/>
      </w:r>
      <w:r w:rsidRPr="003E1E87">
        <w:rPr>
          <w:sz w:val="20"/>
          <w:szCs w:val="20"/>
        </w:rPr>
        <w:t xml:space="preserve"> at 295. As observed by the court in </w:t>
      </w:r>
      <w:proofErr w:type="spellStart"/>
      <w:r w:rsidRPr="003E1E87">
        <w:rPr>
          <w:i/>
          <w:iCs/>
          <w:sz w:val="20"/>
          <w:szCs w:val="20"/>
        </w:rPr>
        <w:t>Montalbo</w:t>
      </w:r>
      <w:proofErr w:type="spellEnd"/>
      <w:r w:rsidRPr="003E1E87">
        <w:rPr>
          <w:i/>
          <w:iCs/>
          <w:sz w:val="20"/>
          <w:szCs w:val="20"/>
        </w:rPr>
        <w:t xml:space="preserve"> v Royal Bank of Canada</w:t>
      </w:r>
      <w:r w:rsidRPr="003E1E87">
        <w:rPr>
          <w:sz w:val="20"/>
          <w:szCs w:val="20"/>
        </w:rPr>
        <w:t>, 2018 FC 1155 at para 17 [</w:t>
      </w:r>
      <w:proofErr w:type="spellStart"/>
      <w:r w:rsidRPr="003E1E87">
        <w:rPr>
          <w:i/>
          <w:iCs/>
          <w:sz w:val="20"/>
          <w:szCs w:val="20"/>
        </w:rPr>
        <w:t>Montalbo</w:t>
      </w:r>
      <w:proofErr w:type="spellEnd"/>
      <w:r w:rsidRPr="003E1E87">
        <w:rPr>
          <w:sz w:val="20"/>
          <w:szCs w:val="20"/>
        </w:rPr>
        <w:t xml:space="preserve">], Schedule 1 incorporates: </w:t>
      </w:r>
    </w:p>
    <w:p w14:paraId="5B1F3F78" w14:textId="7830E930" w:rsidR="00580293" w:rsidRPr="003E1E87" w:rsidRDefault="00580293" w:rsidP="0039795F">
      <w:pPr>
        <w:pStyle w:val="FootnoteText"/>
        <w:ind w:left="720"/>
      </w:pPr>
      <w:r w:rsidRPr="003E1E87">
        <w:t>the Principles Set Out in the National Standard of Canada Entitled Model Code for the Protection of Personal Information, CAN/CSA-Q830-96. These principles contain both obligations and recommendations relating to: (1) ensuring accountability; (2) identifying the purpose for which the personal information is being collected; (3) requiring the knowledge and consent of the individual whose information is collected, used or disclosed; (4) limiting collection to that which is necessary for the purposes identified by the organization; (5) limiting use and disclosure to the purposes of collection and limiting retention for only as long as necessary to fulfill those purposes; (6) ensuring the accuracy of the personal information; (7) providing appropriate security safeguards for the personal information; (8) making information concerning management policies and practices readily available; (9) providing individuals access to information regarding the existence, use and disclosure of their personal information; and finally (10) giving individuals the right to challenge an organization’s compliance with these principles through the establishment of complaint mechanisms.</w:t>
      </w:r>
    </w:p>
  </w:footnote>
  <w:footnote w:id="27">
    <w:p w14:paraId="58D2D43B" w14:textId="4E73AC64" w:rsidR="00580293" w:rsidRPr="003E1E87" w:rsidRDefault="00580293" w:rsidP="00B25959">
      <w:pPr>
        <w:pStyle w:val="FootnoteText"/>
      </w:pPr>
      <w:r w:rsidRPr="003E1E87">
        <w:rPr>
          <w:rStyle w:val="FootnoteReference"/>
        </w:rPr>
        <w:footnoteRef/>
      </w:r>
      <w:r w:rsidRPr="003E1E87">
        <w:t xml:space="preserve"> </w:t>
      </w:r>
      <w:r w:rsidRPr="003E1E87">
        <w:rPr>
          <w:i/>
          <w:iCs/>
        </w:rPr>
        <w:t>CPPA</w:t>
      </w:r>
      <w:r w:rsidRPr="003E1E87">
        <w:t xml:space="preserve">, Part 1.   </w:t>
      </w:r>
    </w:p>
  </w:footnote>
  <w:footnote w:id="28">
    <w:p w14:paraId="1EB219BE" w14:textId="5007CA2F" w:rsidR="00580293" w:rsidRPr="003E1E87" w:rsidRDefault="00580293" w:rsidP="002E0F01">
      <w:pPr>
        <w:pStyle w:val="FootnoteText"/>
      </w:pPr>
      <w:r w:rsidRPr="003E1E87">
        <w:rPr>
          <w:rStyle w:val="FootnoteReference"/>
        </w:rPr>
        <w:footnoteRef/>
      </w:r>
      <w:r w:rsidRPr="003E1E87">
        <w:t xml:space="preserve"> See e.g., OPC, “The Case for Reforming the </w:t>
      </w:r>
      <w:r w:rsidRPr="003E1E87">
        <w:rPr>
          <w:i/>
          <w:iCs/>
        </w:rPr>
        <w:t>Personal Information Protection and Electronic Documents Act</w:t>
      </w:r>
      <w:r w:rsidRPr="003E1E87">
        <w:t>”</w:t>
      </w:r>
      <w:r w:rsidRPr="003E1E87">
        <w:rPr>
          <w:i/>
          <w:iCs/>
        </w:rPr>
        <w:t xml:space="preserve"> </w:t>
      </w:r>
      <w:r w:rsidRPr="003E1E87">
        <w:t xml:space="preserve">(May 2013), online: </w:t>
      </w:r>
      <w:r>
        <w:t>&lt;</w:t>
      </w:r>
      <w:hyperlink r:id="rId12" w:history="1">
        <w:r w:rsidRPr="003E1E87">
          <w:rPr>
            <w:rStyle w:val="Hyperlink"/>
          </w:rPr>
          <w:t>https://www.priv.gc.ca/en/privacy-topics/privacy-laws-in-canada/the-personal-information-protection-and-electronic-documents-act-pipeda/pipeda_r/pipeda_r_201305/</w:t>
        </w:r>
      </w:hyperlink>
      <w:r>
        <w:t>&gt;.</w:t>
      </w:r>
    </w:p>
  </w:footnote>
  <w:footnote w:id="29">
    <w:p w14:paraId="5B8068EA" w14:textId="771F8E40" w:rsidR="00580293" w:rsidRPr="003E1E87" w:rsidRDefault="00580293" w:rsidP="004223FB">
      <w:pPr>
        <w:pStyle w:val="FootnoteText"/>
      </w:pPr>
      <w:r w:rsidRPr="003E1E87">
        <w:rPr>
          <w:rStyle w:val="FootnoteReference"/>
        </w:rPr>
        <w:footnoteRef/>
      </w:r>
      <w:r w:rsidRPr="003E1E87">
        <w:t xml:space="preserve"> </w:t>
      </w:r>
      <w:r w:rsidRPr="003E1E87">
        <w:rPr>
          <w:i/>
          <w:iCs/>
        </w:rPr>
        <w:t xml:space="preserve">PIPEDA, </w:t>
      </w:r>
      <w:r w:rsidRPr="003E1E87">
        <w:t xml:space="preserve">s 12. </w:t>
      </w:r>
    </w:p>
  </w:footnote>
  <w:footnote w:id="30">
    <w:p w14:paraId="7BCF5016" w14:textId="75B1E4AC" w:rsidR="00580293" w:rsidRPr="003E1E87" w:rsidRDefault="00580293">
      <w:pPr>
        <w:pStyle w:val="FootnoteText"/>
      </w:pPr>
      <w:r w:rsidRPr="003E1E87">
        <w:rPr>
          <w:rStyle w:val="FootnoteReference"/>
        </w:rPr>
        <w:footnoteRef/>
      </w:r>
      <w:r w:rsidRPr="003E1E87">
        <w:t xml:space="preserve"> </w:t>
      </w:r>
      <w:r w:rsidRPr="003E1E87">
        <w:rPr>
          <w:i/>
          <w:iCs/>
        </w:rPr>
        <w:t>PIPEDA</w:t>
      </w:r>
      <w:r w:rsidRPr="003E1E87">
        <w:t>, s 13.</w:t>
      </w:r>
    </w:p>
  </w:footnote>
  <w:footnote w:id="31">
    <w:p w14:paraId="172A15B0" w14:textId="40D002EC" w:rsidR="00580293" w:rsidRPr="003E1E87" w:rsidRDefault="00580293" w:rsidP="003E1035">
      <w:pPr>
        <w:pStyle w:val="FootnoteText"/>
      </w:pPr>
      <w:r w:rsidRPr="003E1E87">
        <w:rPr>
          <w:rStyle w:val="FootnoteReference"/>
        </w:rPr>
        <w:footnoteRef/>
      </w:r>
      <w:r w:rsidRPr="003E1E87">
        <w:t xml:space="preserve"> </w:t>
      </w:r>
      <w:r w:rsidRPr="003E1E87">
        <w:rPr>
          <w:i/>
          <w:iCs/>
        </w:rPr>
        <w:t>CPPA</w:t>
      </w:r>
      <w:r w:rsidRPr="003E1E87">
        <w:t>, s 92(1).</w:t>
      </w:r>
    </w:p>
  </w:footnote>
  <w:footnote w:id="32">
    <w:p w14:paraId="39C44313" w14:textId="71674AC5" w:rsidR="00580293" w:rsidRPr="003E1E87" w:rsidRDefault="00580293" w:rsidP="001343C7">
      <w:pPr>
        <w:pStyle w:val="FootnoteText"/>
      </w:pPr>
      <w:r w:rsidRPr="003E1E87">
        <w:rPr>
          <w:rStyle w:val="FootnoteReference"/>
        </w:rPr>
        <w:footnoteRef/>
      </w:r>
      <w:r w:rsidRPr="003E1E87">
        <w:t xml:space="preserve"> </w:t>
      </w:r>
      <w:r w:rsidRPr="003E1E87">
        <w:rPr>
          <w:i/>
          <w:iCs/>
        </w:rPr>
        <w:t>CPPA</w:t>
      </w:r>
      <w:r w:rsidRPr="003E1E87">
        <w:t>, s 92.</w:t>
      </w:r>
    </w:p>
  </w:footnote>
  <w:footnote w:id="33">
    <w:p w14:paraId="6883295E" w14:textId="1FCA5278" w:rsidR="00580293" w:rsidRPr="003E1E87" w:rsidRDefault="00580293">
      <w:pPr>
        <w:pStyle w:val="FootnoteText"/>
      </w:pPr>
      <w:r w:rsidRPr="003E1E87">
        <w:rPr>
          <w:rStyle w:val="FootnoteReference"/>
        </w:rPr>
        <w:footnoteRef/>
      </w:r>
      <w:r w:rsidRPr="003E1E87">
        <w:t xml:space="preserve"> </w:t>
      </w:r>
      <w:r w:rsidRPr="003E1E87">
        <w:rPr>
          <w:i/>
          <w:iCs/>
        </w:rPr>
        <w:t>CPPA</w:t>
      </w:r>
      <w:r w:rsidRPr="003E1E87">
        <w:t>, s 92.</w:t>
      </w:r>
    </w:p>
  </w:footnote>
  <w:footnote w:id="34">
    <w:p w14:paraId="10EC0A7B" w14:textId="12FEA775" w:rsidR="00580293" w:rsidRPr="003E1E87" w:rsidRDefault="00580293" w:rsidP="00727FFB">
      <w:pPr>
        <w:pStyle w:val="FootnoteText"/>
      </w:pPr>
      <w:r w:rsidRPr="003E1E87">
        <w:rPr>
          <w:rStyle w:val="FootnoteReference"/>
        </w:rPr>
        <w:footnoteRef/>
      </w:r>
      <w:r w:rsidRPr="003E1E87">
        <w:t xml:space="preserve"> Facebook has been disregarding the Privacy Commissioner’s findings since 2009. See most recently </w:t>
      </w:r>
      <w:r w:rsidRPr="003E1E87">
        <w:rPr>
          <w:i/>
          <w:iCs/>
        </w:rPr>
        <w:t>Canada (Privacy Commissioner) v Facebook</w:t>
      </w:r>
      <w:r w:rsidRPr="003E1E87">
        <w:t>, 2021 FC 599; Liz Denham, “Report of Findings into the Complaint Filed by the Canadian Internet Policy and Public Interest Clinic (CIPPIC) against Facebook Inc. under the </w:t>
      </w:r>
      <w:r w:rsidRPr="003E1E87">
        <w:rPr>
          <w:i/>
          <w:iCs/>
        </w:rPr>
        <w:t>Personal Information Protection and Electronic Documents Act</w:t>
      </w:r>
      <w:r w:rsidRPr="003E1E87">
        <w:t>”</w:t>
      </w:r>
      <w:r>
        <w:t xml:space="preserve"> (2009),</w:t>
      </w:r>
      <w:r w:rsidRPr="003E1E87">
        <w:t xml:space="preserve"> online:</w:t>
      </w:r>
    </w:p>
    <w:p w14:paraId="2B6DFEAA" w14:textId="2332BBEA" w:rsidR="00580293" w:rsidRPr="003E1E87" w:rsidRDefault="00580293" w:rsidP="00C2706D">
      <w:pPr>
        <w:pStyle w:val="FootnoteText"/>
      </w:pPr>
      <w:r>
        <w:t>&lt;</w:t>
      </w:r>
      <w:hyperlink r:id="rId13" w:history="1">
        <w:r w:rsidRPr="003E1E87">
          <w:rPr>
            <w:rStyle w:val="Hyperlink"/>
          </w:rPr>
          <w:t>https://www.priv.gc.ca/en/opc-actions-and-decisions/investigations/investigations-into-businesses/2009/pipeda-2009-008/</w:t>
        </w:r>
      </w:hyperlink>
      <w:r>
        <w:t>&gt;;</w:t>
      </w:r>
      <w:r w:rsidRPr="003E1E87">
        <w:t xml:space="preserve"> Michael Geist, “Thank Facebook for Reminding Us Canada’s Privacy Protection is Utterly Inadequate”, </w:t>
      </w:r>
      <w:r w:rsidRPr="003E1E87">
        <w:rPr>
          <w:i/>
          <w:iCs/>
        </w:rPr>
        <w:t>The Globe and Mail</w:t>
      </w:r>
      <w:r w:rsidRPr="003E1E87">
        <w:t xml:space="preserve"> (26 April 2019), online: </w:t>
      </w:r>
      <w:r>
        <w:t>&lt;</w:t>
      </w:r>
      <w:hyperlink r:id="rId14" w:history="1">
        <w:r w:rsidRPr="003E1E87">
          <w:rPr>
            <w:rStyle w:val="Hyperlink"/>
          </w:rPr>
          <w:t>https://www.theglobeandmail.com/business/commentary/article-thank-facebook-for-reminding-us-canadas-privacy-protection-is-utterly/</w:t>
        </w:r>
      </w:hyperlink>
      <w:r>
        <w:t>&gt;;</w:t>
      </w:r>
      <w:r w:rsidRPr="003E1E87">
        <w:t xml:space="preserve"> OPC, “Notice of Application with the Federal Court against Facebook” (6 February 2020) online: </w:t>
      </w:r>
      <w:r>
        <w:t>&lt;</w:t>
      </w:r>
      <w:hyperlink r:id="rId15" w:history="1">
        <w:r w:rsidRPr="00962403">
          <w:rPr>
            <w:rStyle w:val="Hyperlink"/>
          </w:rPr>
          <w:t>https://www.priv.gc.ca/en/privacy-topics/privacy-laws-in-canada/the-personal-information-protection-and-electronic-documents-act-pipeda/pipeda-complaints-and-enforcement-process/court_p/na_fb_20200206/</w:t>
        </w:r>
      </w:hyperlink>
      <w:r>
        <w:t>&gt;.</w:t>
      </w:r>
    </w:p>
  </w:footnote>
  <w:footnote w:id="35">
    <w:p w14:paraId="601D0E8F" w14:textId="0F7D9FEC" w:rsidR="00580293" w:rsidRPr="003E1E87" w:rsidRDefault="00580293">
      <w:pPr>
        <w:pStyle w:val="FootnoteText"/>
      </w:pPr>
      <w:r w:rsidRPr="003E1E87">
        <w:rPr>
          <w:rStyle w:val="FootnoteReference"/>
        </w:rPr>
        <w:footnoteRef/>
      </w:r>
      <w:r w:rsidRPr="003E1E87">
        <w:t xml:space="preserve"> </w:t>
      </w:r>
      <w:r w:rsidRPr="003E1E87">
        <w:rPr>
          <w:i/>
          <w:iCs/>
        </w:rPr>
        <w:t>CPPA</w:t>
      </w:r>
      <w:r w:rsidRPr="003E1E87">
        <w:t>, s 82.</w:t>
      </w:r>
    </w:p>
  </w:footnote>
  <w:footnote w:id="36">
    <w:p w14:paraId="668E7664" w14:textId="77777777" w:rsidR="00580293" w:rsidRPr="003E1E87" w:rsidRDefault="00580293" w:rsidP="008D384B">
      <w:pPr>
        <w:pStyle w:val="FootnoteText"/>
      </w:pPr>
      <w:r w:rsidRPr="003E1E87">
        <w:rPr>
          <w:rStyle w:val="FootnoteReference"/>
        </w:rPr>
        <w:footnoteRef/>
      </w:r>
      <w:r w:rsidRPr="003E1E87">
        <w:t xml:space="preserve"> Bill C-11, Part 2.</w:t>
      </w:r>
    </w:p>
  </w:footnote>
  <w:footnote w:id="37">
    <w:p w14:paraId="0260D19E" w14:textId="727E2EC6" w:rsidR="00580293" w:rsidRPr="003E1E87" w:rsidRDefault="00580293" w:rsidP="00E160D4">
      <w:pPr>
        <w:pStyle w:val="FootnoteText"/>
      </w:pPr>
      <w:r w:rsidRPr="003E1E87">
        <w:rPr>
          <w:rStyle w:val="FootnoteReference"/>
        </w:rPr>
        <w:footnoteRef/>
      </w:r>
      <w:r w:rsidRPr="003E1E87">
        <w:t xml:space="preserve"> Bill C-11</w:t>
      </w:r>
      <w:r>
        <w:t>,</w:t>
      </w:r>
      <w:r w:rsidRPr="003E1E87">
        <w:rPr>
          <w:i/>
          <w:iCs/>
        </w:rPr>
        <w:t xml:space="preserve"> </w:t>
      </w:r>
      <w:r w:rsidRPr="00E160D4">
        <w:t>Part 2,</w:t>
      </w:r>
      <w:r w:rsidRPr="003E1E87">
        <w:t xml:space="preserve"> s 5. </w:t>
      </w:r>
    </w:p>
  </w:footnote>
  <w:footnote w:id="38">
    <w:p w14:paraId="57565477" w14:textId="5CD960AC" w:rsidR="00580293" w:rsidRPr="003E1E87" w:rsidRDefault="00580293" w:rsidP="008D384B">
      <w:pPr>
        <w:pStyle w:val="FootnoteText"/>
      </w:pPr>
      <w:r w:rsidRPr="003E1E87">
        <w:rPr>
          <w:rStyle w:val="FootnoteReference"/>
        </w:rPr>
        <w:footnoteRef/>
      </w:r>
      <w:r w:rsidRPr="003E1E87">
        <w:t xml:space="preserve"> </w:t>
      </w:r>
      <w:r w:rsidRPr="003E1E87">
        <w:rPr>
          <w:i/>
          <w:iCs/>
        </w:rPr>
        <w:t>CPPA,</w:t>
      </w:r>
      <w:r w:rsidRPr="003E1E87">
        <w:t xml:space="preserve"> s 93.</w:t>
      </w:r>
    </w:p>
  </w:footnote>
  <w:footnote w:id="39">
    <w:p w14:paraId="25F350AC" w14:textId="0BAC416F" w:rsidR="00580293" w:rsidRPr="003E1E87" w:rsidRDefault="00580293" w:rsidP="008D384B">
      <w:pPr>
        <w:pStyle w:val="FootnoteText"/>
      </w:pPr>
      <w:r w:rsidRPr="003E1E87">
        <w:rPr>
          <w:rStyle w:val="FootnoteReference"/>
        </w:rPr>
        <w:footnoteRef/>
      </w:r>
      <w:r w:rsidRPr="003E1E87">
        <w:t xml:space="preserve"> </w:t>
      </w:r>
      <w:r w:rsidRPr="003E1E87">
        <w:rPr>
          <w:i/>
          <w:iCs/>
        </w:rPr>
        <w:t>CPPA</w:t>
      </w:r>
      <w:r w:rsidRPr="003E1E87">
        <w:t xml:space="preserve">, s 94. </w:t>
      </w:r>
    </w:p>
  </w:footnote>
  <w:footnote w:id="40">
    <w:p w14:paraId="026A8F22" w14:textId="0F41C335" w:rsidR="00580293" w:rsidRPr="003E1E87" w:rsidRDefault="00580293" w:rsidP="000D3C45">
      <w:pPr>
        <w:pStyle w:val="FootnoteText"/>
      </w:pPr>
      <w:r w:rsidRPr="003E1E87">
        <w:rPr>
          <w:rStyle w:val="FootnoteReference"/>
        </w:rPr>
        <w:footnoteRef/>
      </w:r>
      <w:r w:rsidRPr="003E1E87">
        <w:t xml:space="preserve"> </w:t>
      </w:r>
      <w:r w:rsidRPr="003E1E87">
        <w:rPr>
          <w:i/>
          <w:iCs/>
        </w:rPr>
        <w:t>CPPA</w:t>
      </w:r>
      <w:r w:rsidRPr="003E1E87">
        <w:t xml:space="preserve">, s 125. As an example of high fines levied in foreign jurisdiction, note that a recent Israeli court verdict imposed fines of roughly $225,000 on a local cellular service provider for what were described as quite egregious violates of privacy in personal information. See The Jerusalem Post, </w:t>
      </w:r>
      <w:r w:rsidRPr="003E1E87">
        <w:rPr>
          <w:i/>
          <w:iCs/>
        </w:rPr>
        <w:t>Rami Levi mobile officials suspected of privacy invasion for personal gain</w:t>
      </w:r>
      <w:r w:rsidRPr="003E1E87">
        <w:t xml:space="preserve">, </w:t>
      </w:r>
      <w:r>
        <w:t>(</w:t>
      </w:r>
      <w:r w:rsidRPr="003E1E87">
        <w:t>2019</w:t>
      </w:r>
      <w:r>
        <w:t>), online:</w:t>
      </w:r>
      <w:r w:rsidRPr="003E1E87">
        <w:t xml:space="preserve"> </w:t>
      </w:r>
      <w:r>
        <w:t>&lt;</w:t>
      </w:r>
      <w:hyperlink r:id="rId16" w:history="1">
        <w:r w:rsidRPr="003E1E87">
          <w:rPr>
            <w:rStyle w:val="Hyperlink"/>
          </w:rPr>
          <w:t>https://www.jpost.com/israel-news/rami-levi-mobile-officials-suspected-of-privacy-invasion-for-personal-gain-612431</w:t>
        </w:r>
      </w:hyperlink>
      <w:r>
        <w:t>&gt;.</w:t>
      </w:r>
    </w:p>
  </w:footnote>
  <w:footnote w:id="41">
    <w:p w14:paraId="4D01CB1D" w14:textId="68EA75BC" w:rsidR="00580293" w:rsidRPr="003E1E87" w:rsidRDefault="00580293" w:rsidP="00DB62CF">
      <w:pPr>
        <w:pStyle w:val="FootnoteText"/>
      </w:pPr>
      <w:r w:rsidRPr="003E1E87">
        <w:rPr>
          <w:rStyle w:val="FootnoteReference"/>
        </w:rPr>
        <w:footnoteRef/>
      </w:r>
      <w:r w:rsidRPr="003E1E87">
        <w:t xml:space="preserve"> France </w:t>
      </w:r>
      <w:proofErr w:type="spellStart"/>
      <w:r w:rsidRPr="003E1E87">
        <w:t>Houle</w:t>
      </w:r>
      <w:proofErr w:type="spellEnd"/>
      <w:r w:rsidRPr="003E1E87">
        <w:t xml:space="preserve"> &amp; Lorne </w:t>
      </w:r>
      <w:proofErr w:type="spellStart"/>
      <w:r w:rsidRPr="003E1E87">
        <w:t>Sossin</w:t>
      </w:r>
      <w:proofErr w:type="spellEnd"/>
      <w:r w:rsidRPr="003E1E87">
        <w:t xml:space="preserve">, </w:t>
      </w:r>
      <w:r w:rsidRPr="003E1E87">
        <w:rPr>
          <w:i/>
          <w:iCs/>
        </w:rPr>
        <w:t>Powers and Functions of the Ombudsman in the Personal Information Protection and Electronic Documents Act: An Effectiveness Study</w:t>
      </w:r>
      <w:r w:rsidRPr="003E1E87">
        <w:t xml:space="preserve"> </w:t>
      </w:r>
      <w:r>
        <w:t>(</w:t>
      </w:r>
      <w:r w:rsidRPr="003E1E87">
        <w:t>2010</w:t>
      </w:r>
      <w:r>
        <w:t>), online: &lt;</w:t>
      </w:r>
      <w:hyperlink r:id="rId17" w:history="1">
        <w:r w:rsidRPr="003E1E87">
          <w:rPr>
            <w:rStyle w:val="Hyperlink"/>
          </w:rPr>
          <w:t>https://www.priv.gc.ca/en/opc-actions-and-decisions/research/explore-privacy-research/2010/</w:t>
        </w:r>
        <w:r w:rsidRPr="003E1E87">
          <w:rPr>
            <w:rStyle w:val="Hyperlink"/>
            <w:i/>
            <w:iCs/>
          </w:rPr>
          <w:t>PIPEDA</w:t>
        </w:r>
        <w:r w:rsidRPr="003E1E87">
          <w:rPr>
            <w:rStyle w:val="Hyperlink"/>
          </w:rPr>
          <w:t>_h_s/</w:t>
        </w:r>
      </w:hyperlink>
      <w:r>
        <w:t>&gt;.</w:t>
      </w:r>
    </w:p>
  </w:footnote>
  <w:footnote w:id="42">
    <w:p w14:paraId="56B8B409" w14:textId="35E631F9" w:rsidR="00580293" w:rsidRPr="003E1E87" w:rsidRDefault="00580293" w:rsidP="00202CD1">
      <w:pPr>
        <w:pStyle w:val="FootnoteText"/>
      </w:pPr>
      <w:r w:rsidRPr="003E1E87">
        <w:rPr>
          <w:rStyle w:val="FootnoteReference"/>
        </w:rPr>
        <w:footnoteRef/>
      </w:r>
      <w:r w:rsidRPr="003E1E87">
        <w:t xml:space="preserve"> </w:t>
      </w:r>
      <w:r w:rsidRPr="003E1E87">
        <w:rPr>
          <w:i/>
          <w:iCs/>
        </w:rPr>
        <w:t xml:space="preserve">Englander, supra </w:t>
      </w:r>
      <w:r w:rsidRPr="003E1E87">
        <w:rPr>
          <w:iCs/>
        </w:rPr>
        <w:t xml:space="preserve">note </w:t>
      </w:r>
      <w:r w:rsidRPr="003E1E87">
        <w:rPr>
          <w:iCs/>
        </w:rPr>
        <w:fldChar w:fldCharType="begin"/>
      </w:r>
      <w:r w:rsidRPr="003E1E87">
        <w:rPr>
          <w:iCs/>
        </w:rPr>
        <w:instrText xml:space="preserve"> NOTEREF _Ref78152428 \h </w:instrText>
      </w:r>
      <w:r w:rsidRPr="003E1E87">
        <w:rPr>
          <w:iCs/>
        </w:rPr>
      </w:r>
      <w:r w:rsidRPr="003E1E87">
        <w:rPr>
          <w:iCs/>
        </w:rPr>
        <w:fldChar w:fldCharType="separate"/>
      </w:r>
      <w:r>
        <w:rPr>
          <w:iCs/>
        </w:rPr>
        <w:t>20</w:t>
      </w:r>
      <w:r w:rsidRPr="003E1E87">
        <w:rPr>
          <w:iCs/>
        </w:rPr>
        <w:fldChar w:fldCharType="end"/>
      </w:r>
      <w:r w:rsidRPr="003E1E87">
        <w:rPr>
          <w:iCs/>
        </w:rPr>
        <w:t xml:space="preserve">, at para 48. </w:t>
      </w:r>
      <w:r w:rsidRPr="003E1E87">
        <w:rPr>
          <w:rStyle w:val="reflex"/>
        </w:rPr>
        <w:t xml:space="preserve">An important reason for the hearing being </w:t>
      </w:r>
      <w:r w:rsidRPr="003E1E87">
        <w:rPr>
          <w:rStyle w:val="reflex"/>
          <w:i/>
          <w:iCs/>
        </w:rPr>
        <w:t>de novo,</w:t>
      </w:r>
      <w:r w:rsidRPr="003E1E87">
        <w:rPr>
          <w:rStyle w:val="reflex"/>
        </w:rPr>
        <w:t xml:space="preserve"> </w:t>
      </w:r>
      <w:r w:rsidRPr="003E1E87">
        <w:rPr>
          <w:rStyle w:val="reflex"/>
          <w:i/>
          <w:iCs/>
        </w:rPr>
        <w:t>Englander</w:t>
      </w:r>
      <w:r w:rsidRPr="003E1E87">
        <w:rPr>
          <w:rStyle w:val="reflex"/>
        </w:rPr>
        <w:t xml:space="preserve"> observes, is </w:t>
      </w:r>
      <w:r w:rsidRPr="003E1E87">
        <w:rPr>
          <w:rFonts w:eastAsia="Calibri"/>
        </w:rPr>
        <w:t>that were it otherwise, the Commissioner would have an improper “head start” when acting as a party and thereby jeopardizing “the fairness of the hearing” at para 48.</w:t>
      </w:r>
      <w:r w:rsidRPr="003E1E87">
        <w:t xml:space="preserve"> </w:t>
      </w:r>
    </w:p>
  </w:footnote>
  <w:footnote w:id="43">
    <w:p w14:paraId="06DFA98B" w14:textId="3E2CB62D" w:rsidR="00580293" w:rsidRPr="003E1E87" w:rsidRDefault="00580293" w:rsidP="002E6FEF">
      <w:pPr>
        <w:pStyle w:val="FootnoteText"/>
      </w:pPr>
      <w:r w:rsidRPr="003E1E87">
        <w:rPr>
          <w:rStyle w:val="FootnoteReference"/>
        </w:rPr>
        <w:footnoteRef/>
      </w:r>
      <w:r w:rsidRPr="003E1E87">
        <w:t xml:space="preserve"> </w:t>
      </w:r>
      <w:r w:rsidRPr="003E1E87">
        <w:rPr>
          <w:i/>
          <w:iCs/>
        </w:rPr>
        <w:t xml:space="preserve">Blum, supra </w:t>
      </w:r>
      <w:r w:rsidRPr="003E1E87">
        <w:t xml:space="preserve">note </w:t>
      </w:r>
      <w:r w:rsidRPr="003E1E87">
        <w:fldChar w:fldCharType="begin"/>
      </w:r>
      <w:r w:rsidRPr="003E1E87">
        <w:instrText xml:space="preserve"> NOTEREF _Ref78152450 \h </w:instrText>
      </w:r>
      <w:r w:rsidRPr="003E1E87">
        <w:fldChar w:fldCharType="separate"/>
      </w:r>
      <w:r>
        <w:t>21</w:t>
      </w:r>
      <w:r w:rsidRPr="003E1E87">
        <w:fldChar w:fldCharType="end"/>
      </w:r>
      <w:r w:rsidRPr="003E1E87">
        <w:t>,</w:t>
      </w:r>
      <w:r w:rsidRPr="003E1E87">
        <w:rPr>
          <w:i/>
          <w:iCs/>
        </w:rPr>
        <w:t xml:space="preserve"> </w:t>
      </w:r>
      <w:r w:rsidRPr="003E1E87">
        <w:t xml:space="preserve">at 13. </w:t>
      </w:r>
      <w:r w:rsidRPr="003E1E87">
        <w:rPr>
          <w:rStyle w:val="reflex"/>
        </w:rPr>
        <w:t xml:space="preserve">  </w:t>
      </w:r>
    </w:p>
  </w:footnote>
  <w:footnote w:id="44">
    <w:p w14:paraId="4D77FF07" w14:textId="3366583B" w:rsidR="00580293" w:rsidRPr="003E1E87" w:rsidRDefault="00580293" w:rsidP="00202CD1">
      <w:pPr>
        <w:pStyle w:val="FootnoteText"/>
      </w:pPr>
      <w:r w:rsidRPr="003E1E87">
        <w:rPr>
          <w:rStyle w:val="FootnoteReference"/>
        </w:rPr>
        <w:footnoteRef/>
      </w:r>
      <w:r w:rsidRPr="003E1E87">
        <w:t xml:space="preserve"> 2012 FC 1095 at para 33 [</w:t>
      </w:r>
      <w:r w:rsidRPr="003E1E87">
        <w:rPr>
          <w:i/>
          <w:iCs/>
        </w:rPr>
        <w:t>Biron</w:t>
      </w:r>
      <w:r w:rsidRPr="003E1E87">
        <w:t>].</w:t>
      </w:r>
    </w:p>
  </w:footnote>
  <w:footnote w:id="45">
    <w:p w14:paraId="0F7F9EF7" w14:textId="7424A4AC" w:rsidR="00580293" w:rsidRPr="003E1E87" w:rsidRDefault="00580293" w:rsidP="002E6FEF">
      <w:pPr>
        <w:pStyle w:val="FootnoteText"/>
      </w:pPr>
      <w:r w:rsidRPr="003E1E87">
        <w:rPr>
          <w:rStyle w:val="FootnoteReference"/>
        </w:rPr>
        <w:footnoteRef/>
      </w:r>
      <w:r w:rsidRPr="003E1E87">
        <w:t xml:space="preserve"> </w:t>
      </w:r>
      <w:r w:rsidRPr="003E1E87">
        <w:rPr>
          <w:i/>
          <w:iCs/>
        </w:rPr>
        <w:t>Blum</w:t>
      </w:r>
      <w:r w:rsidRPr="003E1E87">
        <w:t xml:space="preserve">, </w:t>
      </w:r>
      <w:r w:rsidRPr="003E1E87">
        <w:rPr>
          <w:i/>
          <w:iCs/>
        </w:rPr>
        <w:t xml:space="preserve">supra </w:t>
      </w:r>
      <w:r w:rsidRPr="003E1E87">
        <w:t xml:space="preserve">note </w:t>
      </w:r>
      <w:r w:rsidRPr="003E1E87">
        <w:fldChar w:fldCharType="begin"/>
      </w:r>
      <w:r w:rsidRPr="003E1E87">
        <w:instrText xml:space="preserve"> NOTEREF _Ref78152450 \h </w:instrText>
      </w:r>
      <w:r w:rsidRPr="003E1E87">
        <w:fldChar w:fldCharType="separate"/>
      </w:r>
      <w:r>
        <w:t>21</w:t>
      </w:r>
      <w:r w:rsidRPr="003E1E87">
        <w:fldChar w:fldCharType="end"/>
      </w:r>
      <w:r w:rsidRPr="003E1E87">
        <w:t>, at para 12.</w:t>
      </w:r>
    </w:p>
  </w:footnote>
  <w:footnote w:id="46">
    <w:p w14:paraId="23241D2A" w14:textId="0B636D7B" w:rsidR="00580293" w:rsidRPr="003E1E87" w:rsidRDefault="00580293">
      <w:pPr>
        <w:pStyle w:val="FootnoteText"/>
        <w:rPr>
          <w:i/>
          <w:iCs/>
        </w:rPr>
      </w:pPr>
      <w:r w:rsidRPr="003E1E87">
        <w:rPr>
          <w:rStyle w:val="FootnoteReference"/>
        </w:rPr>
        <w:footnoteRef/>
      </w:r>
      <w:r w:rsidRPr="003E1E87">
        <w:t xml:space="preserve"> </w:t>
      </w:r>
      <w:r w:rsidRPr="003E1E87">
        <w:rPr>
          <w:i/>
          <w:iCs/>
        </w:rPr>
        <w:t>CPPA</w:t>
      </w:r>
      <w:r w:rsidRPr="003E1E87">
        <w:t>, s 106</w:t>
      </w:r>
      <w:r w:rsidRPr="003E1E87">
        <w:rPr>
          <w:i/>
          <w:iCs/>
        </w:rPr>
        <w:t>.</w:t>
      </w:r>
    </w:p>
  </w:footnote>
  <w:footnote w:id="47">
    <w:p w14:paraId="6A7FE6A9" w14:textId="2CF4FEE6" w:rsidR="00580293" w:rsidRPr="00DB62CF" w:rsidRDefault="00580293" w:rsidP="002D724F">
      <w:pPr>
        <w:pStyle w:val="CommentText"/>
        <w:spacing w:after="0"/>
      </w:pPr>
      <w:r w:rsidRPr="003E1E87">
        <w:rPr>
          <w:rStyle w:val="FootnoteReference"/>
        </w:rPr>
        <w:footnoteRef/>
      </w:r>
      <w:r w:rsidRPr="003E1E87">
        <w:t xml:space="preserve"> </w:t>
      </w:r>
      <w:proofErr w:type="spellStart"/>
      <w:r w:rsidRPr="003E1E87">
        <w:rPr>
          <w:rFonts w:ascii="Arial" w:hAnsi="Arial" w:cs="Arial"/>
        </w:rPr>
        <w:t>Sookman</w:t>
      </w:r>
      <w:proofErr w:type="spellEnd"/>
      <w:r w:rsidRPr="003E1E87">
        <w:rPr>
          <w:rFonts w:ascii="Arial" w:hAnsi="Arial" w:cs="Arial"/>
        </w:rPr>
        <w:t xml:space="preserve"> et al, “The </w:t>
      </w:r>
      <w:r w:rsidRPr="003E1E87">
        <w:rPr>
          <w:rFonts w:ascii="Arial" w:hAnsi="Arial" w:cs="Arial"/>
          <w:i/>
          <w:iCs/>
        </w:rPr>
        <w:t>CPPA</w:t>
      </w:r>
      <w:r w:rsidRPr="003E1E87">
        <w:rPr>
          <w:rFonts w:ascii="Arial" w:hAnsi="Arial" w:cs="Arial"/>
        </w:rPr>
        <w:t>’s Privacy Law Enforcement Regime” (27 January 2021)</w:t>
      </w:r>
      <w:r>
        <w:rPr>
          <w:rFonts w:ascii="Arial" w:hAnsi="Arial" w:cs="Arial"/>
        </w:rPr>
        <w:t>,</w:t>
      </w:r>
      <w:r w:rsidRPr="003E1E87">
        <w:rPr>
          <w:rFonts w:ascii="Arial" w:hAnsi="Arial" w:cs="Arial"/>
        </w:rPr>
        <w:t xml:space="preserve"> online: </w:t>
      </w:r>
      <w:r>
        <w:rPr>
          <w:rFonts w:ascii="Arial" w:hAnsi="Arial" w:cs="Arial"/>
        </w:rPr>
        <w:t>&lt;</w:t>
      </w:r>
      <w:hyperlink r:id="rId18" w:history="1">
        <w:r w:rsidRPr="00E60FBA">
          <w:rPr>
            <w:rStyle w:val="Hyperlink"/>
            <w:rFonts w:ascii="Arial" w:hAnsi="Arial" w:cs="Arial"/>
          </w:rPr>
          <w:t>https://www.mccarthy.ca/en/insights/blogs/techlex/</w:t>
        </w:r>
        <w:r w:rsidRPr="00E60FBA">
          <w:rPr>
            <w:rStyle w:val="Hyperlink"/>
            <w:rFonts w:ascii="Arial" w:hAnsi="Arial" w:cs="Arial"/>
            <w:i/>
            <w:iCs/>
          </w:rPr>
          <w:t>CPPA</w:t>
        </w:r>
        <w:r w:rsidRPr="00E60FBA">
          <w:rPr>
            <w:rStyle w:val="Hyperlink"/>
            <w:rFonts w:ascii="Arial" w:hAnsi="Arial" w:cs="Arial"/>
          </w:rPr>
          <w:t>s-privacy-law-enforcement-regime</w:t>
        </w:r>
      </w:hyperlink>
      <w:r>
        <w:rPr>
          <w:rStyle w:val="Hyperlink1"/>
          <w:rFonts w:ascii="Arial" w:hAnsi="Arial" w:cs="Arial"/>
          <w:color w:val="auto"/>
          <w:u w:val="none"/>
        </w:rPr>
        <w:t>&gt;.</w:t>
      </w:r>
    </w:p>
  </w:footnote>
  <w:footnote w:id="48">
    <w:p w14:paraId="685FD7D1" w14:textId="50C522ED" w:rsidR="00580293" w:rsidRPr="00753425" w:rsidRDefault="00580293" w:rsidP="003E1E87">
      <w:pPr>
        <w:pStyle w:val="FootnoteText"/>
        <w:rPr>
          <w:lang w:val="es-ES"/>
        </w:rPr>
      </w:pPr>
      <w:r w:rsidRPr="003E1E87">
        <w:rPr>
          <w:rStyle w:val="FootnoteReference"/>
        </w:rPr>
        <w:footnoteRef/>
      </w:r>
      <w:r w:rsidRPr="00753425">
        <w:rPr>
          <w:lang w:val="es-ES"/>
        </w:rPr>
        <w:t xml:space="preserve"> </w:t>
      </w:r>
      <w:r w:rsidRPr="00753425">
        <w:rPr>
          <w:i/>
          <w:iCs/>
          <w:lang w:val="es-ES"/>
        </w:rPr>
        <w:t xml:space="preserve">Supra </w:t>
      </w:r>
      <w:r w:rsidRPr="00753425">
        <w:rPr>
          <w:lang w:val="es-ES"/>
        </w:rPr>
        <w:t xml:space="preserve">note </w:t>
      </w:r>
      <w:r w:rsidRPr="003E1E87">
        <w:fldChar w:fldCharType="begin"/>
      </w:r>
      <w:r w:rsidRPr="00753425">
        <w:rPr>
          <w:lang w:val="es-ES"/>
        </w:rPr>
        <w:instrText xml:space="preserve"> NOTEREF _Ref78152384 \h </w:instrText>
      </w:r>
      <w:r w:rsidRPr="003E1E87">
        <w:fldChar w:fldCharType="separate"/>
      </w:r>
      <w:r>
        <w:rPr>
          <w:lang w:val="es-ES"/>
        </w:rPr>
        <w:t>18</w:t>
      </w:r>
      <w:r w:rsidRPr="003E1E87">
        <w:fldChar w:fldCharType="end"/>
      </w:r>
      <w:r w:rsidRPr="00753425">
        <w:rPr>
          <w:lang w:val="es-ES"/>
        </w:rPr>
        <w:t xml:space="preserve">. </w:t>
      </w:r>
    </w:p>
  </w:footnote>
  <w:footnote w:id="49">
    <w:p w14:paraId="791D305C" w14:textId="7DD3D3F3" w:rsidR="00580293" w:rsidRPr="00753425" w:rsidRDefault="00580293" w:rsidP="00E160D4">
      <w:pPr>
        <w:pStyle w:val="FootnoteText"/>
        <w:rPr>
          <w:lang w:val="es-ES"/>
        </w:rPr>
      </w:pPr>
      <w:r w:rsidRPr="003E1E87">
        <w:rPr>
          <w:rStyle w:val="FootnoteReference"/>
        </w:rPr>
        <w:footnoteRef/>
      </w:r>
      <w:r w:rsidRPr="00753425">
        <w:rPr>
          <w:i/>
          <w:iCs/>
          <w:lang w:val="es-ES"/>
        </w:rPr>
        <w:t xml:space="preserve"> Alberta PIPA, supra </w:t>
      </w:r>
      <w:r w:rsidRPr="00753425">
        <w:rPr>
          <w:lang w:val="es-ES"/>
        </w:rPr>
        <w:t xml:space="preserve">note </w:t>
      </w:r>
      <w:r w:rsidRPr="003E1E87">
        <w:fldChar w:fldCharType="begin"/>
      </w:r>
      <w:r w:rsidRPr="00753425">
        <w:rPr>
          <w:lang w:val="es-ES"/>
        </w:rPr>
        <w:instrText xml:space="preserve"> NOTEREF _Ref78152384 \h </w:instrText>
      </w:r>
      <w:r w:rsidRPr="003E1E87">
        <w:fldChar w:fldCharType="separate"/>
      </w:r>
      <w:r>
        <w:rPr>
          <w:lang w:val="es-ES"/>
        </w:rPr>
        <w:t>18</w:t>
      </w:r>
      <w:r w:rsidRPr="003E1E87">
        <w:fldChar w:fldCharType="end"/>
      </w:r>
      <w:r w:rsidRPr="00753425">
        <w:rPr>
          <w:lang w:val="es-ES"/>
        </w:rPr>
        <w:t xml:space="preserve">. </w:t>
      </w:r>
    </w:p>
  </w:footnote>
  <w:footnote w:id="50">
    <w:p w14:paraId="6EFB2183" w14:textId="6B9BDC3A" w:rsidR="00580293" w:rsidRPr="003E1E87" w:rsidRDefault="00580293" w:rsidP="00E160D4">
      <w:pPr>
        <w:pStyle w:val="FootnoteText"/>
      </w:pPr>
      <w:r w:rsidRPr="003E1E87">
        <w:rPr>
          <w:rStyle w:val="FootnoteReference"/>
        </w:rPr>
        <w:footnoteRef/>
      </w:r>
      <w:r w:rsidRPr="003E1E87">
        <w:rPr>
          <w:i/>
          <w:iCs/>
        </w:rPr>
        <w:t xml:space="preserve"> </w:t>
      </w:r>
      <w:r>
        <w:rPr>
          <w:i/>
          <w:iCs/>
        </w:rPr>
        <w:t xml:space="preserve">BC PIPA, supra </w:t>
      </w:r>
      <w:r w:rsidRPr="003E1E87">
        <w:t xml:space="preserve">note </w:t>
      </w:r>
      <w:r w:rsidRPr="003E1E87">
        <w:fldChar w:fldCharType="begin"/>
      </w:r>
      <w:r w:rsidRPr="003E1E87">
        <w:instrText xml:space="preserve"> NOTEREF _Ref78152384 \h </w:instrText>
      </w:r>
      <w:r w:rsidRPr="003E1E87">
        <w:fldChar w:fldCharType="separate"/>
      </w:r>
      <w:r>
        <w:t>18</w:t>
      </w:r>
      <w:r w:rsidRPr="003E1E87">
        <w:fldChar w:fldCharType="end"/>
      </w:r>
      <w:r>
        <w:t>.</w:t>
      </w:r>
    </w:p>
  </w:footnote>
  <w:footnote w:id="51">
    <w:p w14:paraId="457B3E5C" w14:textId="4834F8F6" w:rsidR="00580293" w:rsidRPr="003E1E87" w:rsidRDefault="00580293">
      <w:pPr>
        <w:pStyle w:val="FootnoteText"/>
      </w:pPr>
      <w:r w:rsidRPr="003E1E87">
        <w:rPr>
          <w:rStyle w:val="FootnoteReference"/>
        </w:rPr>
        <w:footnoteRef/>
      </w:r>
      <w:r w:rsidRPr="003E1E87">
        <w:t xml:space="preserve"> </w:t>
      </w:r>
      <w:r w:rsidRPr="003E1E87">
        <w:rPr>
          <w:i/>
          <w:iCs/>
        </w:rPr>
        <w:t>Kugler v Newman</w:t>
      </w:r>
      <w:r w:rsidRPr="003E1E87">
        <w:t>, 2017 ABQB 536 at para 25 [</w:t>
      </w:r>
      <w:r w:rsidRPr="003E1E87">
        <w:rPr>
          <w:i/>
          <w:iCs/>
        </w:rPr>
        <w:t>Kugler</w:t>
      </w:r>
      <w:r w:rsidRPr="003E1E87">
        <w:t xml:space="preserve">].    </w:t>
      </w:r>
    </w:p>
  </w:footnote>
  <w:footnote w:id="52">
    <w:p w14:paraId="4AE924D2" w14:textId="77777777" w:rsidR="00580293" w:rsidRPr="003E1E87" w:rsidRDefault="00580293" w:rsidP="00700687">
      <w:pPr>
        <w:pStyle w:val="FootnoteText"/>
      </w:pPr>
      <w:r w:rsidRPr="003E1E87">
        <w:rPr>
          <w:rStyle w:val="FootnoteReference"/>
        </w:rPr>
        <w:footnoteRef/>
      </w:r>
      <w:r w:rsidRPr="003E1E87">
        <w:t xml:space="preserve"> </w:t>
      </w:r>
      <w:r w:rsidRPr="003E1E87">
        <w:rPr>
          <w:i/>
          <w:iCs/>
        </w:rPr>
        <w:t xml:space="preserve">Ibid </w:t>
      </w:r>
      <w:r w:rsidRPr="003E1E87">
        <w:t>at para 25.</w:t>
      </w:r>
    </w:p>
  </w:footnote>
  <w:footnote w:id="53">
    <w:p w14:paraId="677AF2DC" w14:textId="097717E9" w:rsidR="00580293" w:rsidRPr="003E1E87" w:rsidRDefault="00580293">
      <w:pPr>
        <w:pStyle w:val="FootnoteText"/>
      </w:pPr>
      <w:r w:rsidRPr="003E1E87">
        <w:rPr>
          <w:rStyle w:val="FootnoteReference"/>
        </w:rPr>
        <w:footnoteRef/>
      </w:r>
      <w:r w:rsidRPr="003E1E87">
        <w:t xml:space="preserve"> </w:t>
      </w:r>
      <w:r w:rsidRPr="003E1E87">
        <w:rPr>
          <w:i/>
          <w:iCs/>
        </w:rPr>
        <w:t>Ibid.</w:t>
      </w:r>
    </w:p>
  </w:footnote>
  <w:footnote w:id="54">
    <w:p w14:paraId="55724F42" w14:textId="7284ABF8" w:rsidR="00580293" w:rsidRPr="003E1E87" w:rsidRDefault="00580293" w:rsidP="0051037E">
      <w:pPr>
        <w:pStyle w:val="FootnoteText"/>
      </w:pPr>
      <w:r w:rsidRPr="003E1E87">
        <w:rPr>
          <w:rStyle w:val="FootnoteReference"/>
        </w:rPr>
        <w:footnoteRef/>
      </w:r>
      <w:r w:rsidRPr="003E1E87">
        <w:t xml:space="preserve"> Note as well that the British Columbia Court of Appeal in </w:t>
      </w:r>
      <w:r w:rsidRPr="003E1E87">
        <w:rPr>
          <w:i/>
          <w:iCs/>
        </w:rPr>
        <w:t>Tucci v Peoples Trust Company</w:t>
      </w:r>
      <w:r w:rsidRPr="003E1E87">
        <w:t>, 2020 BCCA 246 [</w:t>
      </w:r>
      <w:r w:rsidRPr="003E1E87">
        <w:rPr>
          <w:i/>
          <w:iCs/>
        </w:rPr>
        <w:t>Tucci</w:t>
      </w:r>
      <w:r w:rsidRPr="003E1E87">
        <w:t xml:space="preserve">] confirms in relation to a data breach that common law actions can and do survive </w:t>
      </w:r>
      <w:r w:rsidRPr="003E1E87">
        <w:rPr>
          <w:i/>
          <w:iCs/>
        </w:rPr>
        <w:t>PIPEDA</w:t>
      </w:r>
      <w:r w:rsidRPr="003E1E87">
        <w:t xml:space="preserve">, stating: “Nothing in the </w:t>
      </w:r>
      <w:hyperlink r:id="rId19" w:history="1">
        <w:r w:rsidRPr="003E1E87">
          <w:rPr>
            <w:rStyle w:val="Hyperlink"/>
            <w:i/>
            <w:iCs/>
            <w:color w:val="auto"/>
            <w:u w:val="none"/>
          </w:rPr>
          <w:t>PIPEDA</w:t>
        </w:r>
      </w:hyperlink>
      <w:r w:rsidRPr="003E1E87">
        <w:t xml:space="preserve"> suggests that it is intended to abolish existing private law duties or to eliminate the ability of aggrieved parties to pursue common law causes of action” at para 39. See, too, </w:t>
      </w:r>
      <w:r w:rsidRPr="003E1E87">
        <w:rPr>
          <w:i/>
          <w:iCs/>
        </w:rPr>
        <w:t>Jones v Tsige</w:t>
      </w:r>
      <w:r w:rsidRPr="003E1E87">
        <w:t>, 2012 ONCA 32 at para 50 [</w:t>
      </w:r>
      <w:r w:rsidRPr="003E1E87">
        <w:rPr>
          <w:i/>
          <w:iCs/>
        </w:rPr>
        <w:t>Tsige</w:t>
      </w:r>
      <w:r w:rsidRPr="003E1E87">
        <w:t xml:space="preserve">]. </w:t>
      </w:r>
    </w:p>
  </w:footnote>
  <w:footnote w:id="55">
    <w:p w14:paraId="088AD4B1" w14:textId="4D32F3FA" w:rsidR="00580293" w:rsidRPr="003E1E87" w:rsidRDefault="00580293">
      <w:pPr>
        <w:pStyle w:val="FootnoteText"/>
      </w:pPr>
      <w:r w:rsidRPr="003E1E87">
        <w:rPr>
          <w:rStyle w:val="FootnoteReference"/>
        </w:rPr>
        <w:footnoteRef/>
      </w:r>
      <w:r w:rsidRPr="003E1E87">
        <w:t xml:space="preserve"> For helpful analysis, see Barbara von </w:t>
      </w:r>
      <w:proofErr w:type="spellStart"/>
      <w:r w:rsidRPr="003E1E87">
        <w:t>Tigerstrom</w:t>
      </w:r>
      <w:proofErr w:type="spellEnd"/>
      <w:r w:rsidRPr="003E1E87">
        <w:t>, “Direct and Vicarious Liability for Tort Claims Involving Violation of Privacy” (2019) 96 Can Bar Rev 539 at 545-549.</w:t>
      </w:r>
    </w:p>
  </w:footnote>
  <w:footnote w:id="56">
    <w:p w14:paraId="1D578666" w14:textId="5941A3D5" w:rsidR="00580293" w:rsidRPr="00753425" w:rsidRDefault="00580293" w:rsidP="003E1E87">
      <w:pPr>
        <w:pStyle w:val="FootnoteText"/>
        <w:rPr>
          <w:lang w:val="es-ES"/>
        </w:rPr>
      </w:pPr>
      <w:r w:rsidRPr="003E1E87">
        <w:rPr>
          <w:rStyle w:val="FootnoteReference"/>
        </w:rPr>
        <w:footnoteRef/>
      </w:r>
      <w:r w:rsidRPr="00753425">
        <w:rPr>
          <w:lang w:val="es-ES"/>
        </w:rPr>
        <w:t xml:space="preserve"> </w:t>
      </w:r>
      <w:proofErr w:type="spellStart"/>
      <w:r w:rsidRPr="00753425">
        <w:rPr>
          <w:i/>
          <w:iCs/>
          <w:lang w:val="es-ES"/>
        </w:rPr>
        <w:t>Tsige</w:t>
      </w:r>
      <w:proofErr w:type="spellEnd"/>
      <w:r w:rsidRPr="00753425">
        <w:rPr>
          <w:i/>
          <w:iCs/>
          <w:lang w:val="es-ES"/>
        </w:rPr>
        <w:t>, supra</w:t>
      </w:r>
      <w:r w:rsidRPr="00753425">
        <w:rPr>
          <w:lang w:val="es-ES"/>
        </w:rPr>
        <w:t xml:space="preserve"> note </w:t>
      </w:r>
      <w:r w:rsidRPr="003E1E87">
        <w:fldChar w:fldCharType="begin"/>
      </w:r>
      <w:r w:rsidRPr="00753425">
        <w:rPr>
          <w:lang w:val="es-ES"/>
        </w:rPr>
        <w:instrText xml:space="preserve"> NOTEREF _Ref78152727 \h </w:instrText>
      </w:r>
      <w:r w:rsidRPr="003E1E87">
        <w:fldChar w:fldCharType="separate"/>
      </w:r>
      <w:r>
        <w:rPr>
          <w:lang w:val="es-ES"/>
        </w:rPr>
        <w:t>51</w:t>
      </w:r>
      <w:r w:rsidRPr="003E1E87">
        <w:fldChar w:fldCharType="end"/>
      </w:r>
      <w:r w:rsidRPr="00753425">
        <w:rPr>
          <w:lang w:val="es-ES"/>
        </w:rPr>
        <w:t>, at para 50</w:t>
      </w:r>
    </w:p>
  </w:footnote>
  <w:footnote w:id="57">
    <w:p w14:paraId="41CBAE5A" w14:textId="7B571885" w:rsidR="00580293" w:rsidRPr="003E1E87" w:rsidRDefault="00580293" w:rsidP="00753582">
      <w:pPr>
        <w:pStyle w:val="FootnoteText"/>
      </w:pPr>
      <w:r w:rsidRPr="003E1E87">
        <w:rPr>
          <w:rStyle w:val="FootnoteReference"/>
        </w:rPr>
        <w:footnoteRef/>
      </w:r>
      <w:r w:rsidRPr="003E1E87">
        <w:t xml:space="preserve"> See discussion </w:t>
      </w:r>
      <w:r w:rsidRPr="003E1E87">
        <w:rPr>
          <w:i/>
          <w:iCs/>
        </w:rPr>
        <w:t>infra</w:t>
      </w:r>
      <w:r w:rsidRPr="003E1E87">
        <w:t xml:space="preserve">. For example, under the tort of intrusion upon seclusion, the plaintiff has to prove that </w:t>
      </w:r>
      <w:r w:rsidR="00753582">
        <w:t>“</w:t>
      </w:r>
      <w:r w:rsidR="00753582" w:rsidRPr="003E1E87">
        <w:t xml:space="preserve">a reasonable person </w:t>
      </w:r>
      <w:r w:rsidR="00753582">
        <w:t xml:space="preserve">would regard </w:t>
      </w:r>
      <w:r w:rsidRPr="003E1E87">
        <w:t>the in</w:t>
      </w:r>
      <w:r w:rsidR="00753582">
        <w:t xml:space="preserve">vasion as </w:t>
      </w:r>
      <w:r w:rsidRPr="003E1E87">
        <w:t>highly offensive</w:t>
      </w:r>
      <w:r w:rsidR="00075F15">
        <w:t>…</w:t>
      </w:r>
      <w:r w:rsidR="00753582">
        <w:t>.”</w:t>
      </w:r>
      <w:r w:rsidRPr="003E1E87">
        <w:t xml:space="preserve"> See </w:t>
      </w:r>
      <w:r w:rsidRPr="003E1E87">
        <w:rPr>
          <w:i/>
          <w:iCs/>
        </w:rPr>
        <w:t>Tsige, ibid</w:t>
      </w:r>
      <w:r w:rsidRPr="003E1E87">
        <w:t xml:space="preserve"> at para 71.</w:t>
      </w:r>
    </w:p>
  </w:footnote>
  <w:footnote w:id="58">
    <w:p w14:paraId="507F2F98" w14:textId="44329121" w:rsidR="00580293" w:rsidRPr="003E1E87" w:rsidRDefault="00580293" w:rsidP="00996694">
      <w:pPr>
        <w:pStyle w:val="FootnoteText"/>
        <w:contextualSpacing/>
      </w:pPr>
      <w:r w:rsidRPr="003E1E87">
        <w:rPr>
          <w:rStyle w:val="FootnoteReference"/>
        </w:rPr>
        <w:footnoteRef/>
      </w:r>
      <w:r w:rsidRPr="003E1E87">
        <w:t xml:space="preserve"> </w:t>
      </w:r>
      <w:r w:rsidRPr="003E1E87">
        <w:rPr>
          <w:lang w:bidi="he-IL"/>
        </w:rPr>
        <w:t>PIPEDA, s 14(4).</w:t>
      </w:r>
    </w:p>
  </w:footnote>
  <w:footnote w:id="59">
    <w:p w14:paraId="5D13CD32" w14:textId="659F6A64" w:rsidR="00580293" w:rsidRDefault="00580293" w:rsidP="00D67764">
      <w:pPr>
        <w:pStyle w:val="FootnoteText"/>
      </w:pPr>
      <w:r>
        <w:rPr>
          <w:rStyle w:val="FootnoteReference"/>
        </w:rPr>
        <w:footnoteRef/>
      </w:r>
      <w:r>
        <w:t xml:space="preserve"> Note that the </w:t>
      </w:r>
      <w:r w:rsidRPr="00D67764">
        <w:rPr>
          <w:i/>
          <w:iCs/>
        </w:rPr>
        <w:t>CPPA</w:t>
      </w:r>
      <w:r>
        <w:t xml:space="preserve">, in s 106 (4), proposed a right of action that could have been pursued not only in federal court, but in provincial courts as well. </w:t>
      </w:r>
      <w:r w:rsidRPr="00D67764">
        <w:rPr>
          <w:i/>
          <w:iCs/>
        </w:rPr>
        <w:t>PIPEDA</w:t>
      </w:r>
      <w:r>
        <w:t xml:space="preserve"> decisions would therefore not be binding on provincial courts, and if future legislation extends a similar right, then our hope is that provincial courts would be receptive to our argument that increased quantum is needed. We thank Professor </w:t>
      </w:r>
      <w:proofErr w:type="spellStart"/>
      <w:r>
        <w:t>Scassa</w:t>
      </w:r>
      <w:proofErr w:type="spellEnd"/>
      <w:r>
        <w:t xml:space="preserve"> for bringing this point to our attention. </w:t>
      </w:r>
    </w:p>
  </w:footnote>
  <w:footnote w:id="60">
    <w:p w14:paraId="77B5547F" w14:textId="49A43D6B" w:rsidR="00580293" w:rsidRPr="003E1E87" w:rsidRDefault="00580293" w:rsidP="003F455A">
      <w:pPr>
        <w:pStyle w:val="FootnoteText"/>
        <w:contextualSpacing/>
      </w:pPr>
      <w:r w:rsidRPr="003E1E87">
        <w:rPr>
          <w:rStyle w:val="FootnoteReference"/>
        </w:rPr>
        <w:footnoteRef/>
      </w:r>
      <w:r w:rsidRPr="003E1E87">
        <w:t xml:space="preserve"> Cromwell, </w:t>
      </w:r>
      <w:r w:rsidRPr="003E1E87">
        <w:rPr>
          <w:i/>
          <w:iCs/>
        </w:rPr>
        <w:t xml:space="preserve">supra </w:t>
      </w:r>
      <w:r w:rsidRPr="003E1E87">
        <w:t xml:space="preserve">note </w:t>
      </w:r>
      <w:r w:rsidRPr="003E1E87">
        <w:fldChar w:fldCharType="begin"/>
      </w:r>
      <w:r w:rsidRPr="003E1E87">
        <w:instrText xml:space="preserve"> NOTEREF _Ref78152746 \h </w:instrText>
      </w:r>
      <w:r w:rsidRPr="003E1E87">
        <w:fldChar w:fldCharType="separate"/>
      </w:r>
      <w:r>
        <w:t>14</w:t>
      </w:r>
      <w:r w:rsidRPr="003E1E87">
        <w:fldChar w:fldCharType="end"/>
      </w:r>
      <w:r w:rsidRPr="003E1E87">
        <w:t>.</w:t>
      </w:r>
    </w:p>
  </w:footnote>
  <w:footnote w:id="61">
    <w:p w14:paraId="7D4A971F" w14:textId="07F83313" w:rsidR="00580293" w:rsidRPr="003E1E87" w:rsidRDefault="00580293" w:rsidP="004B0027">
      <w:pPr>
        <w:pStyle w:val="FootnoteText"/>
      </w:pPr>
      <w:r w:rsidRPr="003E1E87">
        <w:rPr>
          <w:rStyle w:val="FootnoteReference"/>
        </w:rPr>
        <w:footnoteRef/>
      </w:r>
      <w:r w:rsidRPr="003E1E87">
        <w:t xml:space="preserve"> </w:t>
      </w:r>
      <w:r w:rsidRPr="003E1E87">
        <w:rPr>
          <w:i/>
          <w:iCs/>
        </w:rPr>
        <w:t>Ibid</w:t>
      </w:r>
      <w:r w:rsidRPr="003E1E87">
        <w:t xml:space="preserve"> at I-1.</w:t>
      </w:r>
    </w:p>
  </w:footnote>
  <w:footnote w:id="62">
    <w:p w14:paraId="5EA0F4BB" w14:textId="25072EEA" w:rsidR="00580293" w:rsidRPr="003E1E87" w:rsidRDefault="00580293">
      <w:pPr>
        <w:pStyle w:val="FootnoteText"/>
      </w:pPr>
      <w:r w:rsidRPr="003E1E87">
        <w:rPr>
          <w:rStyle w:val="FootnoteReference"/>
        </w:rPr>
        <w:footnoteRef/>
      </w:r>
      <w:r w:rsidRPr="003E1E87">
        <w:t xml:space="preserve"> </w:t>
      </w:r>
      <w:r w:rsidRPr="003E1E87">
        <w:rPr>
          <w:i/>
          <w:iCs/>
        </w:rPr>
        <w:t xml:space="preserve">Ibid </w:t>
      </w:r>
      <w:r w:rsidRPr="003E1E87">
        <w:t>at I-2.</w:t>
      </w:r>
    </w:p>
  </w:footnote>
  <w:footnote w:id="63">
    <w:p w14:paraId="49950F35" w14:textId="77777777" w:rsidR="00580293" w:rsidRPr="003E1E87" w:rsidRDefault="00580293" w:rsidP="004A1C82">
      <w:pPr>
        <w:pStyle w:val="FootnoteText"/>
      </w:pPr>
      <w:r w:rsidRPr="003E1E87">
        <w:rPr>
          <w:rStyle w:val="FootnoteReference"/>
        </w:rPr>
        <w:footnoteRef/>
      </w:r>
      <w:r w:rsidRPr="003E1E87">
        <w:t xml:space="preserve"> </w:t>
      </w:r>
      <w:r w:rsidRPr="003E1E87">
        <w:rPr>
          <w:i/>
          <w:iCs/>
        </w:rPr>
        <w:t>Ibid</w:t>
      </w:r>
      <w:r w:rsidRPr="003E1E87">
        <w:t xml:space="preserve"> at I-26.</w:t>
      </w:r>
    </w:p>
  </w:footnote>
  <w:footnote w:id="64">
    <w:p w14:paraId="7749CA97" w14:textId="77777777" w:rsidR="00580293" w:rsidRPr="003E1E87" w:rsidRDefault="00580293" w:rsidP="00C24289">
      <w:pPr>
        <w:pStyle w:val="FootnoteText"/>
      </w:pPr>
      <w:r w:rsidRPr="003E1E87">
        <w:rPr>
          <w:rStyle w:val="FootnoteReference"/>
        </w:rPr>
        <w:footnoteRef/>
      </w:r>
      <w:r w:rsidRPr="003E1E87">
        <w:t xml:space="preserve"> Referencing privacy law in particular, Jason N E </w:t>
      </w:r>
      <w:proofErr w:type="spellStart"/>
      <w:r w:rsidRPr="003E1E87">
        <w:t>Varuhas</w:t>
      </w:r>
      <w:proofErr w:type="spellEnd"/>
      <w:r w:rsidRPr="003E1E87">
        <w:t xml:space="preserve"> and N A </w:t>
      </w:r>
      <w:proofErr w:type="spellStart"/>
      <w:r w:rsidRPr="003E1E87">
        <w:t>Moreham</w:t>
      </w:r>
      <w:proofErr w:type="spellEnd"/>
      <w:r w:rsidRPr="003E1E87">
        <w:t xml:space="preserve">, conclude that the common law “continues to observe the connection between right and remedy as fundamental reasons of principle and pragmatism. If remedies were informed by policies with no connection to the normative concerns unpinning recognition of a law of privacy in the first place, the law’s goals would be frustrated.” See Jason N E </w:t>
      </w:r>
      <w:proofErr w:type="spellStart"/>
      <w:r w:rsidRPr="003E1E87">
        <w:t>Varuhas</w:t>
      </w:r>
      <w:proofErr w:type="spellEnd"/>
      <w:r w:rsidRPr="003E1E87">
        <w:t xml:space="preserve"> and N A </w:t>
      </w:r>
      <w:proofErr w:type="spellStart"/>
      <w:r w:rsidRPr="003E1E87">
        <w:t>Moreham</w:t>
      </w:r>
      <w:proofErr w:type="spellEnd"/>
      <w:r w:rsidRPr="003E1E87">
        <w:t xml:space="preserve">, “Remedies for Breach of Privacy” in Jason N E </w:t>
      </w:r>
      <w:proofErr w:type="spellStart"/>
      <w:r w:rsidRPr="003E1E87">
        <w:t>Varuhas</w:t>
      </w:r>
      <w:proofErr w:type="spellEnd"/>
      <w:r w:rsidRPr="003E1E87">
        <w:t xml:space="preserve"> and N A </w:t>
      </w:r>
      <w:proofErr w:type="spellStart"/>
      <w:r w:rsidRPr="003E1E87">
        <w:t>Moreham</w:t>
      </w:r>
      <w:proofErr w:type="spellEnd"/>
      <w:r w:rsidRPr="003E1E87">
        <w:t xml:space="preserve">, </w:t>
      </w:r>
      <w:proofErr w:type="spellStart"/>
      <w:r w:rsidRPr="003E1E87">
        <w:t>eds</w:t>
      </w:r>
      <w:proofErr w:type="spellEnd"/>
      <w:r w:rsidRPr="003E1E87">
        <w:t xml:space="preserve">, </w:t>
      </w:r>
      <w:r w:rsidRPr="003E1E87">
        <w:rPr>
          <w:i/>
          <w:iCs/>
        </w:rPr>
        <w:t>Remedies for Breach of Privacy</w:t>
      </w:r>
      <w:r w:rsidRPr="003E1E87">
        <w:t xml:space="preserve"> (London: Hart, 2018) 1 at 5. </w:t>
      </w:r>
    </w:p>
  </w:footnote>
  <w:footnote w:id="65">
    <w:p w14:paraId="214B4526" w14:textId="2D9570E7" w:rsidR="00580293" w:rsidRPr="003E1E87" w:rsidRDefault="00580293">
      <w:pPr>
        <w:pStyle w:val="FootnoteText"/>
      </w:pPr>
      <w:r w:rsidRPr="003E1E87">
        <w:rPr>
          <w:rStyle w:val="FootnoteReference"/>
        </w:rPr>
        <w:footnoteRef/>
      </w:r>
      <w:r w:rsidRPr="003E1E87">
        <w:t xml:space="preserve"> </w:t>
      </w:r>
      <w:r w:rsidRPr="003E1E87">
        <w:rPr>
          <w:i/>
          <w:iCs/>
        </w:rPr>
        <w:t>Vancouver (City) v Ward</w:t>
      </w:r>
      <w:r w:rsidRPr="003E1E87">
        <w:t>, 2010 SCC 27 [</w:t>
      </w:r>
      <w:r w:rsidRPr="003E1E87">
        <w:rPr>
          <w:i/>
          <w:iCs/>
        </w:rPr>
        <w:t>Ward</w:t>
      </w:r>
      <w:r w:rsidRPr="003E1E87">
        <w:t>].</w:t>
      </w:r>
    </w:p>
  </w:footnote>
  <w:footnote w:id="66">
    <w:p w14:paraId="59B3B83B" w14:textId="5F47A6D9" w:rsidR="00580293" w:rsidRPr="00D753C4" w:rsidRDefault="00580293" w:rsidP="00E160D4">
      <w:pPr>
        <w:pStyle w:val="FootnoteText"/>
      </w:pPr>
      <w:r w:rsidRPr="003E1E87">
        <w:rPr>
          <w:rStyle w:val="FootnoteReference"/>
        </w:rPr>
        <w:footnoteRef/>
      </w:r>
      <w:r w:rsidRPr="003E1E87">
        <w:t xml:space="preserve"> Section 24(1) provides as follows: “Anyone whose rights or freedoms, as guaranteed by this Charter, have been infringed or denied may apply to a court of competent jurisdiction to obtain such remedy as the court considers appropriate and just in the circumstances.” See </w:t>
      </w:r>
      <w:r w:rsidRPr="003E1E87">
        <w:rPr>
          <w:i/>
          <w:iCs/>
        </w:rPr>
        <w:t xml:space="preserve">Canadian Charter of Rights and Freedoms, s </w:t>
      </w:r>
      <w:r>
        <w:rPr>
          <w:i/>
          <w:iCs/>
        </w:rPr>
        <w:t>24 (1)</w:t>
      </w:r>
      <w:r w:rsidRPr="003E1E87">
        <w:rPr>
          <w:i/>
          <w:iCs/>
        </w:rPr>
        <w:t>, Part 1 of the Constitution Act</w:t>
      </w:r>
      <w:r w:rsidRPr="003E1E87">
        <w:t xml:space="preserve">, 1982, being Schedule B to the </w:t>
      </w:r>
      <w:r w:rsidRPr="003E1E87">
        <w:rPr>
          <w:i/>
          <w:iCs/>
        </w:rPr>
        <w:t>Canada Act</w:t>
      </w:r>
      <w:r w:rsidRPr="003E1E87">
        <w:t xml:space="preserve"> 1982 (UK), 1982, c 11</w:t>
      </w:r>
      <w:r>
        <w:t xml:space="preserve"> [</w:t>
      </w:r>
      <w:r>
        <w:rPr>
          <w:i/>
          <w:iCs/>
        </w:rPr>
        <w:t>Charter</w:t>
      </w:r>
      <w:r>
        <w:t>].</w:t>
      </w:r>
    </w:p>
  </w:footnote>
  <w:footnote w:id="67">
    <w:p w14:paraId="3782EA67" w14:textId="51D09213" w:rsidR="00580293" w:rsidRPr="003E1E87" w:rsidRDefault="00580293">
      <w:pPr>
        <w:pStyle w:val="FootnoteText"/>
      </w:pPr>
      <w:r w:rsidRPr="003E1E87">
        <w:rPr>
          <w:rStyle w:val="FootnoteReference"/>
        </w:rPr>
        <w:footnoteRef/>
      </w:r>
      <w:r w:rsidRPr="003E1E87">
        <w:t xml:space="preserve"> Cromwell, </w:t>
      </w:r>
      <w:r w:rsidRPr="003E1E87">
        <w:rPr>
          <w:i/>
          <w:iCs/>
        </w:rPr>
        <w:t xml:space="preserve">supra </w:t>
      </w:r>
      <w:r w:rsidRPr="003E1E87">
        <w:t xml:space="preserve">note </w:t>
      </w:r>
      <w:r w:rsidRPr="003E1E87">
        <w:fldChar w:fldCharType="begin"/>
      </w:r>
      <w:r w:rsidRPr="003E1E87">
        <w:instrText xml:space="preserve"> NOTEREF _Ref78152746 \h </w:instrText>
      </w:r>
      <w:r w:rsidRPr="003E1E87">
        <w:fldChar w:fldCharType="separate"/>
      </w:r>
      <w:r>
        <w:t>14</w:t>
      </w:r>
      <w:r w:rsidRPr="003E1E87">
        <w:fldChar w:fldCharType="end"/>
      </w:r>
      <w:r w:rsidRPr="003E1E87">
        <w:t>, at I-23.</w:t>
      </w:r>
    </w:p>
  </w:footnote>
  <w:footnote w:id="68">
    <w:p w14:paraId="170E0FE1" w14:textId="44DAB8DA" w:rsidR="00580293" w:rsidRPr="003E1E87" w:rsidRDefault="00580293">
      <w:pPr>
        <w:pStyle w:val="FootnoteText"/>
      </w:pPr>
      <w:r w:rsidRPr="003E1E87">
        <w:rPr>
          <w:rStyle w:val="FootnoteReference"/>
        </w:rPr>
        <w:footnoteRef/>
      </w:r>
      <w:r w:rsidRPr="003E1E87">
        <w:t xml:space="preserve"> </w:t>
      </w:r>
      <w:r w:rsidRPr="003E1E87">
        <w:rPr>
          <w:i/>
          <w:iCs/>
        </w:rPr>
        <w:t xml:space="preserve">Ibid </w:t>
      </w:r>
      <w:r w:rsidRPr="003E1E87">
        <w:t>at I-24.</w:t>
      </w:r>
    </w:p>
  </w:footnote>
  <w:footnote w:id="69">
    <w:p w14:paraId="704A953F" w14:textId="795A56F6" w:rsidR="00580293" w:rsidRPr="003E1E87" w:rsidRDefault="00580293">
      <w:pPr>
        <w:pStyle w:val="FootnoteText"/>
      </w:pPr>
      <w:r w:rsidRPr="003E1E87">
        <w:rPr>
          <w:rStyle w:val="FootnoteReference"/>
        </w:rPr>
        <w:footnoteRef/>
      </w:r>
      <w:r w:rsidRPr="003E1E87">
        <w:t xml:space="preserve"> </w:t>
      </w:r>
      <w:r w:rsidRPr="003E1E87">
        <w:rPr>
          <w:i/>
          <w:iCs/>
        </w:rPr>
        <w:t xml:space="preserve">Ibid </w:t>
      </w:r>
      <w:r w:rsidRPr="003E1E87">
        <w:t>at I-17.</w:t>
      </w:r>
    </w:p>
  </w:footnote>
  <w:footnote w:id="70">
    <w:p w14:paraId="2AEBE029" w14:textId="78A46FD2" w:rsidR="00580293" w:rsidRPr="003E1E87" w:rsidRDefault="00580293" w:rsidP="003F455A">
      <w:pPr>
        <w:pStyle w:val="FootnoteText"/>
      </w:pPr>
      <w:r w:rsidRPr="003E1E87">
        <w:rPr>
          <w:rStyle w:val="FootnoteReference"/>
        </w:rPr>
        <w:footnoteRef/>
      </w:r>
      <w:r w:rsidRPr="003E1E87">
        <w:t xml:space="preserve"> </w:t>
      </w:r>
      <w:r w:rsidRPr="003E1E87">
        <w:rPr>
          <w:i/>
          <w:iCs/>
        </w:rPr>
        <w:t xml:space="preserve">Ibid </w:t>
      </w:r>
      <w:r w:rsidRPr="003E1E87">
        <w:t>at I-26.</w:t>
      </w:r>
    </w:p>
  </w:footnote>
  <w:footnote w:id="71">
    <w:p w14:paraId="55364C78" w14:textId="3EF5F023" w:rsidR="00580293" w:rsidRPr="003E1E87" w:rsidRDefault="00580293">
      <w:pPr>
        <w:pStyle w:val="FootnoteText"/>
      </w:pPr>
      <w:r w:rsidRPr="003E1E87">
        <w:rPr>
          <w:rStyle w:val="FootnoteReference"/>
        </w:rPr>
        <w:footnoteRef/>
      </w:r>
      <w:r w:rsidRPr="003E1E87">
        <w:t xml:space="preserve"> </w:t>
      </w:r>
      <w:r w:rsidRPr="003E1E87">
        <w:rPr>
          <w:i/>
          <w:iCs/>
        </w:rPr>
        <w:t xml:space="preserve">Ibid </w:t>
      </w:r>
      <w:r w:rsidRPr="003E1E87">
        <w:t>at I-17.</w:t>
      </w:r>
    </w:p>
  </w:footnote>
  <w:footnote w:id="72">
    <w:p w14:paraId="68C40467" w14:textId="5A7C3381" w:rsidR="00580293" w:rsidRPr="003E1E87" w:rsidRDefault="00580293" w:rsidP="008B620A">
      <w:pPr>
        <w:pStyle w:val="FootnoteText"/>
      </w:pPr>
      <w:r w:rsidRPr="003E1E87">
        <w:rPr>
          <w:rStyle w:val="FootnoteReference"/>
        </w:rPr>
        <w:footnoteRef/>
      </w:r>
      <w:r w:rsidRPr="003E1E87">
        <w:t xml:space="preserve"> </w:t>
      </w:r>
      <w:r w:rsidRPr="003E1E87">
        <w:rPr>
          <w:i/>
          <w:iCs/>
        </w:rPr>
        <w:t xml:space="preserve">Ibid </w:t>
      </w:r>
      <w:r w:rsidRPr="003E1E87">
        <w:t>at I-20.</w:t>
      </w:r>
    </w:p>
  </w:footnote>
  <w:footnote w:id="73">
    <w:p w14:paraId="6AF86DB3" w14:textId="4EAA5131" w:rsidR="00580293" w:rsidRPr="003E1E87" w:rsidRDefault="00580293" w:rsidP="001343C7">
      <w:pPr>
        <w:spacing w:after="0"/>
      </w:pPr>
      <w:r w:rsidRPr="003E1E87">
        <w:rPr>
          <w:rStyle w:val="FootnoteReference"/>
        </w:rPr>
        <w:footnoteRef/>
      </w:r>
      <w:r w:rsidRPr="003E1E87">
        <w:rPr>
          <w:sz w:val="20"/>
          <w:szCs w:val="20"/>
        </w:rPr>
        <w:t xml:space="preserve"> </w:t>
      </w:r>
      <w:r w:rsidRPr="003E1E87">
        <w:rPr>
          <w:i/>
          <w:iCs/>
          <w:sz w:val="20"/>
          <w:szCs w:val="20"/>
        </w:rPr>
        <w:t>PIPEDA</w:t>
      </w:r>
      <w:r w:rsidRPr="003E1E87">
        <w:rPr>
          <w:sz w:val="20"/>
          <w:szCs w:val="20"/>
        </w:rPr>
        <w:t xml:space="preserve">, s 3. </w:t>
      </w:r>
    </w:p>
  </w:footnote>
  <w:footnote w:id="74">
    <w:p w14:paraId="221F67FC" w14:textId="727190EC" w:rsidR="00580293" w:rsidRPr="003E1E87" w:rsidRDefault="00580293" w:rsidP="00204C9D">
      <w:pPr>
        <w:spacing w:after="0"/>
      </w:pPr>
      <w:r w:rsidRPr="003E1E87">
        <w:rPr>
          <w:rStyle w:val="FootnoteReference"/>
        </w:rPr>
        <w:footnoteRef/>
      </w:r>
      <w:r w:rsidRPr="003E1E87">
        <w:t xml:space="preserve"> </w:t>
      </w:r>
      <w:r w:rsidRPr="003E1E87">
        <w:rPr>
          <w:i/>
          <w:iCs/>
          <w:sz w:val="20"/>
          <w:szCs w:val="20"/>
        </w:rPr>
        <w:t>PIPEDA</w:t>
      </w:r>
      <w:r w:rsidRPr="003E1E87">
        <w:rPr>
          <w:sz w:val="20"/>
          <w:szCs w:val="20"/>
        </w:rPr>
        <w:t>, s 3.</w:t>
      </w:r>
    </w:p>
  </w:footnote>
  <w:footnote w:id="75">
    <w:p w14:paraId="6E03BDEA" w14:textId="6F0D33B7" w:rsidR="00580293" w:rsidRPr="003E1E87" w:rsidRDefault="00580293" w:rsidP="00FF56B1">
      <w:pPr>
        <w:pStyle w:val="FootnoteText"/>
      </w:pPr>
      <w:r w:rsidRPr="003E1E87">
        <w:rPr>
          <w:rStyle w:val="FootnoteReference"/>
        </w:rPr>
        <w:footnoteRef/>
      </w:r>
      <w:r w:rsidRPr="003E1E87">
        <w:t xml:space="preserve"> </w:t>
      </w:r>
      <w:proofErr w:type="spellStart"/>
      <w:r w:rsidRPr="00B661B9">
        <w:rPr>
          <w:i/>
          <w:iCs/>
        </w:rPr>
        <w:t>Nammo</w:t>
      </w:r>
      <w:proofErr w:type="spellEnd"/>
      <w:r w:rsidRPr="00B661B9">
        <w:rPr>
          <w:i/>
          <w:iCs/>
        </w:rPr>
        <w:t xml:space="preserve"> v TransUnion of Canada Inc</w:t>
      </w:r>
      <w:r w:rsidRPr="003E1E87">
        <w:t>, 2010 FC 1284 at para 3</w:t>
      </w:r>
      <w:r>
        <w:t>4</w:t>
      </w:r>
      <w:r w:rsidRPr="003E1E87">
        <w:t xml:space="preserve"> [</w:t>
      </w:r>
      <w:proofErr w:type="spellStart"/>
      <w:r w:rsidRPr="003E1E87">
        <w:rPr>
          <w:i/>
          <w:iCs/>
        </w:rPr>
        <w:t>Nammo</w:t>
      </w:r>
      <w:proofErr w:type="spellEnd"/>
      <w:r w:rsidRPr="003E1E87">
        <w:t>]</w:t>
      </w:r>
      <w:r w:rsidRPr="003E1E87">
        <w:rPr>
          <w:i/>
          <w:iCs/>
        </w:rPr>
        <w:t>,</w:t>
      </w:r>
      <w:r w:rsidRPr="003E1E87">
        <w:t xml:space="preserve"> quoting the</w:t>
      </w:r>
      <w:r>
        <w:t xml:space="preserve"> Privacy Commissioner of Canada (PCC) </w:t>
      </w:r>
      <w:r w:rsidRPr="003E1E87">
        <w:t>in its Report with approval.</w:t>
      </w:r>
    </w:p>
  </w:footnote>
  <w:footnote w:id="76">
    <w:p w14:paraId="2BDCAF14" w14:textId="4ADA76B8" w:rsidR="00580293" w:rsidRPr="003E1E87" w:rsidRDefault="00580293" w:rsidP="000D489E">
      <w:pPr>
        <w:pStyle w:val="FootnoteText"/>
      </w:pPr>
      <w:r w:rsidRPr="003E1E87">
        <w:rPr>
          <w:rStyle w:val="FootnoteReference"/>
        </w:rPr>
        <w:footnoteRef/>
      </w:r>
      <w:r w:rsidRPr="003E1E87">
        <w:t xml:space="preserve"> As the court in </w:t>
      </w:r>
      <w:proofErr w:type="spellStart"/>
      <w:r w:rsidRPr="003E1E87">
        <w:rPr>
          <w:i/>
          <w:iCs/>
        </w:rPr>
        <w:t>Nammo</w:t>
      </w:r>
      <w:proofErr w:type="spellEnd"/>
      <w:r w:rsidRPr="003E1E87">
        <w:t xml:space="preserve"> observes, </w:t>
      </w:r>
      <w:r w:rsidRPr="003E1E87">
        <w:rPr>
          <w:i/>
          <w:iCs/>
        </w:rPr>
        <w:t>ibid</w:t>
      </w:r>
      <w:r w:rsidRPr="003E1E87">
        <w:t xml:space="preserve"> at para 33, were it otherwise, industry would be setting standards for </w:t>
      </w:r>
      <w:r w:rsidRPr="003E1E87">
        <w:rPr>
          <w:i/>
          <w:iCs/>
        </w:rPr>
        <w:t>PIPEDA</w:t>
      </w:r>
      <w:r w:rsidRPr="003E1E87">
        <w:t xml:space="preserve"> and Canadians would effectively be deprived “of the ability to challenge industry standards as violating </w:t>
      </w:r>
      <w:r w:rsidRPr="003E1E87">
        <w:rPr>
          <w:i/>
          <w:iCs/>
        </w:rPr>
        <w:t>PIPEDA</w:t>
      </w:r>
      <w:r w:rsidRPr="003E1E87">
        <w:t xml:space="preserve">.” </w:t>
      </w:r>
    </w:p>
  </w:footnote>
  <w:footnote w:id="77">
    <w:p w14:paraId="2E57B30A" w14:textId="33AFB897" w:rsidR="00580293" w:rsidRPr="003E1E87" w:rsidRDefault="00580293" w:rsidP="000D489E">
      <w:pPr>
        <w:pStyle w:val="FootnoteText"/>
      </w:pPr>
      <w:r w:rsidRPr="003E1E87">
        <w:rPr>
          <w:rStyle w:val="FootnoteReference"/>
        </w:rPr>
        <w:footnoteRef/>
      </w:r>
      <w:r w:rsidRPr="003E1E87">
        <w:t xml:space="preserve"> </w:t>
      </w:r>
      <w:r w:rsidRPr="003E1E87">
        <w:rPr>
          <w:i/>
          <w:iCs/>
        </w:rPr>
        <w:t xml:space="preserve">Ibid </w:t>
      </w:r>
      <w:r w:rsidRPr="003E1E87">
        <w:t>at para 34, quoting the PCC in its Report with approval.</w:t>
      </w:r>
    </w:p>
  </w:footnote>
  <w:footnote w:id="78">
    <w:p w14:paraId="7DA673A7" w14:textId="02EBC17B" w:rsidR="00580293" w:rsidRPr="003E1E87" w:rsidRDefault="00580293" w:rsidP="00FF56B1">
      <w:pPr>
        <w:pStyle w:val="FootnoteText"/>
      </w:pPr>
      <w:r w:rsidRPr="003E1E87">
        <w:rPr>
          <w:rStyle w:val="FootnoteReference"/>
        </w:rPr>
        <w:footnoteRef/>
      </w:r>
      <w:r w:rsidRPr="003E1E87">
        <w:t xml:space="preserve"> </w:t>
      </w:r>
      <w:r w:rsidRPr="003E1E87">
        <w:rPr>
          <w:rStyle w:val="colorfulgrid-accent1char"/>
          <w:i/>
          <w:iCs/>
        </w:rPr>
        <w:t>Townsend v Sun Life Financial,</w:t>
      </w:r>
      <w:r w:rsidRPr="003E1E87">
        <w:t xml:space="preserve"> </w:t>
      </w:r>
      <w:hyperlink r:id="rId20" w:history="1">
        <w:r w:rsidRPr="003E1E87">
          <w:rPr>
            <w:rStyle w:val="colorfulgrid-accent1char"/>
          </w:rPr>
          <w:t>2012 FC 550</w:t>
        </w:r>
      </w:hyperlink>
      <w:r w:rsidRPr="003E1E87">
        <w:rPr>
          <w:rStyle w:val="colorfulgrid-accent1char"/>
        </w:rPr>
        <w:t xml:space="preserve"> </w:t>
      </w:r>
      <w:r w:rsidRPr="003E1E87">
        <w:t xml:space="preserve">at para 34 </w:t>
      </w:r>
      <w:r w:rsidRPr="003E1E87">
        <w:rPr>
          <w:rStyle w:val="colorfulgrid-accent1char"/>
        </w:rPr>
        <w:t>[</w:t>
      </w:r>
      <w:r w:rsidRPr="003E1E87">
        <w:rPr>
          <w:rStyle w:val="colorfulgrid-accent1char"/>
          <w:i/>
          <w:iCs/>
        </w:rPr>
        <w:t>Townsend</w:t>
      </w:r>
      <w:r w:rsidRPr="003E1E87">
        <w:rPr>
          <w:rStyle w:val="colorfulgrid-accent1char"/>
        </w:rPr>
        <w:t>]</w:t>
      </w:r>
      <w:r w:rsidRPr="003E1E87">
        <w:t xml:space="preserve">. </w:t>
      </w:r>
    </w:p>
  </w:footnote>
  <w:footnote w:id="79">
    <w:p w14:paraId="6C755D8D" w14:textId="47707E88" w:rsidR="00580293" w:rsidRPr="003E1E87" w:rsidRDefault="00580293">
      <w:pPr>
        <w:pStyle w:val="FootnoteText"/>
      </w:pPr>
      <w:r w:rsidRPr="003E1E87">
        <w:rPr>
          <w:rStyle w:val="FootnoteReference"/>
        </w:rPr>
        <w:footnoteRef/>
      </w:r>
      <w:r w:rsidRPr="003E1E87">
        <w:t xml:space="preserve"> </w:t>
      </w:r>
      <w:r w:rsidRPr="003E1E87">
        <w:rPr>
          <w:i/>
          <w:iCs/>
        </w:rPr>
        <w:t>Ibid</w:t>
      </w:r>
      <w:r w:rsidRPr="003E1E87">
        <w:t xml:space="preserve"> at para 38. </w:t>
      </w:r>
    </w:p>
  </w:footnote>
  <w:footnote w:id="80">
    <w:p w14:paraId="2B429F0C" w14:textId="724A34DD" w:rsidR="00580293" w:rsidRPr="003E1E87" w:rsidRDefault="00580293">
      <w:pPr>
        <w:pStyle w:val="FootnoteText"/>
      </w:pPr>
      <w:r w:rsidRPr="003E1E87">
        <w:rPr>
          <w:rStyle w:val="FootnoteReference"/>
        </w:rPr>
        <w:footnoteRef/>
      </w:r>
      <w:r w:rsidRPr="003E1E87">
        <w:t xml:space="preserve"> </w:t>
      </w:r>
      <w:r w:rsidRPr="003E1E87">
        <w:rPr>
          <w:i/>
          <w:iCs/>
        </w:rPr>
        <w:t xml:space="preserve">Ibid </w:t>
      </w:r>
      <w:r w:rsidRPr="003E1E87">
        <w:t>at para 34.</w:t>
      </w:r>
    </w:p>
  </w:footnote>
  <w:footnote w:id="81">
    <w:p w14:paraId="4BBFDDDA" w14:textId="6E988B5E" w:rsidR="00580293" w:rsidRPr="003E1E87" w:rsidRDefault="00580293" w:rsidP="003E1E87">
      <w:pPr>
        <w:pStyle w:val="FootnoteText"/>
      </w:pPr>
      <w:r w:rsidRPr="003E1E87">
        <w:rPr>
          <w:rStyle w:val="FootnoteReference"/>
        </w:rPr>
        <w:footnoteRef/>
      </w:r>
      <w:r w:rsidRPr="003E1E87">
        <w:t xml:space="preserve"> </w:t>
      </w:r>
      <w:proofErr w:type="spellStart"/>
      <w:r w:rsidRPr="003E1E87">
        <w:rPr>
          <w:i/>
          <w:iCs/>
        </w:rPr>
        <w:t>Nammo</w:t>
      </w:r>
      <w:proofErr w:type="spellEnd"/>
      <w:r w:rsidRPr="003E1E87">
        <w:rPr>
          <w:i/>
          <w:iCs/>
        </w:rPr>
        <w:t>,</w:t>
      </w:r>
      <w:r w:rsidRPr="003E1E87">
        <w:t xml:space="preserve"> </w:t>
      </w:r>
      <w:r w:rsidRPr="003E1E87">
        <w:rPr>
          <w:i/>
          <w:iCs/>
        </w:rPr>
        <w:t>supra</w:t>
      </w:r>
      <w:r w:rsidRPr="003E1E87">
        <w:t xml:space="preserve"> note </w:t>
      </w:r>
      <w:r w:rsidRPr="003E1E87">
        <w:fldChar w:fldCharType="begin"/>
      </w:r>
      <w:r w:rsidRPr="003E1E87">
        <w:instrText xml:space="preserve"> NOTEREF _Ref78152819 \h </w:instrText>
      </w:r>
      <w:r w:rsidRPr="003E1E87">
        <w:fldChar w:fldCharType="separate"/>
      </w:r>
      <w:r>
        <w:t>72</w:t>
      </w:r>
      <w:r w:rsidRPr="003E1E87">
        <w:fldChar w:fldCharType="end"/>
      </w:r>
      <w:r w:rsidRPr="003E1E87">
        <w:t>, at para 77.</w:t>
      </w:r>
    </w:p>
  </w:footnote>
  <w:footnote w:id="82">
    <w:p w14:paraId="0D8A05CE" w14:textId="5DB97CE0" w:rsidR="00580293" w:rsidRPr="003E1E87" w:rsidRDefault="00580293">
      <w:pPr>
        <w:pStyle w:val="FootnoteText"/>
      </w:pPr>
      <w:r w:rsidRPr="003E1E87">
        <w:rPr>
          <w:rStyle w:val="FootnoteReference"/>
        </w:rPr>
        <w:footnoteRef/>
      </w:r>
      <w:r w:rsidRPr="003E1E87">
        <w:t xml:space="preserve"> </w:t>
      </w:r>
      <w:r w:rsidRPr="003E1E87">
        <w:rPr>
          <w:i/>
          <w:iCs/>
        </w:rPr>
        <w:t>Ibid</w:t>
      </w:r>
      <w:r w:rsidRPr="003E1E87">
        <w:t>.</w:t>
      </w:r>
    </w:p>
  </w:footnote>
  <w:footnote w:id="83">
    <w:p w14:paraId="6717238E" w14:textId="229C4F3D" w:rsidR="00580293" w:rsidRPr="003E1E87" w:rsidRDefault="00580293" w:rsidP="003E1E87">
      <w:pPr>
        <w:spacing w:after="0"/>
      </w:pPr>
      <w:r w:rsidRPr="003E1E87">
        <w:rPr>
          <w:rStyle w:val="FootnoteReference"/>
          <w:sz w:val="20"/>
          <w:szCs w:val="20"/>
        </w:rPr>
        <w:footnoteRef/>
      </w:r>
      <w:r w:rsidRPr="003E1E87">
        <w:rPr>
          <w:sz w:val="20"/>
          <w:szCs w:val="20"/>
        </w:rPr>
        <w:t xml:space="preserve"> </w:t>
      </w:r>
      <w:r w:rsidRPr="003E1E87">
        <w:rPr>
          <w:i/>
          <w:iCs/>
          <w:sz w:val="20"/>
          <w:szCs w:val="20"/>
        </w:rPr>
        <w:t xml:space="preserve">Blum, supra </w:t>
      </w:r>
      <w:r w:rsidRPr="003E1E87">
        <w:rPr>
          <w:sz w:val="20"/>
          <w:szCs w:val="20"/>
        </w:rPr>
        <w:t xml:space="preserve">note </w:t>
      </w:r>
      <w:r w:rsidRPr="003E1E87">
        <w:rPr>
          <w:sz w:val="20"/>
          <w:szCs w:val="20"/>
        </w:rPr>
        <w:fldChar w:fldCharType="begin"/>
      </w:r>
      <w:r w:rsidRPr="003E1E87">
        <w:rPr>
          <w:sz w:val="20"/>
          <w:szCs w:val="20"/>
        </w:rPr>
        <w:instrText xml:space="preserve"> NOTEREF _Ref78152450 \h </w:instrText>
      </w:r>
      <w:r w:rsidRPr="003E1E87">
        <w:rPr>
          <w:sz w:val="20"/>
          <w:szCs w:val="20"/>
        </w:rPr>
      </w:r>
      <w:r w:rsidRPr="003E1E87">
        <w:rPr>
          <w:sz w:val="20"/>
          <w:szCs w:val="20"/>
        </w:rPr>
        <w:fldChar w:fldCharType="separate"/>
      </w:r>
      <w:r>
        <w:rPr>
          <w:sz w:val="20"/>
          <w:szCs w:val="20"/>
        </w:rPr>
        <w:t>21</w:t>
      </w:r>
      <w:r w:rsidRPr="003E1E87">
        <w:rPr>
          <w:sz w:val="20"/>
          <w:szCs w:val="20"/>
        </w:rPr>
        <w:fldChar w:fldCharType="end"/>
      </w:r>
      <w:r w:rsidRPr="003E1E87">
        <w:rPr>
          <w:sz w:val="20"/>
          <w:szCs w:val="20"/>
        </w:rPr>
        <w:t xml:space="preserve">, at para 60. </w:t>
      </w:r>
    </w:p>
  </w:footnote>
  <w:footnote w:id="84">
    <w:p w14:paraId="4E0EE9DA" w14:textId="22306EB9" w:rsidR="00580293" w:rsidRPr="003E1E87" w:rsidRDefault="00580293" w:rsidP="00800EC8">
      <w:pPr>
        <w:pStyle w:val="FootnoteText"/>
      </w:pPr>
      <w:r w:rsidRPr="003E1E87">
        <w:rPr>
          <w:rStyle w:val="FootnoteReference"/>
        </w:rPr>
        <w:footnoteRef/>
      </w:r>
      <w:r w:rsidRPr="003E1E87">
        <w:t xml:space="preserve"> </w:t>
      </w:r>
      <w:proofErr w:type="spellStart"/>
      <w:r w:rsidRPr="003E1E87">
        <w:rPr>
          <w:i/>
          <w:iCs/>
        </w:rPr>
        <w:t>Somwar</w:t>
      </w:r>
      <w:proofErr w:type="spellEnd"/>
      <w:r w:rsidRPr="003E1E87">
        <w:rPr>
          <w:i/>
          <w:iCs/>
        </w:rPr>
        <w:t xml:space="preserve"> v McDonald’s Restaurants of Canada Ltd</w:t>
      </w:r>
      <w:r w:rsidRPr="003E1E87">
        <w:t>, 2006 CanLII 202 (ON SC); 2006 79 OR (3d) 172 [</w:t>
      </w:r>
      <w:proofErr w:type="spellStart"/>
      <w:r w:rsidRPr="003E1E87">
        <w:rPr>
          <w:i/>
          <w:iCs/>
        </w:rPr>
        <w:t>Somwar</w:t>
      </w:r>
      <w:proofErr w:type="spellEnd"/>
      <w:r w:rsidRPr="003E1E87">
        <w:t xml:space="preserve">]. </w:t>
      </w:r>
    </w:p>
  </w:footnote>
  <w:footnote w:id="85">
    <w:p w14:paraId="72D79291" w14:textId="158C48BD" w:rsidR="00580293" w:rsidRPr="003E1E87" w:rsidRDefault="00580293" w:rsidP="005A0C94">
      <w:pPr>
        <w:pStyle w:val="FootnoteText"/>
      </w:pPr>
      <w:r w:rsidRPr="003E1E87">
        <w:rPr>
          <w:rStyle w:val="FootnoteReference"/>
        </w:rPr>
        <w:footnoteRef/>
      </w:r>
      <w:r w:rsidRPr="003E1E87">
        <w:t xml:space="preserve"> </w:t>
      </w:r>
      <w:r w:rsidRPr="003E1E87">
        <w:rPr>
          <w:i/>
          <w:iCs/>
        </w:rPr>
        <w:t xml:space="preserve">Ibid </w:t>
      </w:r>
      <w:r w:rsidRPr="003E1E87">
        <w:t>at para 3.</w:t>
      </w:r>
    </w:p>
  </w:footnote>
  <w:footnote w:id="86">
    <w:p w14:paraId="7E6C0EFE" w14:textId="3B8C46CC" w:rsidR="00580293" w:rsidRPr="003E1E87" w:rsidRDefault="00580293" w:rsidP="007004A5">
      <w:pPr>
        <w:pStyle w:val="FootnoteText"/>
      </w:pPr>
      <w:r w:rsidRPr="003E1E87">
        <w:rPr>
          <w:rStyle w:val="FootnoteReference"/>
        </w:rPr>
        <w:footnoteRef/>
      </w:r>
      <w:r w:rsidRPr="003E1E87">
        <w:t xml:space="preserve"> </w:t>
      </w:r>
      <w:proofErr w:type="spellStart"/>
      <w:r w:rsidRPr="003E1E87">
        <w:rPr>
          <w:i/>
          <w:iCs/>
        </w:rPr>
        <w:t>Chitrakar</w:t>
      </w:r>
      <w:proofErr w:type="spellEnd"/>
      <w:r w:rsidRPr="003E1E87">
        <w:rPr>
          <w:i/>
          <w:iCs/>
        </w:rPr>
        <w:t xml:space="preserve"> v Bell TV</w:t>
      </w:r>
      <w:r w:rsidRPr="003E1E87">
        <w:t>, 2013 FC 1103 [</w:t>
      </w:r>
      <w:proofErr w:type="spellStart"/>
      <w:r w:rsidRPr="003E1E87">
        <w:rPr>
          <w:i/>
          <w:iCs/>
        </w:rPr>
        <w:t>Chitrakar</w:t>
      </w:r>
      <w:proofErr w:type="spellEnd"/>
      <w:r w:rsidRPr="003E1E87">
        <w:t xml:space="preserve">]. For discussion, see </w:t>
      </w:r>
      <w:r w:rsidRPr="003E1E87">
        <w:rPr>
          <w:i/>
          <w:iCs/>
        </w:rPr>
        <w:t>infra</w:t>
      </w:r>
      <w:r w:rsidRPr="003E1E87">
        <w:t xml:space="preserve"> as well as Appendix A</w:t>
      </w:r>
      <w:r w:rsidR="007004A5">
        <w:t>.</w:t>
      </w:r>
      <w:r w:rsidRPr="003E1E87">
        <w:t xml:space="preserve">  </w:t>
      </w:r>
    </w:p>
  </w:footnote>
  <w:footnote w:id="87">
    <w:p w14:paraId="2033A5BB" w14:textId="391EA66F" w:rsidR="00580293" w:rsidRPr="003E1E87" w:rsidRDefault="00580293" w:rsidP="003E1E87">
      <w:pPr>
        <w:pStyle w:val="FootnoteText"/>
      </w:pPr>
      <w:r w:rsidRPr="003E1E87">
        <w:rPr>
          <w:rStyle w:val="FootnoteReference"/>
        </w:rPr>
        <w:footnoteRef/>
      </w:r>
      <w:r w:rsidRPr="003E1E87">
        <w:t xml:space="preserve"> See </w:t>
      </w:r>
      <w:r w:rsidRPr="003E1E87">
        <w:rPr>
          <w:i/>
          <w:iCs/>
        </w:rPr>
        <w:t>PIPEDA</w:t>
      </w:r>
      <w:r w:rsidRPr="003E1E87">
        <w:t xml:space="preserve"> s 4(1)(b) and von </w:t>
      </w:r>
      <w:proofErr w:type="spellStart"/>
      <w:r w:rsidRPr="003E1E87">
        <w:t>Tigerstrom</w:t>
      </w:r>
      <w:proofErr w:type="spellEnd"/>
      <w:r w:rsidRPr="003E1E87">
        <w:t xml:space="preserve">, </w:t>
      </w:r>
      <w:r w:rsidRPr="003E1E87">
        <w:rPr>
          <w:i/>
          <w:iCs/>
        </w:rPr>
        <w:t xml:space="preserve">supra </w:t>
      </w:r>
      <w:r w:rsidRPr="003E1E87">
        <w:t xml:space="preserve">note </w:t>
      </w:r>
      <w:r w:rsidRPr="003E1E87">
        <w:fldChar w:fldCharType="begin"/>
      </w:r>
      <w:r w:rsidRPr="003E1E87">
        <w:instrText xml:space="preserve"> NOTEREF _Ref78152384 \h </w:instrText>
      </w:r>
      <w:r w:rsidRPr="003E1E87">
        <w:fldChar w:fldCharType="separate"/>
      </w:r>
      <w:r>
        <w:t>18</w:t>
      </w:r>
      <w:r w:rsidRPr="003E1E87">
        <w:fldChar w:fldCharType="end"/>
      </w:r>
      <w:r w:rsidRPr="003E1E87">
        <w:t xml:space="preserve"> at 308. As von </w:t>
      </w:r>
      <w:proofErr w:type="spellStart"/>
      <w:r w:rsidRPr="003E1E87">
        <w:t>Tigerstrom</w:t>
      </w:r>
      <w:proofErr w:type="spellEnd"/>
      <w:r w:rsidRPr="003E1E87">
        <w:t xml:space="preserve"> notes, “[g]</w:t>
      </w:r>
      <w:proofErr w:type="spellStart"/>
      <w:r w:rsidRPr="003E1E87">
        <w:t>iven</w:t>
      </w:r>
      <w:proofErr w:type="spellEnd"/>
      <w:r w:rsidRPr="003E1E87">
        <w:t xml:space="preserve"> the limits of the federal government’s constitutional authority, </w:t>
      </w:r>
      <w:r w:rsidRPr="003E1E87">
        <w:rPr>
          <w:i/>
          <w:iCs/>
        </w:rPr>
        <w:t>PIPEDA</w:t>
      </w:r>
      <w:r w:rsidRPr="003E1E87">
        <w:t xml:space="preserve"> applies to personal information about employees…only where it is collected, used, or disclosed in connection with a federal work, undertaking, or business.”</w:t>
      </w:r>
    </w:p>
  </w:footnote>
  <w:footnote w:id="88">
    <w:p w14:paraId="542543E5" w14:textId="258DE470" w:rsidR="00580293" w:rsidRPr="003E1E87" w:rsidRDefault="00580293" w:rsidP="003E1E87">
      <w:pPr>
        <w:pStyle w:val="FootnoteText"/>
      </w:pPr>
      <w:r w:rsidRPr="003E1E87">
        <w:rPr>
          <w:rStyle w:val="FootnoteReference"/>
        </w:rPr>
        <w:footnoteRef/>
      </w:r>
      <w:r w:rsidRPr="003E1E87">
        <w:t xml:space="preserve"> </w:t>
      </w:r>
      <w:proofErr w:type="spellStart"/>
      <w:r w:rsidRPr="003E1E87">
        <w:rPr>
          <w:i/>
          <w:iCs/>
        </w:rPr>
        <w:t>Somwar</w:t>
      </w:r>
      <w:proofErr w:type="spellEnd"/>
      <w:r w:rsidRPr="003E1E87">
        <w:t xml:space="preserve">, </w:t>
      </w:r>
      <w:r w:rsidRPr="003E1E87">
        <w:rPr>
          <w:i/>
          <w:iCs/>
        </w:rPr>
        <w:t xml:space="preserve">supra </w:t>
      </w:r>
      <w:r w:rsidRPr="003E1E87">
        <w:t xml:space="preserve">note </w:t>
      </w:r>
      <w:r w:rsidRPr="003E1E87">
        <w:fldChar w:fldCharType="begin"/>
      </w:r>
      <w:r w:rsidRPr="003E1E87">
        <w:instrText xml:space="preserve"> NOTEREF _Ref78152878 \h </w:instrText>
      </w:r>
      <w:r w:rsidRPr="003E1E87">
        <w:fldChar w:fldCharType="separate"/>
      </w:r>
      <w:r>
        <w:t>81</w:t>
      </w:r>
      <w:r w:rsidRPr="003E1E87">
        <w:fldChar w:fldCharType="end"/>
      </w:r>
      <w:r w:rsidRPr="003E1E87">
        <w:t>, at para 31.</w:t>
      </w:r>
    </w:p>
  </w:footnote>
  <w:footnote w:id="89">
    <w:p w14:paraId="580AB968" w14:textId="017A3BC7" w:rsidR="00580293" w:rsidRPr="003E1E87" w:rsidRDefault="00580293" w:rsidP="006C3954">
      <w:pPr>
        <w:spacing w:after="0"/>
        <w:contextualSpacing/>
        <w:rPr>
          <w:sz w:val="20"/>
          <w:szCs w:val="20"/>
        </w:rPr>
      </w:pPr>
      <w:r w:rsidRPr="003E1E87">
        <w:rPr>
          <w:rStyle w:val="FootnoteReference"/>
          <w:sz w:val="20"/>
          <w:szCs w:val="20"/>
        </w:rPr>
        <w:footnoteRef/>
      </w:r>
      <w:r w:rsidRPr="003E1E87">
        <w:rPr>
          <w:sz w:val="20"/>
          <w:szCs w:val="20"/>
        </w:rPr>
        <w:t xml:space="preserve">1988 CanLII 10 (SCC); [1988] 2 SCR 417.   </w:t>
      </w:r>
    </w:p>
  </w:footnote>
  <w:footnote w:id="90">
    <w:p w14:paraId="5F1F1A41" w14:textId="2FBC239F" w:rsidR="00580293" w:rsidRPr="003E1E87" w:rsidRDefault="00580293">
      <w:pPr>
        <w:pStyle w:val="FootnoteText"/>
      </w:pPr>
      <w:r w:rsidRPr="003E1E87">
        <w:rPr>
          <w:rStyle w:val="FootnoteReference"/>
        </w:rPr>
        <w:footnoteRef/>
      </w:r>
      <w:r w:rsidRPr="003E1E87">
        <w:t xml:space="preserve"> </w:t>
      </w:r>
      <w:proofErr w:type="spellStart"/>
      <w:r w:rsidRPr="003E1E87">
        <w:rPr>
          <w:i/>
          <w:iCs/>
        </w:rPr>
        <w:t>Somwar</w:t>
      </w:r>
      <w:proofErr w:type="spellEnd"/>
      <w:r w:rsidRPr="003E1E87">
        <w:t xml:space="preserve">, supra note </w:t>
      </w:r>
      <w:r w:rsidRPr="003E1E87">
        <w:fldChar w:fldCharType="begin"/>
      </w:r>
      <w:r w:rsidRPr="003E1E87">
        <w:instrText xml:space="preserve"> NOTEREF _Ref78152878 \h </w:instrText>
      </w:r>
      <w:r w:rsidRPr="003E1E87">
        <w:fldChar w:fldCharType="separate"/>
      </w:r>
      <w:r>
        <w:t>81</w:t>
      </w:r>
      <w:r w:rsidRPr="003E1E87">
        <w:fldChar w:fldCharType="end"/>
      </w:r>
      <w:r w:rsidRPr="003E1E87">
        <w:t xml:space="preserve">, at para 24. </w:t>
      </w:r>
      <w:r w:rsidRPr="003E1E87">
        <w:tab/>
      </w:r>
    </w:p>
  </w:footnote>
  <w:footnote w:id="91">
    <w:p w14:paraId="471D4ED7" w14:textId="7C9F6CC0" w:rsidR="00580293" w:rsidRPr="003E1E87" w:rsidRDefault="00580293">
      <w:pPr>
        <w:pStyle w:val="FootnoteText"/>
      </w:pPr>
      <w:r w:rsidRPr="003E1E87">
        <w:rPr>
          <w:rStyle w:val="FootnoteReference"/>
        </w:rPr>
        <w:footnoteRef/>
      </w:r>
      <w:r w:rsidRPr="003E1E87">
        <w:t xml:space="preserve"> </w:t>
      </w:r>
      <w:proofErr w:type="spellStart"/>
      <w:r w:rsidRPr="003E1E87">
        <w:rPr>
          <w:i/>
          <w:iCs/>
        </w:rPr>
        <w:t>Somwar</w:t>
      </w:r>
      <w:proofErr w:type="spellEnd"/>
      <w:r w:rsidRPr="003E1E87">
        <w:rPr>
          <w:i/>
          <w:iCs/>
        </w:rPr>
        <w:t xml:space="preserve">, ibid </w:t>
      </w:r>
      <w:r w:rsidRPr="003E1E87">
        <w:t xml:space="preserve">at para 24, quoting </w:t>
      </w:r>
      <w:proofErr w:type="spellStart"/>
      <w:r w:rsidRPr="003E1E87">
        <w:rPr>
          <w:i/>
          <w:iCs/>
        </w:rPr>
        <w:t>Dyment</w:t>
      </w:r>
      <w:proofErr w:type="spellEnd"/>
      <w:r w:rsidRPr="003E1E87">
        <w:t xml:space="preserve"> at para 22.</w:t>
      </w:r>
    </w:p>
  </w:footnote>
  <w:footnote w:id="92">
    <w:p w14:paraId="02E1FBB4" w14:textId="21A21EBB" w:rsidR="00580293" w:rsidRPr="003E1E87" w:rsidRDefault="00580293">
      <w:pPr>
        <w:pStyle w:val="FootnoteText"/>
      </w:pPr>
      <w:r w:rsidRPr="003E1E87">
        <w:rPr>
          <w:rStyle w:val="FootnoteReference"/>
        </w:rPr>
        <w:footnoteRef/>
      </w:r>
      <w:r w:rsidRPr="003E1E87">
        <w:t xml:space="preserve"> </w:t>
      </w:r>
      <w:r w:rsidRPr="003E1E87">
        <w:rPr>
          <w:i/>
          <w:iCs/>
        </w:rPr>
        <w:t>Hunter v Southam</w:t>
      </w:r>
      <w:r w:rsidRPr="003E1E87">
        <w:t xml:space="preserve">, 1984 CanLII 33 (SCC); [1984] 2 SCR 145. </w:t>
      </w:r>
    </w:p>
  </w:footnote>
  <w:footnote w:id="93">
    <w:p w14:paraId="7801D33E" w14:textId="62692B05" w:rsidR="00580293" w:rsidRPr="00753425" w:rsidRDefault="00580293" w:rsidP="0079705D">
      <w:pPr>
        <w:pStyle w:val="FootnoteText"/>
        <w:jc w:val="both"/>
        <w:rPr>
          <w:lang w:val="es-ES"/>
        </w:rPr>
      </w:pPr>
      <w:r w:rsidRPr="003E1E87">
        <w:rPr>
          <w:rStyle w:val="FootnoteReference"/>
        </w:rPr>
        <w:footnoteRef/>
      </w:r>
      <w:r w:rsidRPr="00753425">
        <w:rPr>
          <w:lang w:val="es-ES"/>
        </w:rPr>
        <w:t xml:space="preserve"> </w:t>
      </w:r>
      <w:r w:rsidRPr="00753425">
        <w:rPr>
          <w:i/>
          <w:iCs/>
          <w:lang w:val="es-ES"/>
        </w:rPr>
        <w:t xml:space="preserve">Supra </w:t>
      </w:r>
      <w:r w:rsidRPr="00753425">
        <w:rPr>
          <w:lang w:val="es-ES"/>
        </w:rPr>
        <w:t xml:space="preserve">note </w:t>
      </w:r>
      <w:r w:rsidRPr="003E1E87">
        <w:fldChar w:fldCharType="begin"/>
      </w:r>
      <w:r w:rsidRPr="00753425">
        <w:rPr>
          <w:lang w:val="es-ES"/>
        </w:rPr>
        <w:instrText xml:space="preserve"> NOTEREF _Ref78152963 \h </w:instrText>
      </w:r>
      <w:r w:rsidRPr="003E1E87">
        <w:fldChar w:fldCharType="separate"/>
      </w:r>
      <w:r>
        <w:rPr>
          <w:lang w:val="es-ES"/>
        </w:rPr>
        <w:t>63</w:t>
      </w:r>
      <w:r w:rsidRPr="003E1E87">
        <w:fldChar w:fldCharType="end"/>
      </w:r>
      <w:r w:rsidRPr="00753425">
        <w:rPr>
          <w:lang w:val="es-ES"/>
        </w:rPr>
        <w:t xml:space="preserve">. </w:t>
      </w:r>
    </w:p>
  </w:footnote>
  <w:footnote w:id="94">
    <w:p w14:paraId="2F739419" w14:textId="7240D526" w:rsidR="00580293" w:rsidRPr="00753425" w:rsidRDefault="00580293" w:rsidP="003E1E87">
      <w:pPr>
        <w:pStyle w:val="FootnoteText"/>
        <w:rPr>
          <w:lang w:val="es-ES"/>
        </w:rPr>
      </w:pPr>
      <w:r w:rsidRPr="003E1E87">
        <w:rPr>
          <w:rStyle w:val="FootnoteReference"/>
        </w:rPr>
        <w:footnoteRef/>
      </w:r>
      <w:r w:rsidRPr="00753425">
        <w:rPr>
          <w:lang w:val="es-ES"/>
        </w:rPr>
        <w:t xml:space="preserve"> </w:t>
      </w:r>
      <w:proofErr w:type="spellStart"/>
      <w:r w:rsidRPr="00753425">
        <w:rPr>
          <w:i/>
          <w:iCs/>
          <w:lang w:val="es-ES"/>
        </w:rPr>
        <w:t>Somwar</w:t>
      </w:r>
      <w:proofErr w:type="spellEnd"/>
      <w:r w:rsidRPr="00753425">
        <w:rPr>
          <w:i/>
          <w:iCs/>
          <w:lang w:val="es-ES"/>
        </w:rPr>
        <w:t xml:space="preserve">, supra </w:t>
      </w:r>
      <w:r w:rsidRPr="00753425">
        <w:rPr>
          <w:lang w:val="es-ES"/>
        </w:rPr>
        <w:t xml:space="preserve">note </w:t>
      </w:r>
      <w:r w:rsidRPr="003E1E87">
        <w:fldChar w:fldCharType="begin"/>
      </w:r>
      <w:r w:rsidRPr="00753425">
        <w:rPr>
          <w:lang w:val="es-ES"/>
        </w:rPr>
        <w:instrText xml:space="preserve"> NOTEREF _Ref78152878 \h </w:instrText>
      </w:r>
      <w:r w:rsidRPr="003E1E87">
        <w:fldChar w:fldCharType="separate"/>
      </w:r>
      <w:r>
        <w:rPr>
          <w:lang w:val="es-ES"/>
        </w:rPr>
        <w:t>81</w:t>
      </w:r>
      <w:r w:rsidRPr="003E1E87">
        <w:fldChar w:fldCharType="end"/>
      </w:r>
      <w:r w:rsidRPr="00753425">
        <w:rPr>
          <w:lang w:val="es-ES"/>
        </w:rPr>
        <w:t xml:space="preserve">, at para 23. </w:t>
      </w:r>
    </w:p>
  </w:footnote>
  <w:footnote w:id="95">
    <w:p w14:paraId="48B39D38" w14:textId="32B71922" w:rsidR="00580293" w:rsidRPr="003E1E87" w:rsidRDefault="00580293" w:rsidP="00147BD5">
      <w:pPr>
        <w:pStyle w:val="FootnoteText"/>
      </w:pPr>
      <w:r w:rsidRPr="003E1E87">
        <w:rPr>
          <w:rStyle w:val="FootnoteReference"/>
          <w:i/>
          <w:iCs/>
        </w:rPr>
        <w:footnoteRef/>
      </w:r>
      <w:r w:rsidRPr="00753425">
        <w:rPr>
          <w:lang w:val="es-ES"/>
        </w:rPr>
        <w:t xml:space="preserve"> </w:t>
      </w:r>
      <w:proofErr w:type="spellStart"/>
      <w:r w:rsidRPr="00753425">
        <w:rPr>
          <w:i/>
          <w:iCs/>
          <w:lang w:val="es-ES"/>
        </w:rPr>
        <w:t>Tsige</w:t>
      </w:r>
      <w:proofErr w:type="spellEnd"/>
      <w:r w:rsidRPr="00753425">
        <w:rPr>
          <w:i/>
          <w:iCs/>
          <w:lang w:val="es-ES"/>
        </w:rPr>
        <w:t>, supra</w:t>
      </w:r>
      <w:r w:rsidRPr="00753425">
        <w:rPr>
          <w:lang w:val="es-ES"/>
        </w:rPr>
        <w:t xml:space="preserve"> note </w:t>
      </w:r>
      <w:r w:rsidRPr="003E1E87">
        <w:fldChar w:fldCharType="begin"/>
      </w:r>
      <w:r w:rsidRPr="00753425">
        <w:rPr>
          <w:lang w:val="es-ES"/>
        </w:rPr>
        <w:instrText xml:space="preserve"> NOTEREF _Ref78152727 \h </w:instrText>
      </w:r>
      <w:r w:rsidRPr="003E1E87">
        <w:fldChar w:fldCharType="separate"/>
      </w:r>
      <w:r>
        <w:rPr>
          <w:lang w:val="es-ES"/>
        </w:rPr>
        <w:t>51</w:t>
      </w:r>
      <w:r w:rsidRPr="003E1E87">
        <w:fldChar w:fldCharType="end"/>
      </w:r>
      <w:r w:rsidRPr="00753425">
        <w:rPr>
          <w:lang w:val="es-ES"/>
        </w:rPr>
        <w:t xml:space="preserve">, at para 30. </w:t>
      </w:r>
      <w:r>
        <w:t xml:space="preserve">See also </w:t>
      </w:r>
      <w:r>
        <w:rPr>
          <w:color w:val="222222"/>
          <w:shd w:val="clear" w:color="auto" w:fill="FFFFFF"/>
        </w:rPr>
        <w:t>Chris Hunt, "Privacy in the Common Law: A Critical Appraisal of the Ontario Court of Appeal's Decision in Jones v. Tsige" (2012) 37:2 Queen's LJ 665 as well as Chris Hunt, "Conceptualizing Privacy and Elucidating its Importance: Foundational Considerations for the Development of Canada's Fledgling Privacy Tort" (2011) 37:1 Queen's LJ 167</w:t>
      </w:r>
    </w:p>
  </w:footnote>
  <w:footnote w:id="96">
    <w:p w14:paraId="3D7C5CF2" w14:textId="76BDA8E5" w:rsidR="00580293" w:rsidRPr="003E1E87" w:rsidRDefault="00580293" w:rsidP="00B41A3B">
      <w:pPr>
        <w:pStyle w:val="FootnoteText"/>
      </w:pPr>
      <w:r w:rsidRPr="003E1E87">
        <w:rPr>
          <w:rStyle w:val="FootnoteReference"/>
        </w:rPr>
        <w:footnoteRef/>
      </w:r>
      <w:r w:rsidRPr="003E1E87">
        <w:t xml:space="preserve"> This tort is discussed in </w:t>
      </w:r>
      <w:r>
        <w:t xml:space="preserve">Section II </w:t>
      </w:r>
      <w:r w:rsidRPr="003E1E87">
        <w:t xml:space="preserve">B(2) of this Part of the </w:t>
      </w:r>
      <w:r>
        <w:t>article</w:t>
      </w:r>
      <w:r w:rsidRPr="003E1E87">
        <w:t>.</w:t>
      </w:r>
    </w:p>
  </w:footnote>
  <w:footnote w:id="97">
    <w:p w14:paraId="3AF19DD9" w14:textId="3DD9F5B6" w:rsidR="00580293" w:rsidRPr="00753425" w:rsidRDefault="00580293" w:rsidP="003E1E87">
      <w:pPr>
        <w:pStyle w:val="FootnoteText"/>
        <w:rPr>
          <w:lang w:val="es-ES"/>
        </w:rPr>
      </w:pPr>
      <w:r w:rsidRPr="003E1E87">
        <w:rPr>
          <w:rStyle w:val="FootnoteReference"/>
        </w:rPr>
        <w:footnoteRef/>
      </w:r>
      <w:r w:rsidRPr="00753425">
        <w:rPr>
          <w:lang w:val="es-ES"/>
        </w:rPr>
        <w:t xml:space="preserve"> </w:t>
      </w:r>
      <w:proofErr w:type="spellStart"/>
      <w:r w:rsidRPr="00753425">
        <w:rPr>
          <w:i/>
          <w:iCs/>
          <w:lang w:val="es-ES"/>
        </w:rPr>
        <w:t>Tsige</w:t>
      </w:r>
      <w:proofErr w:type="spellEnd"/>
      <w:r w:rsidRPr="00753425">
        <w:rPr>
          <w:i/>
          <w:iCs/>
          <w:lang w:val="es-ES"/>
        </w:rPr>
        <w:t xml:space="preserve">, supra </w:t>
      </w:r>
      <w:r w:rsidRPr="00753425">
        <w:rPr>
          <w:lang w:val="es-ES"/>
        </w:rPr>
        <w:t xml:space="preserve">note </w:t>
      </w:r>
      <w:r w:rsidRPr="003E1E87">
        <w:fldChar w:fldCharType="begin"/>
      </w:r>
      <w:r w:rsidRPr="00753425">
        <w:rPr>
          <w:lang w:val="es-ES"/>
        </w:rPr>
        <w:instrText xml:space="preserve"> NOTEREF _Ref78152727 \h </w:instrText>
      </w:r>
      <w:r w:rsidRPr="003E1E87">
        <w:fldChar w:fldCharType="separate"/>
      </w:r>
      <w:r>
        <w:rPr>
          <w:lang w:val="es-ES"/>
        </w:rPr>
        <w:t>51</w:t>
      </w:r>
      <w:r w:rsidRPr="003E1E87">
        <w:fldChar w:fldCharType="end"/>
      </w:r>
      <w:r w:rsidRPr="00753425">
        <w:rPr>
          <w:lang w:val="es-ES"/>
        </w:rPr>
        <w:t>,</w:t>
      </w:r>
      <w:r w:rsidRPr="00753425" w:rsidDel="00503E10">
        <w:rPr>
          <w:lang w:val="es-ES"/>
        </w:rPr>
        <w:t xml:space="preserve"> </w:t>
      </w:r>
      <w:r w:rsidRPr="00753425">
        <w:rPr>
          <w:lang w:val="es-ES"/>
        </w:rPr>
        <w:t>at para 39.</w:t>
      </w:r>
    </w:p>
  </w:footnote>
  <w:footnote w:id="98">
    <w:p w14:paraId="6AB6B18E" w14:textId="0B7CEB2B" w:rsidR="00580293" w:rsidRPr="003E1E87" w:rsidRDefault="00580293">
      <w:pPr>
        <w:pStyle w:val="FootnoteText"/>
      </w:pPr>
      <w:r w:rsidRPr="003E1E87">
        <w:rPr>
          <w:rStyle w:val="FootnoteReference"/>
        </w:rPr>
        <w:footnoteRef/>
      </w:r>
      <w:r w:rsidRPr="003E1E87">
        <w:t xml:space="preserve"> </w:t>
      </w:r>
      <w:r w:rsidRPr="003E1E87">
        <w:rPr>
          <w:i/>
          <w:iCs/>
        </w:rPr>
        <w:t xml:space="preserve">Ibid </w:t>
      </w:r>
      <w:r w:rsidRPr="003E1E87">
        <w:t xml:space="preserve">at para 41, quoting AF Westin.  </w:t>
      </w:r>
    </w:p>
  </w:footnote>
  <w:footnote w:id="99">
    <w:p w14:paraId="04F3F4B0" w14:textId="2E40D85F" w:rsidR="00580293" w:rsidRPr="003E1E87" w:rsidRDefault="00580293">
      <w:pPr>
        <w:pStyle w:val="FootnoteText"/>
      </w:pPr>
      <w:r w:rsidRPr="003E1E87">
        <w:rPr>
          <w:rStyle w:val="FootnoteReference"/>
          <w:i/>
          <w:iCs/>
        </w:rPr>
        <w:footnoteRef/>
      </w:r>
      <w:r w:rsidRPr="003E1E87">
        <w:t xml:space="preserve"> </w:t>
      </w:r>
      <w:r w:rsidRPr="003E1E87">
        <w:rPr>
          <w:i/>
          <w:iCs/>
        </w:rPr>
        <w:t>Ibid</w:t>
      </w:r>
      <w:r w:rsidRPr="003E1E87" w:rsidDel="00503E10">
        <w:t xml:space="preserve"> </w:t>
      </w:r>
      <w:r w:rsidRPr="003E1E87">
        <w:t>at para 66.</w:t>
      </w:r>
    </w:p>
  </w:footnote>
  <w:footnote w:id="100">
    <w:p w14:paraId="0CAAF1F4" w14:textId="0D097F01" w:rsidR="00580293" w:rsidRPr="003E1E87" w:rsidRDefault="00580293" w:rsidP="00CD11EC">
      <w:pPr>
        <w:spacing w:after="0"/>
        <w:contextualSpacing/>
        <w:rPr>
          <w:sz w:val="20"/>
          <w:szCs w:val="20"/>
        </w:rPr>
      </w:pPr>
      <w:r w:rsidRPr="003E1E87">
        <w:rPr>
          <w:rStyle w:val="FootnoteReference"/>
          <w:sz w:val="20"/>
          <w:szCs w:val="20"/>
        </w:rPr>
        <w:footnoteRef/>
      </w:r>
      <w:r w:rsidRPr="003E1E87">
        <w:rPr>
          <w:sz w:val="20"/>
          <w:szCs w:val="20"/>
        </w:rPr>
        <w:t xml:space="preserve"> </w:t>
      </w:r>
      <w:proofErr w:type="spellStart"/>
      <w:r w:rsidRPr="003E1E87">
        <w:rPr>
          <w:i/>
          <w:iCs/>
          <w:sz w:val="20"/>
          <w:szCs w:val="20"/>
        </w:rPr>
        <w:t>Douez</w:t>
      </w:r>
      <w:proofErr w:type="spellEnd"/>
      <w:r w:rsidRPr="003E1E87">
        <w:rPr>
          <w:i/>
          <w:iCs/>
          <w:sz w:val="20"/>
          <w:szCs w:val="20"/>
        </w:rPr>
        <w:t xml:space="preserve"> v Facebook Inc</w:t>
      </w:r>
      <w:r w:rsidRPr="003E1E87">
        <w:rPr>
          <w:sz w:val="20"/>
          <w:szCs w:val="20"/>
        </w:rPr>
        <w:t>, 2017 SCC 33 at para 59 [</w:t>
      </w:r>
      <w:proofErr w:type="spellStart"/>
      <w:r w:rsidRPr="003E1E87">
        <w:rPr>
          <w:i/>
          <w:iCs/>
          <w:sz w:val="20"/>
          <w:szCs w:val="20"/>
        </w:rPr>
        <w:t>Douez</w:t>
      </w:r>
      <w:proofErr w:type="spellEnd"/>
      <w:r w:rsidRPr="003E1E87">
        <w:rPr>
          <w:sz w:val="20"/>
          <w:szCs w:val="20"/>
        </w:rPr>
        <w:t xml:space="preserve">], per </w:t>
      </w:r>
      <w:proofErr w:type="spellStart"/>
      <w:r w:rsidRPr="003E1E87">
        <w:rPr>
          <w:sz w:val="20"/>
          <w:szCs w:val="20"/>
        </w:rPr>
        <w:t>Karakatsanis</w:t>
      </w:r>
      <w:proofErr w:type="spellEnd"/>
      <w:r w:rsidRPr="003E1E87">
        <w:rPr>
          <w:sz w:val="20"/>
          <w:szCs w:val="20"/>
        </w:rPr>
        <w:t xml:space="preserve">, Wagner and Gascon JJ, in the context of </w:t>
      </w:r>
      <w:r w:rsidRPr="003E1E87">
        <w:rPr>
          <w:i/>
          <w:iCs/>
          <w:sz w:val="20"/>
          <w:szCs w:val="20"/>
        </w:rPr>
        <w:t>Privacy Act</w:t>
      </w:r>
      <w:r w:rsidRPr="003E1E87">
        <w:rPr>
          <w:sz w:val="20"/>
          <w:szCs w:val="20"/>
        </w:rPr>
        <w:t>, RSBC 1996, c 373.</w:t>
      </w:r>
    </w:p>
  </w:footnote>
  <w:footnote w:id="101">
    <w:p w14:paraId="4CF4D20B" w14:textId="680FD5C3" w:rsidR="00580293" w:rsidRPr="003E1E87" w:rsidRDefault="00580293" w:rsidP="00CD11EC">
      <w:pPr>
        <w:spacing w:after="0"/>
        <w:contextualSpacing/>
      </w:pPr>
      <w:r w:rsidRPr="003E1E87">
        <w:rPr>
          <w:rStyle w:val="FootnoteReference"/>
          <w:sz w:val="20"/>
          <w:szCs w:val="20"/>
        </w:rPr>
        <w:footnoteRef/>
      </w:r>
      <w:r w:rsidRPr="003E1E87">
        <w:rPr>
          <w:sz w:val="20"/>
          <w:szCs w:val="20"/>
        </w:rPr>
        <w:t xml:space="preserve"> </w:t>
      </w:r>
      <w:r w:rsidRPr="003E1E87">
        <w:rPr>
          <w:i/>
          <w:iCs/>
          <w:sz w:val="20"/>
          <w:szCs w:val="20"/>
        </w:rPr>
        <w:t xml:space="preserve">Ibid </w:t>
      </w:r>
      <w:r w:rsidRPr="003E1E87">
        <w:rPr>
          <w:sz w:val="20"/>
          <w:szCs w:val="20"/>
        </w:rPr>
        <w:t xml:space="preserve">at para 59. </w:t>
      </w:r>
      <w:r w:rsidRPr="003E1E87">
        <w:rPr>
          <w:rStyle w:val="reflex3-block"/>
          <w:sz w:val="20"/>
          <w:szCs w:val="20"/>
        </w:rPr>
        <w:t xml:space="preserve"> For further discussion, see Andrea </w:t>
      </w:r>
      <w:proofErr w:type="spellStart"/>
      <w:r w:rsidRPr="003E1E87">
        <w:rPr>
          <w:sz w:val="20"/>
          <w:szCs w:val="20"/>
        </w:rPr>
        <w:t>Slane</w:t>
      </w:r>
      <w:proofErr w:type="spellEnd"/>
      <w:r w:rsidRPr="003E1E87">
        <w:rPr>
          <w:sz w:val="20"/>
          <w:szCs w:val="20"/>
        </w:rPr>
        <w:t xml:space="preserve">, "There Is a There: Forum Selection Clauses, Consumer Protection and the Quasi-Constitutional Right to Privacy in </w:t>
      </w:r>
      <w:proofErr w:type="spellStart"/>
      <w:r w:rsidRPr="003E1E87">
        <w:rPr>
          <w:sz w:val="20"/>
          <w:szCs w:val="20"/>
        </w:rPr>
        <w:t>Douez</w:t>
      </w:r>
      <w:proofErr w:type="spellEnd"/>
      <w:r w:rsidRPr="003E1E87">
        <w:rPr>
          <w:sz w:val="20"/>
          <w:szCs w:val="20"/>
        </w:rPr>
        <w:t xml:space="preserve"> v. Facebook." (2019) </w:t>
      </w:r>
      <w:r w:rsidRPr="003E1E87">
        <w:rPr>
          <w:rStyle w:val="Emphasis"/>
          <w:sz w:val="20"/>
          <w:szCs w:val="20"/>
        </w:rPr>
        <w:t>The Supreme Court Law Review: Osgoode’s Annual Constitutional Cases Conference</w:t>
      </w:r>
      <w:r w:rsidRPr="003E1E87">
        <w:rPr>
          <w:sz w:val="20"/>
          <w:szCs w:val="20"/>
        </w:rPr>
        <w:t xml:space="preserve"> 88. </w:t>
      </w:r>
    </w:p>
  </w:footnote>
  <w:footnote w:id="102">
    <w:p w14:paraId="672ACEA1" w14:textId="300E2373" w:rsidR="00580293" w:rsidRPr="00753425" w:rsidRDefault="00580293" w:rsidP="00357A85">
      <w:pPr>
        <w:pStyle w:val="FootnoteText"/>
        <w:rPr>
          <w:lang w:val="es-ES"/>
        </w:rPr>
      </w:pPr>
      <w:r w:rsidRPr="003E1E87">
        <w:rPr>
          <w:rStyle w:val="FootnoteReference"/>
        </w:rPr>
        <w:footnoteRef/>
      </w:r>
      <w:r w:rsidRPr="00753425">
        <w:rPr>
          <w:lang w:val="es-ES"/>
        </w:rPr>
        <w:t xml:space="preserve"> </w:t>
      </w:r>
      <w:proofErr w:type="spellStart"/>
      <w:r w:rsidRPr="00753425">
        <w:rPr>
          <w:i/>
          <w:iCs/>
          <w:lang w:val="es-ES"/>
        </w:rPr>
        <w:t>Douez</w:t>
      </w:r>
      <w:proofErr w:type="spellEnd"/>
      <w:r w:rsidRPr="00753425">
        <w:rPr>
          <w:i/>
          <w:iCs/>
          <w:lang w:val="es-ES"/>
        </w:rPr>
        <w:t>, supra</w:t>
      </w:r>
      <w:r w:rsidRPr="00753425">
        <w:rPr>
          <w:lang w:val="es-ES"/>
        </w:rPr>
        <w:t xml:space="preserve"> note </w:t>
      </w:r>
      <w:r w:rsidRPr="003E1E87">
        <w:fldChar w:fldCharType="begin"/>
      </w:r>
      <w:r w:rsidRPr="00753425">
        <w:rPr>
          <w:lang w:val="es-ES"/>
        </w:rPr>
        <w:instrText xml:space="preserve"> NOTEREF _Ref78153048 \h </w:instrText>
      </w:r>
      <w:r w:rsidRPr="003E1E87">
        <w:fldChar w:fldCharType="separate"/>
      </w:r>
      <w:r>
        <w:rPr>
          <w:lang w:val="es-ES"/>
        </w:rPr>
        <w:t>97</w:t>
      </w:r>
      <w:r w:rsidRPr="003E1E87">
        <w:fldChar w:fldCharType="end"/>
      </w:r>
      <w:r w:rsidRPr="00753425">
        <w:rPr>
          <w:lang w:val="es-ES"/>
        </w:rPr>
        <w:t xml:space="preserve"> at para 4</w:t>
      </w:r>
    </w:p>
  </w:footnote>
  <w:footnote w:id="103">
    <w:p w14:paraId="3D7928EE" w14:textId="46E678C2" w:rsidR="00580293" w:rsidRPr="003E1E87" w:rsidRDefault="00580293" w:rsidP="00A37D9A">
      <w:pPr>
        <w:pStyle w:val="FootnoteText"/>
      </w:pPr>
      <w:r w:rsidRPr="003E1E87">
        <w:rPr>
          <w:rStyle w:val="FootnoteReference"/>
        </w:rPr>
        <w:footnoteRef/>
      </w:r>
      <w:r w:rsidRPr="003E1E87">
        <w:t xml:space="preserve"> 2013 SCC 62</w:t>
      </w:r>
    </w:p>
  </w:footnote>
  <w:footnote w:id="104">
    <w:p w14:paraId="571F40FD" w14:textId="2FAE4E49" w:rsidR="00580293" w:rsidRPr="00C32362" w:rsidRDefault="00580293" w:rsidP="003E1E87">
      <w:pPr>
        <w:pStyle w:val="paranondepar-altn"/>
        <w:spacing w:before="0" w:beforeAutospacing="0" w:after="0" w:afterAutospacing="0"/>
        <w:rPr>
          <w:lang w:val="es-ES"/>
        </w:rPr>
      </w:pPr>
      <w:r w:rsidRPr="003E1E87">
        <w:rPr>
          <w:rStyle w:val="FootnoteReference"/>
          <w:sz w:val="20"/>
          <w:szCs w:val="20"/>
        </w:rPr>
        <w:footnoteRef/>
      </w:r>
      <w:r w:rsidRPr="00C32362">
        <w:rPr>
          <w:lang w:val="es-ES"/>
        </w:rPr>
        <w:t xml:space="preserve"> </w:t>
      </w:r>
      <w:proofErr w:type="spellStart"/>
      <w:r w:rsidRPr="00C32362">
        <w:rPr>
          <w:rFonts w:ascii="Arial" w:hAnsi="Arial" w:cs="Arial"/>
          <w:i/>
          <w:iCs/>
          <w:sz w:val="20"/>
          <w:szCs w:val="20"/>
          <w:lang w:val="es-ES"/>
        </w:rPr>
        <w:t>Douez</w:t>
      </w:r>
      <w:proofErr w:type="spellEnd"/>
      <w:r w:rsidRPr="00C32362">
        <w:rPr>
          <w:rFonts w:ascii="Arial" w:hAnsi="Arial" w:cs="Arial"/>
          <w:i/>
          <w:iCs/>
          <w:sz w:val="20"/>
          <w:szCs w:val="20"/>
          <w:lang w:val="es-ES"/>
        </w:rPr>
        <w:t xml:space="preserve">, supra </w:t>
      </w:r>
      <w:r w:rsidRPr="00C32362">
        <w:rPr>
          <w:rFonts w:ascii="Arial" w:hAnsi="Arial" w:cs="Arial"/>
          <w:sz w:val="20"/>
          <w:szCs w:val="20"/>
          <w:lang w:val="es-ES"/>
        </w:rPr>
        <w:t xml:space="preserve">note </w:t>
      </w:r>
      <w:r w:rsidRPr="003E1E87">
        <w:rPr>
          <w:rFonts w:ascii="Arial" w:hAnsi="Arial" w:cs="Arial"/>
          <w:sz w:val="20"/>
          <w:szCs w:val="20"/>
        </w:rPr>
        <w:fldChar w:fldCharType="begin"/>
      </w:r>
      <w:r w:rsidRPr="00C32362">
        <w:rPr>
          <w:rFonts w:ascii="Arial" w:hAnsi="Arial" w:cs="Arial"/>
          <w:sz w:val="20"/>
          <w:szCs w:val="20"/>
          <w:lang w:val="es-ES"/>
        </w:rPr>
        <w:instrText xml:space="preserve"> NOTEREF _Ref78153048 \h </w:instrText>
      </w:r>
      <w:r w:rsidRPr="003E1E87">
        <w:rPr>
          <w:rFonts w:ascii="Arial" w:hAnsi="Arial" w:cs="Arial"/>
          <w:sz w:val="20"/>
          <w:szCs w:val="20"/>
        </w:rPr>
      </w:r>
      <w:r w:rsidRPr="003E1E87">
        <w:rPr>
          <w:rFonts w:ascii="Arial" w:hAnsi="Arial" w:cs="Arial"/>
          <w:sz w:val="20"/>
          <w:szCs w:val="20"/>
        </w:rPr>
        <w:fldChar w:fldCharType="separate"/>
      </w:r>
      <w:r>
        <w:rPr>
          <w:rFonts w:ascii="Arial" w:hAnsi="Arial" w:cs="Arial"/>
          <w:sz w:val="20"/>
          <w:szCs w:val="20"/>
          <w:lang w:val="es-ES"/>
        </w:rPr>
        <w:t>97</w:t>
      </w:r>
      <w:r w:rsidRPr="003E1E87">
        <w:rPr>
          <w:rFonts w:ascii="Arial" w:hAnsi="Arial" w:cs="Arial"/>
          <w:sz w:val="20"/>
          <w:szCs w:val="20"/>
        </w:rPr>
        <w:fldChar w:fldCharType="end"/>
      </w:r>
      <w:r w:rsidRPr="00C32362">
        <w:rPr>
          <w:rFonts w:ascii="Arial" w:hAnsi="Arial" w:cs="Arial"/>
          <w:sz w:val="20"/>
          <w:szCs w:val="20"/>
          <w:lang w:val="es-ES"/>
        </w:rPr>
        <w:t>, at para 105.</w:t>
      </w:r>
    </w:p>
  </w:footnote>
  <w:footnote w:id="105">
    <w:p w14:paraId="4E2A8A93" w14:textId="49749A64" w:rsidR="00580293" w:rsidRPr="003E1E87" w:rsidRDefault="00580293" w:rsidP="0059628A">
      <w:pPr>
        <w:pStyle w:val="FootnoteText"/>
      </w:pPr>
      <w:r w:rsidRPr="003E1E87">
        <w:rPr>
          <w:rStyle w:val="FootnoteReference"/>
        </w:rPr>
        <w:footnoteRef/>
      </w:r>
      <w:r w:rsidRPr="003E1E87">
        <w:t xml:space="preserve"> See, for example, Justice Sharpe who notes in </w:t>
      </w:r>
      <w:r w:rsidRPr="003E1E87">
        <w:rPr>
          <w:i/>
          <w:iCs/>
        </w:rPr>
        <w:t>Tsige,</w:t>
      </w:r>
      <w:r w:rsidRPr="003E1E87">
        <w:t xml:space="preserve"> </w:t>
      </w:r>
      <w:r w:rsidRPr="003E1E87">
        <w:rPr>
          <w:i/>
          <w:iCs/>
        </w:rPr>
        <w:t xml:space="preserve">supra </w:t>
      </w:r>
      <w:r w:rsidRPr="003E1E87">
        <w:t>note 5</w:t>
      </w:r>
      <w:r>
        <w:t>1</w:t>
      </w:r>
      <w:r w:rsidRPr="003E1E87">
        <w:t>, at para 45, that “[w]</w:t>
      </w:r>
      <w:proofErr w:type="spellStart"/>
      <w:r w:rsidRPr="003E1E87">
        <w:t>hile</w:t>
      </w:r>
      <w:proofErr w:type="spellEnd"/>
      <w:r w:rsidRPr="003E1E87">
        <w:t xml:space="preserve"> the </w:t>
      </w:r>
      <w:r w:rsidRPr="007004A5">
        <w:t>Charter</w:t>
      </w:r>
      <w:r w:rsidRPr="003E1E87">
        <w:t xml:space="preserve"> does not apply to common law disputes between private individuals, the Supreme Court has acted on several occasions to develop the common law in a manner consistent with </w:t>
      </w:r>
      <w:r w:rsidRPr="003E1E87">
        <w:rPr>
          <w:i/>
          <w:iCs/>
        </w:rPr>
        <w:t>Charter</w:t>
      </w:r>
      <w:r w:rsidRPr="003E1E87">
        <w:t xml:space="preserve"> values. See too </w:t>
      </w:r>
      <w:proofErr w:type="spellStart"/>
      <w:r w:rsidRPr="003E1E87">
        <w:rPr>
          <w:i/>
          <w:iCs/>
        </w:rPr>
        <w:t>Somwar</w:t>
      </w:r>
      <w:proofErr w:type="spellEnd"/>
      <w:r w:rsidRPr="003E1E87">
        <w:rPr>
          <w:i/>
          <w:iCs/>
        </w:rPr>
        <w:t xml:space="preserve">, supra </w:t>
      </w:r>
      <w:r w:rsidRPr="003E1E87">
        <w:t xml:space="preserve">note </w:t>
      </w:r>
      <w:r>
        <w:fldChar w:fldCharType="begin"/>
      </w:r>
      <w:r>
        <w:instrText xml:space="preserve"> NOTEREF _Ref78152878 \h </w:instrText>
      </w:r>
      <w:r>
        <w:fldChar w:fldCharType="separate"/>
      </w:r>
      <w:r>
        <w:t>81</w:t>
      </w:r>
      <w:r>
        <w:fldChar w:fldCharType="end"/>
      </w:r>
      <w:r w:rsidRPr="003E1E87">
        <w:t>, at para 27.</w:t>
      </w:r>
    </w:p>
  </w:footnote>
  <w:footnote w:id="106">
    <w:p w14:paraId="50D2F812" w14:textId="3E1BEC54" w:rsidR="00580293" w:rsidRPr="003E1E87" w:rsidRDefault="00580293">
      <w:pPr>
        <w:pStyle w:val="FootnoteText"/>
      </w:pPr>
      <w:r w:rsidRPr="003E1E87">
        <w:rPr>
          <w:rStyle w:val="FootnoteReference"/>
        </w:rPr>
        <w:footnoteRef/>
      </w:r>
      <w:r w:rsidRPr="003E1E87">
        <w:t xml:space="preserve"> See, for example, von </w:t>
      </w:r>
      <w:proofErr w:type="spellStart"/>
      <w:r w:rsidRPr="003E1E87">
        <w:t>Tigerstrom</w:t>
      </w:r>
      <w:proofErr w:type="spellEnd"/>
      <w:r w:rsidRPr="003E1E87">
        <w:t xml:space="preserve">, </w:t>
      </w:r>
      <w:r w:rsidRPr="003E1E87">
        <w:rPr>
          <w:i/>
          <w:iCs/>
        </w:rPr>
        <w:t xml:space="preserve">supra </w:t>
      </w:r>
      <w:r>
        <w:t xml:space="preserve">note </w:t>
      </w:r>
      <w:r>
        <w:fldChar w:fldCharType="begin"/>
      </w:r>
      <w:r>
        <w:instrText xml:space="preserve"> NOTEREF _Ref78152384 \h </w:instrText>
      </w:r>
      <w:r>
        <w:fldChar w:fldCharType="separate"/>
      </w:r>
      <w:r>
        <w:t>18</w:t>
      </w:r>
      <w:r>
        <w:fldChar w:fldCharType="end"/>
      </w:r>
      <w:r w:rsidRPr="003E1E87">
        <w:t>, at 7.</w:t>
      </w:r>
    </w:p>
  </w:footnote>
  <w:footnote w:id="107">
    <w:p w14:paraId="3B2BC020" w14:textId="2E403AD2" w:rsidR="00580293" w:rsidRPr="003E1E87" w:rsidRDefault="00580293" w:rsidP="005D5831">
      <w:pPr>
        <w:pStyle w:val="FootnoteText"/>
      </w:pPr>
      <w:r w:rsidRPr="003E1E87">
        <w:rPr>
          <w:rStyle w:val="FootnoteReference"/>
        </w:rPr>
        <w:footnoteRef/>
      </w:r>
      <w:r w:rsidRPr="003E1E87">
        <w:t xml:space="preserve"> </w:t>
      </w:r>
      <w:proofErr w:type="spellStart"/>
      <w:r w:rsidRPr="003E1E87">
        <w:rPr>
          <w:i/>
          <w:iCs/>
        </w:rPr>
        <w:t>Somwar</w:t>
      </w:r>
      <w:proofErr w:type="spellEnd"/>
      <w:r w:rsidRPr="003E1E87">
        <w:rPr>
          <w:i/>
          <w:iCs/>
        </w:rPr>
        <w:t xml:space="preserve">, supra </w:t>
      </w:r>
      <w:r w:rsidRPr="003E1E87">
        <w:t xml:space="preserve">note </w:t>
      </w:r>
      <w:r>
        <w:fldChar w:fldCharType="begin"/>
      </w:r>
      <w:r>
        <w:instrText xml:space="preserve"> NOTEREF _Ref78152878 \h </w:instrText>
      </w:r>
      <w:r>
        <w:fldChar w:fldCharType="separate"/>
      </w:r>
      <w:r>
        <w:t>81</w:t>
      </w:r>
      <w:r>
        <w:fldChar w:fldCharType="end"/>
      </w:r>
      <w:r w:rsidRPr="003E1E87">
        <w:t xml:space="preserve">, at para 27, quoting Robyn M. Ryan Bell, "Tort of Invasion of Privacy </w:t>
      </w:r>
      <w:r>
        <w:rPr>
          <w:lang w:bidi="he-IL"/>
        </w:rPr>
        <w:t>–</w:t>
      </w:r>
      <w:r w:rsidRPr="003E1E87">
        <w:t xml:space="preserve"> Has its Time Finally Come?" in Todd Archibald &amp; Michael Cochrane, Annual Review of Civil Litigation (Toronto: Thomson Carswell, 2005) at 225. See too Chris </w:t>
      </w:r>
      <w:r w:rsidRPr="003E1E87">
        <w:rPr>
          <w:rStyle w:val="il"/>
        </w:rPr>
        <w:t>Hunt</w:t>
      </w:r>
      <w:r w:rsidRPr="003E1E87">
        <w:t>, "Privacy in the Common Law: A Critical Appraisal of the Ontario Court of Appeal's Decision in Jones v. Tsige" (2012) 37:2 Queen's L</w:t>
      </w:r>
      <w:r>
        <w:t>J</w:t>
      </w:r>
      <w:r w:rsidRPr="003E1E87">
        <w:t xml:space="preserve"> 665.</w:t>
      </w:r>
    </w:p>
  </w:footnote>
  <w:footnote w:id="108">
    <w:p w14:paraId="4E8E69B8" w14:textId="65196A37" w:rsidR="00580293" w:rsidRPr="003E1E87" w:rsidRDefault="00580293" w:rsidP="00267A2E">
      <w:pPr>
        <w:pStyle w:val="FootnoteText"/>
      </w:pPr>
      <w:r w:rsidRPr="003E1E87">
        <w:rPr>
          <w:rStyle w:val="FootnoteReference"/>
        </w:rPr>
        <w:footnoteRef/>
      </w:r>
      <w:r w:rsidRPr="003E1E87">
        <w:t xml:space="preserve"> Indeed, the quasi-constitutional nature of </w:t>
      </w:r>
      <w:r w:rsidRPr="003E1E87">
        <w:rPr>
          <w:i/>
          <w:iCs/>
        </w:rPr>
        <w:t>CPPA</w:t>
      </w:r>
      <w:r w:rsidRPr="003E1E87">
        <w:t xml:space="preserve"> is even more express because it was brought forward though the </w:t>
      </w:r>
      <w:r w:rsidRPr="003E1E87">
        <w:rPr>
          <w:i/>
          <w:iCs/>
        </w:rPr>
        <w:t xml:space="preserve">Digital </w:t>
      </w:r>
      <w:r w:rsidRPr="003E1E87">
        <w:rPr>
          <w:b/>
          <w:bCs/>
          <w:i/>
          <w:iCs/>
        </w:rPr>
        <w:t>Charter</w:t>
      </w:r>
      <w:r w:rsidRPr="003E1E87">
        <w:rPr>
          <w:i/>
          <w:iCs/>
        </w:rPr>
        <w:t xml:space="preserve"> Implementation Act</w:t>
      </w:r>
      <w:r w:rsidRPr="003E1E87">
        <w:t xml:space="preserve">, 2020 [emphasis added] mentioned in the introduction to this </w:t>
      </w:r>
      <w:r>
        <w:t>article</w:t>
      </w:r>
      <w:r w:rsidRPr="003E1E87">
        <w:t xml:space="preserve">. The word “Charter” naturally brings to mind the </w:t>
      </w:r>
      <w:r w:rsidRPr="00E160D4">
        <w:rPr>
          <w:i/>
          <w:iCs/>
        </w:rPr>
        <w:t>Canadian</w:t>
      </w:r>
      <w:r w:rsidRPr="003E1E87">
        <w:t xml:space="preserve"> </w:t>
      </w:r>
      <w:r w:rsidRPr="003E1E87">
        <w:rPr>
          <w:i/>
          <w:iCs/>
        </w:rPr>
        <w:t xml:space="preserve">Charter of Rights and Freedoms </w:t>
      </w:r>
      <w:r w:rsidRPr="003E1E87">
        <w:t>and leads to the conclusion that the government chose the words “</w:t>
      </w:r>
      <w:r w:rsidRPr="003E1E87">
        <w:rPr>
          <w:i/>
          <w:iCs/>
        </w:rPr>
        <w:t>Digital Charter</w:t>
      </w:r>
      <w:r w:rsidRPr="003E1E87">
        <w:t xml:space="preserve">” as signalling a constitutional backdrop to its legislative and policy agenda. </w:t>
      </w:r>
    </w:p>
  </w:footnote>
  <w:footnote w:id="109">
    <w:p w14:paraId="1C82CE74" w14:textId="74771445" w:rsidR="00580293" w:rsidRPr="003E1E87" w:rsidRDefault="00580293">
      <w:pPr>
        <w:pStyle w:val="FootnoteText"/>
      </w:pPr>
      <w:r w:rsidRPr="003E1E87">
        <w:rPr>
          <w:rStyle w:val="FootnoteReference"/>
        </w:rPr>
        <w:footnoteRef/>
      </w:r>
      <w:r w:rsidRPr="003E1E87">
        <w:t xml:space="preserve"> </w:t>
      </w:r>
      <w:r w:rsidRPr="003E1E87">
        <w:rPr>
          <w:i/>
          <w:iCs/>
        </w:rPr>
        <w:t>Francis v Ontario</w:t>
      </w:r>
      <w:r w:rsidRPr="003E1E87">
        <w:t>, 2020 ONSC 1644 at para 605, aff’d 2021 ONCA 197.</w:t>
      </w:r>
    </w:p>
  </w:footnote>
  <w:footnote w:id="110">
    <w:p w14:paraId="236B9DAA" w14:textId="0BF3C191" w:rsidR="00580293" w:rsidRPr="003E1E87" w:rsidRDefault="00580293" w:rsidP="00C82D87">
      <w:pPr>
        <w:pStyle w:val="FootnoteText"/>
      </w:pPr>
      <w:r w:rsidRPr="003E1E87">
        <w:rPr>
          <w:rStyle w:val="FootnoteReference"/>
        </w:rPr>
        <w:footnoteRef/>
      </w:r>
      <w:r w:rsidRPr="003E1E87">
        <w:t xml:space="preserve"> </w:t>
      </w:r>
      <w:proofErr w:type="spellStart"/>
      <w:r w:rsidRPr="003E1E87">
        <w:rPr>
          <w:i/>
          <w:iCs/>
        </w:rPr>
        <w:t>Nammo</w:t>
      </w:r>
      <w:proofErr w:type="spellEnd"/>
      <w:r w:rsidRPr="003E1E87">
        <w:rPr>
          <w:i/>
          <w:iCs/>
        </w:rPr>
        <w:t xml:space="preserve">, supra </w:t>
      </w:r>
      <w:r w:rsidRPr="003E1E87">
        <w:t xml:space="preserve">note </w:t>
      </w:r>
      <w:r>
        <w:fldChar w:fldCharType="begin"/>
      </w:r>
      <w:r>
        <w:instrText xml:space="preserve"> NOTEREF _Ref78152819 \h </w:instrText>
      </w:r>
      <w:r>
        <w:fldChar w:fldCharType="separate"/>
      </w:r>
      <w:r>
        <w:t>72</w:t>
      </w:r>
      <w:r>
        <w:fldChar w:fldCharType="end"/>
      </w:r>
      <w:r w:rsidRPr="003E1E87">
        <w:t xml:space="preserve">, at paras 74 – 75. </w:t>
      </w:r>
    </w:p>
  </w:footnote>
  <w:footnote w:id="111">
    <w:p w14:paraId="508B0B99" w14:textId="200A6235" w:rsidR="00580293" w:rsidRPr="003E1E87" w:rsidRDefault="00580293" w:rsidP="003C0F01">
      <w:pPr>
        <w:pStyle w:val="FootnoteText"/>
      </w:pPr>
      <w:r w:rsidRPr="003E1E87">
        <w:rPr>
          <w:rStyle w:val="FootnoteReference"/>
        </w:rPr>
        <w:footnoteRef/>
      </w:r>
      <w:r w:rsidRPr="003E1E87">
        <w:t xml:space="preserve"> </w:t>
      </w:r>
      <w:r w:rsidRPr="003E1E87">
        <w:rPr>
          <w:i/>
          <w:iCs/>
        </w:rPr>
        <w:t xml:space="preserve">Ibid </w:t>
      </w:r>
      <w:r w:rsidRPr="003E1E87">
        <w:t xml:space="preserve">at para 75, citing </w:t>
      </w:r>
      <w:r w:rsidRPr="003C0F01">
        <w:rPr>
          <w:i/>
          <w:iCs/>
        </w:rPr>
        <w:t>Lavigne v Canada (Office of the Commissioner of Official Languages)</w:t>
      </w:r>
      <w:r w:rsidRPr="003C0F01">
        <w:t>, 2002 SCC 53</w:t>
      </w:r>
      <w:r>
        <w:t>.</w:t>
      </w:r>
    </w:p>
  </w:footnote>
  <w:footnote w:id="112">
    <w:p w14:paraId="12E805A2" w14:textId="689D364A" w:rsidR="00580293" w:rsidRPr="003E1E87" w:rsidRDefault="00580293" w:rsidP="00C82D87">
      <w:pPr>
        <w:pStyle w:val="FootnoteText"/>
      </w:pPr>
      <w:r w:rsidRPr="003E1E87">
        <w:rPr>
          <w:rStyle w:val="FootnoteReference"/>
        </w:rPr>
        <w:footnoteRef/>
      </w:r>
      <w:r w:rsidRPr="003E1E87">
        <w:t xml:space="preserve"> </w:t>
      </w:r>
      <w:r w:rsidRPr="003E1E87">
        <w:rPr>
          <w:i/>
          <w:iCs/>
        </w:rPr>
        <w:t>Ward,</w:t>
      </w:r>
      <w:r w:rsidRPr="003E1E87">
        <w:t xml:space="preserve"> </w:t>
      </w:r>
      <w:r w:rsidRPr="003E1E87">
        <w:rPr>
          <w:i/>
          <w:iCs/>
        </w:rPr>
        <w:t xml:space="preserve">supra </w:t>
      </w:r>
      <w:r w:rsidRPr="003E1E87">
        <w:t xml:space="preserve">note </w:t>
      </w:r>
      <w:r>
        <w:fldChar w:fldCharType="begin"/>
      </w:r>
      <w:r>
        <w:instrText xml:space="preserve"> NOTEREF _Ref78153215 \h </w:instrText>
      </w:r>
      <w:r>
        <w:fldChar w:fldCharType="separate"/>
      </w:r>
      <w:r>
        <w:t>62</w:t>
      </w:r>
      <w:r>
        <w:fldChar w:fldCharType="end"/>
      </w:r>
      <w:r w:rsidRPr="003E1E87">
        <w:t xml:space="preserve">. This case involved a strip search conducted contrary to Section 8 of the </w:t>
      </w:r>
      <w:r w:rsidRPr="003E1E87">
        <w:rPr>
          <w:i/>
          <w:iCs/>
        </w:rPr>
        <w:t>Charter</w:t>
      </w:r>
      <w:r w:rsidRPr="003E1E87">
        <w:t>.</w:t>
      </w:r>
    </w:p>
  </w:footnote>
  <w:footnote w:id="113">
    <w:p w14:paraId="24FDDBC7" w14:textId="7FB3D645" w:rsidR="00580293" w:rsidRPr="003E1E87" w:rsidRDefault="00580293" w:rsidP="00C82D87">
      <w:pPr>
        <w:pStyle w:val="FootnoteText"/>
      </w:pPr>
      <w:r w:rsidRPr="003E1E87">
        <w:rPr>
          <w:rStyle w:val="FootnoteReference"/>
        </w:rPr>
        <w:footnoteRef/>
      </w:r>
      <w:r w:rsidRPr="003E1E87">
        <w:t xml:space="preserve"> </w:t>
      </w:r>
      <w:proofErr w:type="spellStart"/>
      <w:r w:rsidRPr="003E1E87">
        <w:rPr>
          <w:i/>
          <w:iCs/>
        </w:rPr>
        <w:t>Nammo</w:t>
      </w:r>
      <w:proofErr w:type="spellEnd"/>
      <w:r w:rsidRPr="003E1E87">
        <w:rPr>
          <w:i/>
          <w:iCs/>
        </w:rPr>
        <w:t xml:space="preserve">, supra </w:t>
      </w:r>
      <w:r w:rsidRPr="003E1E87">
        <w:t xml:space="preserve">note </w:t>
      </w:r>
      <w:r>
        <w:fldChar w:fldCharType="begin"/>
      </w:r>
      <w:r>
        <w:instrText xml:space="preserve"> NOTEREF _Ref78152819 \h </w:instrText>
      </w:r>
      <w:r>
        <w:fldChar w:fldCharType="separate"/>
      </w:r>
      <w:r>
        <w:t>72</w:t>
      </w:r>
      <w:r>
        <w:fldChar w:fldCharType="end"/>
      </w:r>
      <w:r w:rsidRPr="003E1E87">
        <w:t xml:space="preserve">, at para 74, quoting </w:t>
      </w:r>
      <w:r w:rsidRPr="003E1E87">
        <w:rPr>
          <w:i/>
          <w:iCs/>
        </w:rPr>
        <w:t>Ward, ibid.</w:t>
      </w:r>
    </w:p>
  </w:footnote>
  <w:footnote w:id="114">
    <w:p w14:paraId="3372C48D" w14:textId="15BC275D" w:rsidR="00580293" w:rsidRPr="003E1E87" w:rsidRDefault="00580293">
      <w:pPr>
        <w:spacing w:after="0"/>
        <w:contextualSpacing/>
      </w:pPr>
      <w:r w:rsidRPr="003E1E87">
        <w:rPr>
          <w:rStyle w:val="FootnoteReference"/>
          <w:sz w:val="20"/>
          <w:szCs w:val="20"/>
        </w:rPr>
        <w:footnoteRef/>
      </w:r>
      <w:r w:rsidRPr="003E1E87">
        <w:rPr>
          <w:sz w:val="20"/>
          <w:szCs w:val="20"/>
        </w:rPr>
        <w:t xml:space="preserve"> Kenneth Abraham &amp; G Edward White</w:t>
      </w:r>
      <w:r w:rsidRPr="003E1E87">
        <w:rPr>
          <w:i/>
          <w:iCs/>
          <w:sz w:val="20"/>
          <w:szCs w:val="20"/>
        </w:rPr>
        <w:t xml:space="preserve">, </w:t>
      </w:r>
      <w:r w:rsidRPr="003E1E87">
        <w:rPr>
          <w:sz w:val="20"/>
          <w:szCs w:val="20"/>
        </w:rPr>
        <w:t>“</w:t>
      </w:r>
      <w:r w:rsidRPr="003E1E87">
        <w:rPr>
          <w:rStyle w:val="Emphasis"/>
          <w:i w:val="0"/>
          <w:iCs w:val="0"/>
          <w:sz w:val="20"/>
          <w:szCs w:val="20"/>
        </w:rPr>
        <w:t>The</w:t>
      </w:r>
      <w:r w:rsidRPr="003E1E87">
        <w:rPr>
          <w:i/>
          <w:iCs/>
          <w:sz w:val="20"/>
          <w:szCs w:val="20"/>
        </w:rPr>
        <w:t xml:space="preserve"> Puzzle of the Dignitary Torts</w:t>
      </w:r>
      <w:r w:rsidRPr="003E1E87">
        <w:rPr>
          <w:sz w:val="20"/>
          <w:szCs w:val="20"/>
        </w:rPr>
        <w:t xml:space="preserve">”, (2019) 104 Cornell L Rev 317 at 373. </w:t>
      </w:r>
    </w:p>
  </w:footnote>
  <w:footnote w:id="115">
    <w:p w14:paraId="00B417CE" w14:textId="66B634BA" w:rsidR="00580293" w:rsidRPr="003E1E87" w:rsidRDefault="00580293" w:rsidP="002415BA">
      <w:pPr>
        <w:pStyle w:val="FootnoteText"/>
      </w:pPr>
      <w:r w:rsidRPr="003E1E87">
        <w:rPr>
          <w:rStyle w:val="FootnoteReference"/>
        </w:rPr>
        <w:footnoteRef/>
      </w:r>
      <w:r w:rsidRPr="003E1E87">
        <w:t xml:space="preserve"> R v Jarvis, 2019 SCC 10. This case concerned the charge of voyeurism under section 162(1)(c) of the </w:t>
      </w:r>
      <w:r w:rsidRPr="003E1E87">
        <w:rPr>
          <w:i/>
          <w:iCs/>
        </w:rPr>
        <w:t>Criminal Code of Canada</w:t>
      </w:r>
      <w:r w:rsidRPr="003E1E87">
        <w:t xml:space="preserve">. </w:t>
      </w:r>
    </w:p>
  </w:footnote>
  <w:footnote w:id="116">
    <w:p w14:paraId="7292A47E" w14:textId="524B24EC" w:rsidR="00580293" w:rsidRPr="003E1E87" w:rsidRDefault="00580293">
      <w:pPr>
        <w:pStyle w:val="FootnoteText"/>
      </w:pPr>
      <w:r w:rsidRPr="003E1E87">
        <w:rPr>
          <w:rStyle w:val="FootnoteReference"/>
        </w:rPr>
        <w:footnoteRef/>
      </w:r>
      <w:r w:rsidRPr="003E1E87">
        <w:t xml:space="preserve"> </w:t>
      </w:r>
      <w:bookmarkStart w:id="30" w:name="_Hlk73613657"/>
      <w:r w:rsidRPr="003E1E87">
        <w:rPr>
          <w:i/>
          <w:iCs/>
        </w:rPr>
        <w:t xml:space="preserve">Ibid </w:t>
      </w:r>
      <w:bookmarkEnd w:id="30"/>
      <w:r w:rsidRPr="003E1E87">
        <w:t>at para 65.</w:t>
      </w:r>
    </w:p>
  </w:footnote>
  <w:footnote w:id="117">
    <w:p w14:paraId="08DA5DE7" w14:textId="1DB53DEB" w:rsidR="00580293" w:rsidRPr="003E1E87" w:rsidRDefault="00580293" w:rsidP="00C82D87">
      <w:pPr>
        <w:pStyle w:val="FootnoteText"/>
      </w:pPr>
      <w:r w:rsidRPr="003E1E87">
        <w:rPr>
          <w:rStyle w:val="FootnoteReference"/>
        </w:rPr>
        <w:footnoteRef/>
      </w:r>
      <w:r w:rsidRPr="003E1E87">
        <w:t xml:space="preserve"> Abraham &amp; White, </w:t>
      </w:r>
      <w:r w:rsidRPr="003E1E87">
        <w:rPr>
          <w:i/>
          <w:iCs/>
        </w:rPr>
        <w:t xml:space="preserve">supra </w:t>
      </w:r>
      <w:r w:rsidRPr="003E1E87">
        <w:t xml:space="preserve">note </w:t>
      </w:r>
      <w:r>
        <w:fldChar w:fldCharType="begin"/>
      </w:r>
      <w:r>
        <w:instrText xml:space="preserve"> NOTEREF _Ref78153248 \h </w:instrText>
      </w:r>
      <w:r>
        <w:fldChar w:fldCharType="separate"/>
      </w:r>
      <w:r>
        <w:t>111</w:t>
      </w:r>
      <w:r>
        <w:fldChar w:fldCharType="end"/>
      </w:r>
      <w:r w:rsidRPr="003E1E87">
        <w:t>, at 335.</w:t>
      </w:r>
    </w:p>
  </w:footnote>
  <w:footnote w:id="118">
    <w:p w14:paraId="3F69550A" w14:textId="30B06CA2" w:rsidR="00580293" w:rsidRPr="003E1E87" w:rsidRDefault="00580293">
      <w:pPr>
        <w:pStyle w:val="FootnoteText"/>
      </w:pPr>
      <w:r w:rsidRPr="003E1E87">
        <w:rPr>
          <w:rStyle w:val="FootnoteReference"/>
        </w:rPr>
        <w:footnoteRef/>
      </w:r>
      <w:r w:rsidRPr="003E1E87">
        <w:t xml:space="preserve"> </w:t>
      </w:r>
      <w:r w:rsidRPr="003E1E87">
        <w:rPr>
          <w:i/>
          <w:iCs/>
        </w:rPr>
        <w:t xml:space="preserve">Ibid </w:t>
      </w:r>
      <w:r w:rsidRPr="003E1E87">
        <w:t>at 336.</w:t>
      </w:r>
    </w:p>
  </w:footnote>
  <w:footnote w:id="119">
    <w:p w14:paraId="5B8800DB" w14:textId="02952F87" w:rsidR="00580293" w:rsidRPr="003E1E87" w:rsidRDefault="00580293" w:rsidP="006C5C0C">
      <w:pPr>
        <w:spacing w:after="0"/>
        <w:rPr>
          <w:sz w:val="20"/>
          <w:szCs w:val="20"/>
        </w:rPr>
      </w:pPr>
      <w:r w:rsidRPr="003E1E87">
        <w:rPr>
          <w:rStyle w:val="FootnoteReference"/>
          <w:sz w:val="20"/>
          <w:szCs w:val="20"/>
        </w:rPr>
        <w:footnoteRef/>
      </w:r>
      <w:r w:rsidRPr="003E1E87">
        <w:rPr>
          <w:sz w:val="20"/>
          <w:szCs w:val="20"/>
        </w:rPr>
        <w:t xml:space="preserve"> </w:t>
      </w:r>
      <w:r w:rsidRPr="003E1E87">
        <w:rPr>
          <w:i/>
          <w:iCs/>
          <w:sz w:val="20"/>
          <w:szCs w:val="20"/>
        </w:rPr>
        <w:t xml:space="preserve">Ibid </w:t>
      </w:r>
      <w:r w:rsidRPr="003E1E87">
        <w:rPr>
          <w:sz w:val="20"/>
          <w:szCs w:val="20"/>
        </w:rPr>
        <w:t xml:space="preserve">at 337.  </w:t>
      </w:r>
      <w:r w:rsidRPr="003E1E87">
        <w:t xml:space="preserve">  </w:t>
      </w:r>
    </w:p>
  </w:footnote>
  <w:footnote w:id="120">
    <w:p w14:paraId="5339A65C" w14:textId="5E43B96B" w:rsidR="00580293" w:rsidRPr="003E1E87" w:rsidRDefault="00580293">
      <w:pPr>
        <w:pStyle w:val="FootnoteText"/>
      </w:pPr>
      <w:r w:rsidRPr="003E1E87">
        <w:rPr>
          <w:rStyle w:val="FootnoteReference"/>
        </w:rPr>
        <w:footnoteRef/>
      </w:r>
      <w:r w:rsidRPr="003E1E87">
        <w:t xml:space="preserve"> </w:t>
      </w:r>
      <w:r w:rsidRPr="003E1E87">
        <w:rPr>
          <w:i/>
          <w:iCs/>
        </w:rPr>
        <w:t xml:space="preserve">Ibid </w:t>
      </w:r>
      <w:r w:rsidRPr="003E1E87">
        <w:t>at 336.</w:t>
      </w:r>
    </w:p>
  </w:footnote>
  <w:footnote w:id="121">
    <w:p w14:paraId="7CDC8E1E" w14:textId="003BD486" w:rsidR="00580293" w:rsidRPr="003E1E87" w:rsidRDefault="00580293">
      <w:pPr>
        <w:pStyle w:val="FootnoteText"/>
      </w:pPr>
      <w:r w:rsidRPr="003E1E87">
        <w:rPr>
          <w:rStyle w:val="FootnoteReference"/>
        </w:rPr>
        <w:footnoteRef/>
      </w:r>
      <w:r w:rsidRPr="003E1E87">
        <w:t xml:space="preserve"> John DR Craig, “Invasion of Privacy and </w:t>
      </w:r>
      <w:r w:rsidRPr="003E1E87">
        <w:rPr>
          <w:i/>
          <w:iCs/>
        </w:rPr>
        <w:t>Charter</w:t>
      </w:r>
      <w:r w:rsidRPr="003E1E87">
        <w:t xml:space="preserve"> Values: The Common-Law Tort Awakens” (1997) 42 </w:t>
      </w:r>
      <w:r>
        <w:t>McGill LJ</w:t>
      </w:r>
      <w:r w:rsidRPr="003E1E87">
        <w:t xml:space="preserve"> 355 at 372.</w:t>
      </w:r>
    </w:p>
  </w:footnote>
  <w:footnote w:id="122">
    <w:p w14:paraId="5BEFB780" w14:textId="6CE397CA" w:rsidR="00580293" w:rsidRPr="003E1E87" w:rsidRDefault="00580293">
      <w:pPr>
        <w:pStyle w:val="FootnoteText"/>
      </w:pPr>
      <w:r w:rsidRPr="003E1E87">
        <w:rPr>
          <w:rStyle w:val="FootnoteReference"/>
        </w:rPr>
        <w:footnoteRef/>
      </w:r>
      <w:r w:rsidRPr="003E1E87">
        <w:t xml:space="preserve"> </w:t>
      </w:r>
      <w:r w:rsidRPr="003E1E87">
        <w:rPr>
          <w:i/>
          <w:iCs/>
        </w:rPr>
        <w:t xml:space="preserve">Ibid </w:t>
      </w:r>
      <w:r w:rsidRPr="003E1E87">
        <w:t>at 373, his footnote 83.</w:t>
      </w:r>
    </w:p>
  </w:footnote>
  <w:footnote w:id="123">
    <w:p w14:paraId="57176EA8" w14:textId="3E4DCA7E" w:rsidR="00580293" w:rsidRPr="003E1E87" w:rsidRDefault="00580293" w:rsidP="00C82D87">
      <w:pPr>
        <w:pStyle w:val="FootnoteText"/>
      </w:pPr>
      <w:r w:rsidRPr="003E1E87">
        <w:rPr>
          <w:rStyle w:val="FootnoteReference"/>
        </w:rPr>
        <w:footnoteRef/>
      </w:r>
      <w:r w:rsidRPr="003E1E87">
        <w:t xml:space="preserve"> Jason NE </w:t>
      </w:r>
      <w:proofErr w:type="spellStart"/>
      <w:r w:rsidRPr="003E1E87">
        <w:t>Varuhas</w:t>
      </w:r>
      <w:proofErr w:type="spellEnd"/>
      <w:r w:rsidRPr="003E1E87">
        <w:t xml:space="preserve">, “Varieties of Damages for Breach of Privacy” in Jason NE </w:t>
      </w:r>
      <w:proofErr w:type="spellStart"/>
      <w:r w:rsidRPr="003E1E87">
        <w:t>Varuhas</w:t>
      </w:r>
      <w:proofErr w:type="spellEnd"/>
      <w:r w:rsidRPr="003E1E87">
        <w:t xml:space="preserve"> and NA </w:t>
      </w:r>
      <w:proofErr w:type="spellStart"/>
      <w:r w:rsidRPr="003E1E87">
        <w:t>Moreham</w:t>
      </w:r>
      <w:proofErr w:type="spellEnd"/>
      <w:r w:rsidRPr="003E1E87">
        <w:t xml:space="preserve">, </w:t>
      </w:r>
      <w:r w:rsidRPr="003E1E87">
        <w:rPr>
          <w:i/>
          <w:iCs/>
        </w:rPr>
        <w:t xml:space="preserve">supra </w:t>
      </w:r>
      <w:r w:rsidRPr="003E1E87">
        <w:t xml:space="preserve">note </w:t>
      </w:r>
      <w:r>
        <w:fldChar w:fldCharType="begin"/>
      </w:r>
      <w:r>
        <w:instrText xml:space="preserve"> NOTEREF _Ref78153280 \h </w:instrText>
      </w:r>
      <w:r>
        <w:fldChar w:fldCharType="separate"/>
      </w:r>
      <w:r>
        <w:t>61</w:t>
      </w:r>
      <w:r>
        <w:fldChar w:fldCharType="end"/>
      </w:r>
      <w:r>
        <w:t xml:space="preserve">, 55 at </w:t>
      </w:r>
      <w:r w:rsidRPr="003E1E87">
        <w:t>59.</w:t>
      </w:r>
    </w:p>
  </w:footnote>
  <w:footnote w:id="124">
    <w:p w14:paraId="47AEC6F5" w14:textId="59E30810" w:rsidR="00580293" w:rsidRPr="003E1E87" w:rsidRDefault="00580293">
      <w:pPr>
        <w:pStyle w:val="FootnoteText"/>
      </w:pPr>
      <w:r w:rsidRPr="003E1E87">
        <w:rPr>
          <w:rStyle w:val="FootnoteReference"/>
        </w:rPr>
        <w:footnoteRef/>
      </w:r>
      <w:r w:rsidRPr="003E1E87">
        <w:t xml:space="preserve"> </w:t>
      </w:r>
      <w:r w:rsidRPr="003E1E87">
        <w:rPr>
          <w:i/>
          <w:iCs/>
        </w:rPr>
        <w:t>Ibid</w:t>
      </w:r>
      <w:r w:rsidRPr="003E1E87">
        <w:t xml:space="preserve">. </w:t>
      </w:r>
    </w:p>
  </w:footnote>
  <w:footnote w:id="125">
    <w:p w14:paraId="3DC29E82" w14:textId="3BC534A5" w:rsidR="00580293" w:rsidRPr="003E1E87" w:rsidRDefault="00580293" w:rsidP="00C82D87">
      <w:pPr>
        <w:pStyle w:val="FootnoteText"/>
      </w:pPr>
      <w:r w:rsidRPr="003E1E87">
        <w:rPr>
          <w:rStyle w:val="FootnoteReference"/>
        </w:rPr>
        <w:footnoteRef/>
      </w:r>
      <w:r w:rsidRPr="003E1E87">
        <w:t xml:space="preserve"> </w:t>
      </w:r>
      <w:r w:rsidRPr="003E1E87">
        <w:rPr>
          <w:i/>
          <w:iCs/>
        </w:rPr>
        <w:t>Charter</w:t>
      </w:r>
      <w:r w:rsidRPr="003E1E87">
        <w:t xml:space="preserve"> rights are not absolute and are subject to Section 1 which states: “</w:t>
      </w:r>
      <w:r w:rsidRPr="003E1E87">
        <w:rPr>
          <w:rStyle w:val="hgkelc"/>
        </w:rPr>
        <w:t xml:space="preserve">The Canadian </w:t>
      </w:r>
      <w:r w:rsidRPr="003C0F01">
        <w:rPr>
          <w:rStyle w:val="hgkelc"/>
        </w:rPr>
        <w:t>Charter</w:t>
      </w:r>
      <w:r w:rsidRPr="003E1E87">
        <w:rPr>
          <w:rStyle w:val="hgkelc"/>
        </w:rPr>
        <w:t xml:space="preserve"> of Rights and Freedoms guarantees the rights and freedoms set out in it subject only to such reasonable limits prescribed by law as can be demonstrably justified in a free and democratic society.” </w:t>
      </w:r>
      <w:r w:rsidRPr="003E1E87">
        <w:rPr>
          <w:rStyle w:val="hgkelc"/>
          <w:i/>
          <w:iCs/>
        </w:rPr>
        <w:t>Supra</w:t>
      </w:r>
      <w:r w:rsidRPr="003E1E87">
        <w:rPr>
          <w:rStyle w:val="hgkelc"/>
        </w:rPr>
        <w:t xml:space="preserve"> note </w:t>
      </w:r>
      <w:r>
        <w:rPr>
          <w:rStyle w:val="hgkelc"/>
        </w:rPr>
        <w:fldChar w:fldCharType="begin"/>
      </w:r>
      <w:r>
        <w:rPr>
          <w:rStyle w:val="hgkelc"/>
        </w:rPr>
        <w:instrText xml:space="preserve"> NOTEREF _Ref78152963 \h </w:instrText>
      </w:r>
      <w:r>
        <w:rPr>
          <w:rStyle w:val="hgkelc"/>
        </w:rPr>
      </w:r>
      <w:r>
        <w:rPr>
          <w:rStyle w:val="hgkelc"/>
        </w:rPr>
        <w:fldChar w:fldCharType="separate"/>
      </w:r>
      <w:r>
        <w:rPr>
          <w:rStyle w:val="hgkelc"/>
        </w:rPr>
        <w:t>63</w:t>
      </w:r>
      <w:r>
        <w:rPr>
          <w:rStyle w:val="hgkelc"/>
        </w:rPr>
        <w:fldChar w:fldCharType="end"/>
      </w:r>
      <w:r w:rsidRPr="003E1E87">
        <w:rPr>
          <w:rStyle w:val="hgkelc"/>
        </w:rPr>
        <w:t>.</w:t>
      </w:r>
    </w:p>
  </w:footnote>
  <w:footnote w:id="126">
    <w:p w14:paraId="49A135D3" w14:textId="74C31B09" w:rsidR="00580293" w:rsidRPr="003E1E87" w:rsidRDefault="00580293">
      <w:pPr>
        <w:pStyle w:val="FootnoteText"/>
      </w:pPr>
      <w:r w:rsidRPr="003E1E87">
        <w:rPr>
          <w:rStyle w:val="FootnoteReference"/>
        </w:rPr>
        <w:footnoteRef/>
      </w:r>
      <w:r w:rsidRPr="003E1E87">
        <w:t xml:space="preserve"> </w:t>
      </w:r>
      <w:r w:rsidRPr="003E1E87">
        <w:rPr>
          <w:i/>
          <w:iCs/>
        </w:rPr>
        <w:t>Canadian Civil Liberties Association v Canada</w:t>
      </w:r>
      <w:r w:rsidRPr="003E1E87">
        <w:t xml:space="preserve"> 2016 ONSC 4172 at para 4</w:t>
      </w:r>
    </w:p>
  </w:footnote>
  <w:footnote w:id="127">
    <w:p w14:paraId="1F62A317" w14:textId="5DA91C25" w:rsidR="00580293" w:rsidRPr="003E1E87" w:rsidRDefault="00580293" w:rsidP="005D5831">
      <w:pPr>
        <w:pStyle w:val="FootnoteText"/>
      </w:pPr>
      <w:r w:rsidRPr="003E1E87">
        <w:rPr>
          <w:rStyle w:val="FootnoteReference"/>
        </w:rPr>
        <w:footnoteRef/>
      </w:r>
      <w:r w:rsidRPr="003E1E87">
        <w:t xml:space="preserve"> Edward Bloustein, “Privacy as an Aspect of Human Dignity:  An Answer to Dean Prosser” (1964) 39 N</w:t>
      </w:r>
      <w:r>
        <w:t>YU</w:t>
      </w:r>
      <w:r w:rsidRPr="003E1E87">
        <w:t xml:space="preserve"> L Rev 962 at 1002-03, quoted by NA </w:t>
      </w:r>
      <w:proofErr w:type="spellStart"/>
      <w:r w:rsidRPr="003E1E87">
        <w:t>Moreham</w:t>
      </w:r>
      <w:proofErr w:type="spellEnd"/>
      <w:r w:rsidRPr="003E1E87">
        <w:t xml:space="preserve">, “Compensating for Loss of Dignity and Autonomy”  in Jason </w:t>
      </w:r>
      <w:proofErr w:type="spellStart"/>
      <w:r w:rsidRPr="003E1E87">
        <w:t>Varuhas</w:t>
      </w:r>
      <w:proofErr w:type="spellEnd"/>
      <w:r w:rsidRPr="003E1E87">
        <w:t xml:space="preserve"> &amp; NA </w:t>
      </w:r>
      <w:proofErr w:type="spellStart"/>
      <w:r w:rsidRPr="003E1E87">
        <w:t>Moreham</w:t>
      </w:r>
      <w:proofErr w:type="spellEnd"/>
      <w:r w:rsidRPr="003E1E87">
        <w:t xml:space="preserve">, </w:t>
      </w:r>
      <w:r w:rsidRPr="003E1E87">
        <w:rPr>
          <w:i/>
          <w:iCs/>
        </w:rPr>
        <w:t xml:space="preserve">supra </w:t>
      </w:r>
      <w:r>
        <w:t xml:space="preserve">note </w:t>
      </w:r>
      <w:r>
        <w:fldChar w:fldCharType="begin"/>
      </w:r>
      <w:r>
        <w:instrText xml:space="preserve"> NOTEREF _Ref78153280 \h </w:instrText>
      </w:r>
      <w:r>
        <w:fldChar w:fldCharType="separate"/>
      </w:r>
      <w:r>
        <w:t>61</w:t>
      </w:r>
      <w:r>
        <w:fldChar w:fldCharType="end"/>
      </w:r>
      <w:r w:rsidRPr="003E1E87">
        <w:t>, 125 at 134.</w:t>
      </w:r>
    </w:p>
  </w:footnote>
  <w:footnote w:id="128">
    <w:p w14:paraId="56D5F86F" w14:textId="5D6CB198" w:rsidR="00580293" w:rsidRPr="003E1E87" w:rsidRDefault="00580293">
      <w:pPr>
        <w:pStyle w:val="FootnoteText"/>
      </w:pPr>
      <w:r w:rsidRPr="003E1E87">
        <w:rPr>
          <w:rStyle w:val="FootnoteReference"/>
        </w:rPr>
        <w:footnoteRef/>
      </w:r>
      <w:r w:rsidRPr="003E1E87">
        <w:t xml:space="preserve"> Bloustein, </w:t>
      </w:r>
      <w:r w:rsidRPr="003E1E87">
        <w:rPr>
          <w:i/>
          <w:iCs/>
        </w:rPr>
        <w:t xml:space="preserve">ibid </w:t>
      </w:r>
      <w:r w:rsidRPr="003E1E87">
        <w:t xml:space="preserve">at 1002, quoting Restatement, Torts § 18 (1934).  </w:t>
      </w:r>
    </w:p>
  </w:footnote>
  <w:footnote w:id="129">
    <w:p w14:paraId="3B1140AA" w14:textId="27BD8E61" w:rsidR="00580293" w:rsidRPr="003E1E87" w:rsidRDefault="00580293" w:rsidP="00267A2E">
      <w:pPr>
        <w:pStyle w:val="FootnoteText"/>
      </w:pPr>
      <w:r w:rsidRPr="003E1E87">
        <w:rPr>
          <w:rStyle w:val="FootnoteReference"/>
        </w:rPr>
        <w:footnoteRef/>
      </w:r>
      <w:r w:rsidRPr="003E1E87">
        <w:t xml:space="preserve"> Bloustein, </w:t>
      </w:r>
      <w:r w:rsidRPr="003E1E87">
        <w:rPr>
          <w:i/>
          <w:iCs/>
        </w:rPr>
        <w:t xml:space="preserve">ibid </w:t>
      </w:r>
      <w:r w:rsidRPr="003E1E87">
        <w:t xml:space="preserve">at 1003. </w:t>
      </w:r>
    </w:p>
  </w:footnote>
  <w:footnote w:id="130">
    <w:p w14:paraId="74C479F8" w14:textId="398447E2" w:rsidR="00580293" w:rsidRPr="003E1E87" w:rsidRDefault="00580293" w:rsidP="00B57A64">
      <w:pPr>
        <w:pStyle w:val="FootnoteText"/>
      </w:pPr>
      <w:r w:rsidRPr="003E1E87">
        <w:rPr>
          <w:rStyle w:val="FootnoteReference"/>
        </w:rPr>
        <w:footnoteRef/>
      </w:r>
      <w:r w:rsidRPr="003E1E87">
        <w:t xml:space="preserve"> RSBC 1996, c 373; CCSM 2008, c P125; RSS 1978, c P24; RSNL 1990, c P22.</w:t>
      </w:r>
    </w:p>
  </w:footnote>
  <w:footnote w:id="131">
    <w:p w14:paraId="3088096C" w14:textId="64F88E82" w:rsidR="00580293" w:rsidRPr="003E1E87" w:rsidRDefault="00580293" w:rsidP="00374F8F">
      <w:pPr>
        <w:pStyle w:val="FootnoteText"/>
      </w:pPr>
      <w:r w:rsidRPr="003E1E87">
        <w:rPr>
          <w:rStyle w:val="FootnoteReference"/>
        </w:rPr>
        <w:footnoteRef/>
      </w:r>
      <w:r w:rsidRPr="003E1E87">
        <w:t xml:space="preserve"> </w:t>
      </w:r>
      <w:r w:rsidRPr="003E1E87">
        <w:rPr>
          <w:i/>
          <w:iCs/>
        </w:rPr>
        <w:t>Privacy Act</w:t>
      </w:r>
      <w:r w:rsidRPr="003E1E87">
        <w:t>, RSNL 1990, s 3(1)</w:t>
      </w:r>
    </w:p>
  </w:footnote>
  <w:footnote w:id="132">
    <w:p w14:paraId="16F779C5" w14:textId="53B435BB" w:rsidR="00580293" w:rsidRPr="003E1E87" w:rsidRDefault="00580293" w:rsidP="00957BBE">
      <w:pPr>
        <w:pStyle w:val="FootnoteText"/>
      </w:pPr>
      <w:r w:rsidRPr="003E1E87">
        <w:rPr>
          <w:rStyle w:val="FootnoteReference"/>
        </w:rPr>
        <w:footnoteRef/>
      </w:r>
      <w:r w:rsidRPr="003E1E87">
        <w:t xml:space="preserve"> </w:t>
      </w:r>
      <w:r w:rsidRPr="003E1E87">
        <w:rPr>
          <w:i/>
          <w:iCs/>
        </w:rPr>
        <w:t>Privacy Act</w:t>
      </w:r>
      <w:r w:rsidRPr="003E1E87">
        <w:t>, RSNL 1990, s 4.</w:t>
      </w:r>
    </w:p>
  </w:footnote>
  <w:footnote w:id="133">
    <w:p w14:paraId="2F072760" w14:textId="6CB5DCA6" w:rsidR="00580293" w:rsidRPr="003E1E87" w:rsidRDefault="00580293" w:rsidP="003F11D6">
      <w:pPr>
        <w:pStyle w:val="FootnoteText"/>
      </w:pPr>
      <w:r w:rsidRPr="003E1E87">
        <w:rPr>
          <w:rStyle w:val="FootnoteReference"/>
        </w:rPr>
        <w:footnoteRef/>
      </w:r>
      <w:r w:rsidRPr="003E1E87">
        <w:t xml:space="preserve"> </w:t>
      </w:r>
      <w:r w:rsidRPr="003E1E87">
        <w:rPr>
          <w:i/>
          <w:iCs/>
        </w:rPr>
        <w:t>Privacy Act</w:t>
      </w:r>
      <w:r w:rsidRPr="003E1E87">
        <w:t>, RSNL 1990, s 3(2).</w:t>
      </w:r>
      <w:r>
        <w:t xml:space="preserve"> See Chris</w:t>
      </w:r>
      <w:r w:rsidRPr="00147BD5">
        <w:t xml:space="preserve"> Hunt, "Reasonable Expectations of Privacy under Canada's Statutory Privacy Torts" (2018) 84 Sup Ct L</w:t>
      </w:r>
      <w:r>
        <w:t xml:space="preserve"> </w:t>
      </w:r>
      <w:r w:rsidRPr="00147BD5">
        <w:t>R</w:t>
      </w:r>
      <w:r>
        <w:t>ev</w:t>
      </w:r>
      <w:r w:rsidRPr="00147BD5">
        <w:t xml:space="preserve"> 269</w:t>
      </w:r>
    </w:p>
  </w:footnote>
  <w:footnote w:id="134">
    <w:p w14:paraId="407E592E" w14:textId="77C03CA9" w:rsidR="00580293" w:rsidRPr="003E1E87" w:rsidRDefault="00580293" w:rsidP="007E6DE2">
      <w:pPr>
        <w:pStyle w:val="FootnoteText"/>
      </w:pPr>
      <w:r w:rsidRPr="003E1E87">
        <w:rPr>
          <w:rStyle w:val="FootnoteReference"/>
        </w:rPr>
        <w:footnoteRef/>
      </w:r>
      <w:r w:rsidRPr="003E1E87">
        <w:t xml:space="preserve"> </w:t>
      </w:r>
      <w:r w:rsidRPr="003E1E87">
        <w:rPr>
          <w:i/>
          <w:iCs/>
        </w:rPr>
        <w:t>Privacy Act</w:t>
      </w:r>
      <w:r w:rsidRPr="003E1E87">
        <w:t>, RSNL 1990, s 5.</w:t>
      </w:r>
    </w:p>
  </w:footnote>
  <w:footnote w:id="135">
    <w:p w14:paraId="62C81852" w14:textId="185B3EBC" w:rsidR="00580293" w:rsidRPr="003E1E87" w:rsidRDefault="00580293" w:rsidP="00AB7AFD">
      <w:pPr>
        <w:pStyle w:val="FootnoteText"/>
      </w:pPr>
      <w:r w:rsidRPr="003E1E87">
        <w:rPr>
          <w:rStyle w:val="FootnoteReference"/>
        </w:rPr>
        <w:footnoteRef/>
      </w:r>
      <w:r w:rsidRPr="003E1E87">
        <w:t xml:space="preserve"> </w:t>
      </w:r>
      <w:r w:rsidRPr="003E1E87">
        <w:rPr>
          <w:rFonts w:ascii="Helvetica" w:hAnsi="Helvetica" w:cs="Helvetica"/>
          <w:i/>
          <w:iCs/>
          <w:color w:val="373739"/>
          <w:sz w:val="21"/>
          <w:szCs w:val="21"/>
          <w:shd w:val="clear" w:color="auto" w:fill="FFFFFF"/>
        </w:rPr>
        <w:t>Cam v Hood</w:t>
      </w:r>
      <w:r w:rsidRPr="003E1E87">
        <w:rPr>
          <w:rFonts w:ascii="Helvetica" w:hAnsi="Helvetica" w:cs="Helvetica"/>
          <w:color w:val="373739"/>
          <w:sz w:val="21"/>
          <w:szCs w:val="21"/>
          <w:shd w:val="clear" w:color="auto" w:fill="FFFFFF"/>
        </w:rPr>
        <w:t>, 2006 BCSC 842</w:t>
      </w:r>
      <w:r>
        <w:rPr>
          <w:rFonts w:ascii="Helvetica" w:hAnsi="Helvetica" w:cs="Helvetica"/>
          <w:color w:val="373739"/>
          <w:sz w:val="21"/>
          <w:szCs w:val="21"/>
          <w:shd w:val="clear" w:color="auto" w:fill="FFFFFF"/>
        </w:rPr>
        <w:t>.</w:t>
      </w:r>
    </w:p>
  </w:footnote>
  <w:footnote w:id="136">
    <w:p w14:paraId="1B917005" w14:textId="754B10E6" w:rsidR="00580293" w:rsidRPr="003E1E87" w:rsidRDefault="00580293" w:rsidP="00833404">
      <w:pPr>
        <w:pStyle w:val="FootnoteText"/>
      </w:pPr>
      <w:r w:rsidRPr="003E1E87">
        <w:rPr>
          <w:rStyle w:val="FootnoteReference"/>
        </w:rPr>
        <w:footnoteRef/>
      </w:r>
      <w:r w:rsidRPr="003E1E87">
        <w:t xml:space="preserve"> A table of key awards is included as Appendix B to </w:t>
      </w:r>
      <w:r w:rsidRPr="003E1E87">
        <w:rPr>
          <w:i/>
          <w:iCs/>
        </w:rPr>
        <w:t xml:space="preserve">Tsige, </w:t>
      </w:r>
      <w:r w:rsidRPr="00C82D87">
        <w:rPr>
          <w:i/>
          <w:iCs/>
        </w:rPr>
        <w:t>supra</w:t>
      </w:r>
      <w:r>
        <w:t xml:space="preserve"> note </w:t>
      </w:r>
      <w:r>
        <w:fldChar w:fldCharType="begin"/>
      </w:r>
      <w:r>
        <w:instrText xml:space="preserve"> NOTEREF _Ref78152727 \h </w:instrText>
      </w:r>
      <w:r>
        <w:fldChar w:fldCharType="separate"/>
      </w:r>
      <w:r>
        <w:t>51</w:t>
      </w:r>
      <w:r>
        <w:fldChar w:fldCharType="end"/>
      </w:r>
      <w:r>
        <w:t>.</w:t>
      </w:r>
      <w:r w:rsidRPr="003E1E87">
        <w:t xml:space="preserve">  </w:t>
      </w:r>
    </w:p>
  </w:footnote>
  <w:footnote w:id="137">
    <w:p w14:paraId="603EC718" w14:textId="6A7E6076" w:rsidR="00580293" w:rsidRPr="003E1E87" w:rsidRDefault="00580293" w:rsidP="00833404">
      <w:pPr>
        <w:pStyle w:val="FootnoteText"/>
      </w:pPr>
      <w:r w:rsidRPr="003E1E87">
        <w:rPr>
          <w:rStyle w:val="FootnoteReference"/>
        </w:rPr>
        <w:footnoteRef/>
      </w:r>
      <w:r w:rsidRPr="003E1E87">
        <w:t xml:space="preserve"> </w:t>
      </w:r>
      <w:r w:rsidRPr="003E1E87">
        <w:rPr>
          <w:i/>
          <w:iCs/>
          <w:lang w:bidi="he-IL"/>
        </w:rPr>
        <w:t>Hollinsworth v BCTV</w:t>
      </w:r>
      <w:r w:rsidRPr="003E1E87">
        <w:rPr>
          <w:lang w:bidi="he-IL"/>
        </w:rPr>
        <w:t xml:space="preserve"> (1998) CanLII 6527 BC CA [</w:t>
      </w:r>
      <w:r w:rsidRPr="003E1E87">
        <w:rPr>
          <w:i/>
          <w:iCs/>
          <w:lang w:bidi="he-IL"/>
        </w:rPr>
        <w:t>Hollinsworth</w:t>
      </w:r>
      <w:r w:rsidRPr="003E1E87">
        <w:rPr>
          <w:lang w:bidi="he-IL"/>
        </w:rPr>
        <w:t>].</w:t>
      </w:r>
    </w:p>
  </w:footnote>
  <w:footnote w:id="138">
    <w:p w14:paraId="7C57A4BF" w14:textId="05A1EF31" w:rsidR="00580293" w:rsidRPr="003E1E87" w:rsidRDefault="00580293">
      <w:pPr>
        <w:pStyle w:val="FootnoteText"/>
      </w:pPr>
      <w:r w:rsidRPr="003E1E87">
        <w:rPr>
          <w:rStyle w:val="FootnoteReference"/>
        </w:rPr>
        <w:footnoteRef/>
      </w:r>
      <w:r w:rsidRPr="003E1E87">
        <w:t xml:space="preserve"> </w:t>
      </w:r>
      <w:r w:rsidRPr="003E1E87">
        <w:rPr>
          <w:i/>
          <w:iCs/>
        </w:rPr>
        <w:t xml:space="preserve">Ibid </w:t>
      </w:r>
      <w:r w:rsidRPr="003E1E87">
        <w:t xml:space="preserve">at para 4. </w:t>
      </w:r>
    </w:p>
  </w:footnote>
  <w:footnote w:id="139">
    <w:p w14:paraId="6AC22486" w14:textId="762EC743" w:rsidR="00580293" w:rsidRPr="003E1E87" w:rsidRDefault="00580293">
      <w:pPr>
        <w:pStyle w:val="FootnoteText"/>
      </w:pPr>
      <w:r w:rsidRPr="003E1E87">
        <w:rPr>
          <w:rStyle w:val="FootnoteReference"/>
          <w:i/>
          <w:iCs/>
        </w:rPr>
        <w:footnoteRef/>
      </w:r>
      <w:r w:rsidRPr="003E1E87">
        <w:t xml:space="preserve"> </w:t>
      </w:r>
      <w:r w:rsidRPr="003E1E87">
        <w:rPr>
          <w:i/>
          <w:iCs/>
        </w:rPr>
        <w:t xml:space="preserve">Ibid </w:t>
      </w:r>
      <w:r w:rsidRPr="003E1E87">
        <w:t>at para 32.</w:t>
      </w:r>
    </w:p>
  </w:footnote>
  <w:footnote w:id="140">
    <w:p w14:paraId="3FF00C2B" w14:textId="2ED79FC1" w:rsidR="00580293" w:rsidRPr="003E1E87" w:rsidRDefault="00580293" w:rsidP="00F4022F">
      <w:pPr>
        <w:pStyle w:val="FootnoteText"/>
      </w:pPr>
      <w:r w:rsidRPr="003E1E87">
        <w:rPr>
          <w:rStyle w:val="FootnoteReference"/>
        </w:rPr>
        <w:footnoteRef/>
      </w:r>
      <w:r w:rsidRPr="003E1E87">
        <w:t xml:space="preserve"> </w:t>
      </w:r>
      <w:r w:rsidRPr="003E1E87">
        <w:rPr>
          <w:i/>
          <w:iCs/>
        </w:rPr>
        <w:t xml:space="preserve">Ibid </w:t>
      </w:r>
      <w:r w:rsidRPr="003E1E87">
        <w:t>at para 13.</w:t>
      </w:r>
    </w:p>
  </w:footnote>
  <w:footnote w:id="141">
    <w:p w14:paraId="1A01042A" w14:textId="7A7B47AA" w:rsidR="00580293" w:rsidRPr="003E1E87" w:rsidRDefault="00580293" w:rsidP="00001B6D">
      <w:pPr>
        <w:pStyle w:val="FootnoteText"/>
      </w:pPr>
      <w:r w:rsidRPr="003E1E87">
        <w:rPr>
          <w:rStyle w:val="FootnoteReference"/>
        </w:rPr>
        <w:footnoteRef/>
      </w:r>
      <w:r w:rsidRPr="003E1E87">
        <w:t xml:space="preserve"> </w:t>
      </w:r>
      <w:proofErr w:type="spellStart"/>
      <w:r w:rsidRPr="003E1E87">
        <w:rPr>
          <w:i/>
          <w:iCs/>
        </w:rPr>
        <w:t>Tucci</w:t>
      </w:r>
      <w:proofErr w:type="spellEnd"/>
      <w:r w:rsidRPr="003E1E87">
        <w:rPr>
          <w:i/>
          <w:iCs/>
        </w:rPr>
        <w:t xml:space="preserve">, supra </w:t>
      </w:r>
      <w:r>
        <w:t xml:space="preserve">note </w:t>
      </w:r>
      <w:r>
        <w:fldChar w:fldCharType="begin"/>
      </w:r>
      <w:r>
        <w:instrText xml:space="preserve"> NOTEREF _Ref78152727 \h </w:instrText>
      </w:r>
      <w:r>
        <w:fldChar w:fldCharType="separate"/>
      </w:r>
      <w:r>
        <w:t>51</w:t>
      </w:r>
      <w:r>
        <w:fldChar w:fldCharType="end"/>
      </w:r>
      <w:r w:rsidRPr="003E1E87">
        <w:t xml:space="preserve"> at para 53 (in </w:t>
      </w:r>
      <w:r w:rsidRPr="003E1E87">
        <w:rPr>
          <w:i/>
          <w:iCs/>
        </w:rPr>
        <w:t>obiter</w:t>
      </w:r>
      <w:r w:rsidRPr="003E1E87">
        <w:t>).</w:t>
      </w:r>
    </w:p>
  </w:footnote>
  <w:footnote w:id="142">
    <w:p w14:paraId="4DBE5B55" w14:textId="47D7DA2D" w:rsidR="00580293" w:rsidRPr="003E1E87" w:rsidRDefault="00580293">
      <w:pPr>
        <w:pStyle w:val="FootnoteText"/>
      </w:pPr>
      <w:r w:rsidRPr="003E1E87">
        <w:rPr>
          <w:rStyle w:val="FootnoteReference"/>
        </w:rPr>
        <w:footnoteRef/>
      </w:r>
      <w:r w:rsidRPr="003E1E87">
        <w:t xml:space="preserve"> The data ‘hackers’ would have acted intentionally, but presumably would be difficult to locate for litigation purposes and likely impecunious. </w:t>
      </w:r>
    </w:p>
  </w:footnote>
  <w:footnote w:id="143">
    <w:p w14:paraId="100181F0" w14:textId="556B8248" w:rsidR="00580293" w:rsidRPr="00753425" w:rsidRDefault="00580293">
      <w:pPr>
        <w:pStyle w:val="FootnoteText"/>
        <w:rPr>
          <w:lang w:val="es-ES"/>
        </w:rPr>
      </w:pPr>
      <w:r w:rsidRPr="003E1E87">
        <w:rPr>
          <w:rStyle w:val="FootnoteReference"/>
        </w:rPr>
        <w:footnoteRef/>
      </w:r>
      <w:r w:rsidRPr="00753425">
        <w:rPr>
          <w:lang w:val="es-ES"/>
        </w:rPr>
        <w:t xml:space="preserve"> </w:t>
      </w:r>
      <w:proofErr w:type="spellStart"/>
      <w:r w:rsidRPr="00753425">
        <w:rPr>
          <w:i/>
          <w:iCs/>
          <w:lang w:val="es-ES"/>
        </w:rPr>
        <w:t>Tucci</w:t>
      </w:r>
      <w:proofErr w:type="spellEnd"/>
      <w:r w:rsidRPr="00753425">
        <w:rPr>
          <w:i/>
          <w:iCs/>
          <w:lang w:val="es-ES"/>
        </w:rPr>
        <w:t xml:space="preserve">, supra </w:t>
      </w:r>
      <w:r w:rsidRPr="00753425">
        <w:rPr>
          <w:lang w:val="es-ES"/>
        </w:rPr>
        <w:t xml:space="preserve">note </w:t>
      </w:r>
      <w:r>
        <w:fldChar w:fldCharType="begin"/>
      </w:r>
      <w:r w:rsidRPr="00753425">
        <w:rPr>
          <w:lang w:val="es-ES"/>
        </w:rPr>
        <w:instrText xml:space="preserve"> NOTEREF _Ref78152727 \h </w:instrText>
      </w:r>
      <w:r>
        <w:fldChar w:fldCharType="separate"/>
      </w:r>
      <w:r>
        <w:rPr>
          <w:lang w:val="es-ES"/>
        </w:rPr>
        <w:t>51</w:t>
      </w:r>
      <w:r>
        <w:fldChar w:fldCharType="end"/>
      </w:r>
      <w:r w:rsidRPr="00753425">
        <w:rPr>
          <w:lang w:val="es-ES"/>
        </w:rPr>
        <w:t xml:space="preserve">, </w:t>
      </w:r>
      <w:r w:rsidRPr="00753425">
        <w:rPr>
          <w:lang w:val="es-ES" w:bidi="he-IL"/>
        </w:rPr>
        <w:t xml:space="preserve">at para 55. </w:t>
      </w:r>
    </w:p>
  </w:footnote>
  <w:footnote w:id="144">
    <w:p w14:paraId="7136B7E9" w14:textId="0259A41F" w:rsidR="00580293" w:rsidRPr="003E1E87" w:rsidRDefault="00580293" w:rsidP="00494828">
      <w:pPr>
        <w:pStyle w:val="FootnoteText"/>
      </w:pPr>
      <w:r w:rsidRPr="003E1E87">
        <w:rPr>
          <w:rStyle w:val="FootnoteReference"/>
        </w:rPr>
        <w:footnoteRef/>
      </w:r>
      <w:r w:rsidRPr="003E1E87">
        <w:t xml:space="preserve"> </w:t>
      </w:r>
      <w:r w:rsidRPr="003E1E87">
        <w:rPr>
          <w:i/>
          <w:iCs/>
        </w:rPr>
        <w:t xml:space="preserve">Ibid </w:t>
      </w:r>
      <w:r w:rsidRPr="003E1E87">
        <w:t>at para 93.</w:t>
      </w:r>
    </w:p>
  </w:footnote>
  <w:footnote w:id="145">
    <w:p w14:paraId="39097ADC" w14:textId="10A28E8B" w:rsidR="00580293" w:rsidRDefault="00580293" w:rsidP="00147BD5">
      <w:pPr>
        <w:pStyle w:val="FootnoteText"/>
      </w:pPr>
      <w:r>
        <w:rPr>
          <w:rStyle w:val="FootnoteReference"/>
        </w:rPr>
        <w:footnoteRef/>
      </w:r>
      <w:r>
        <w:t xml:space="preserve"> </w:t>
      </w:r>
      <w:r>
        <w:rPr>
          <w:color w:val="222222"/>
          <w:shd w:val="clear" w:color="auto" w:fill="FFFFFF"/>
        </w:rPr>
        <w:t>Chris Hunt, "The Common Law’s Hodgepodge Protection of Privacy" (2015) 66 UNBLJ 161</w:t>
      </w:r>
    </w:p>
  </w:footnote>
  <w:footnote w:id="146">
    <w:p w14:paraId="3AC56B7C" w14:textId="65D1BB05" w:rsidR="00580293" w:rsidRPr="003E1E87" w:rsidRDefault="00580293" w:rsidP="00AB7AFD">
      <w:pPr>
        <w:pStyle w:val="FootnoteText"/>
      </w:pPr>
      <w:r w:rsidRPr="003E1E87">
        <w:rPr>
          <w:rStyle w:val="FootnoteReference"/>
        </w:rPr>
        <w:footnoteRef/>
      </w:r>
      <w:r w:rsidRPr="003E1E87">
        <w:t xml:space="preserve"> William Prosser, “Privacy” (1960) 48 </w:t>
      </w:r>
      <w:r>
        <w:t>Cal L Rev</w:t>
      </w:r>
      <w:r w:rsidRPr="003E1E87">
        <w:t xml:space="preserve"> 383.</w:t>
      </w:r>
      <w:r>
        <w:t xml:space="preserve"> See also </w:t>
      </w:r>
      <w:r>
        <w:rPr>
          <w:color w:val="222222"/>
          <w:shd w:val="clear" w:color="auto" w:fill="FFFFFF"/>
        </w:rPr>
        <w:t>Chris Hunt, “From Right to Wrong: Grounding a ‘Right’ to Privacy in the ‘Wrongs’ of Tort” (2015) 52 Alta L Rev 635.</w:t>
      </w:r>
    </w:p>
  </w:footnote>
  <w:footnote w:id="147">
    <w:p w14:paraId="42B9578D" w14:textId="360DF5E4" w:rsidR="00580293" w:rsidRPr="003E1E87" w:rsidRDefault="00580293" w:rsidP="00AB7AFD">
      <w:pPr>
        <w:pStyle w:val="FootnoteText"/>
      </w:pPr>
      <w:r w:rsidRPr="003E1E87">
        <w:rPr>
          <w:rStyle w:val="FootnoteReference"/>
        </w:rPr>
        <w:footnoteRef/>
      </w:r>
      <w:r w:rsidRPr="003E1E87">
        <w:t xml:space="preserve"> </w:t>
      </w:r>
      <w:r w:rsidRPr="003E1E87">
        <w:rPr>
          <w:i/>
          <w:iCs/>
        </w:rPr>
        <w:t xml:space="preserve">Ibid </w:t>
      </w:r>
      <w:r w:rsidRPr="003E1E87">
        <w:t>at 389.</w:t>
      </w:r>
    </w:p>
  </w:footnote>
  <w:footnote w:id="148">
    <w:p w14:paraId="5CCE87FA" w14:textId="2EF6A46B" w:rsidR="00580293" w:rsidRPr="003E1E87" w:rsidRDefault="00580293" w:rsidP="00996694">
      <w:pPr>
        <w:pStyle w:val="FootnoteText"/>
      </w:pPr>
      <w:r w:rsidRPr="003E1E87">
        <w:rPr>
          <w:rStyle w:val="FootnoteReference"/>
        </w:rPr>
        <w:footnoteRef/>
      </w:r>
      <w:r w:rsidRPr="003E1E87">
        <w:t xml:space="preserve"> </w:t>
      </w:r>
      <w:r w:rsidRPr="003E1E87">
        <w:rPr>
          <w:i/>
          <w:iCs/>
        </w:rPr>
        <w:t>Ibid</w:t>
      </w:r>
      <w:r w:rsidRPr="003E1E87">
        <w:t xml:space="preserve"> at 389-390.</w:t>
      </w:r>
    </w:p>
  </w:footnote>
  <w:footnote w:id="149">
    <w:p w14:paraId="24ABA700" w14:textId="66D0C99A" w:rsidR="00580293" w:rsidRPr="003E1E87" w:rsidRDefault="00580293" w:rsidP="00AB7AFD">
      <w:pPr>
        <w:pStyle w:val="FootnoteText"/>
      </w:pPr>
      <w:r w:rsidRPr="003E1E87">
        <w:rPr>
          <w:rStyle w:val="FootnoteReference"/>
        </w:rPr>
        <w:footnoteRef/>
      </w:r>
      <w:r w:rsidRPr="003E1E87">
        <w:t xml:space="preserve"> </w:t>
      </w:r>
      <w:r w:rsidRPr="003E1E87">
        <w:rPr>
          <w:i/>
          <w:iCs/>
        </w:rPr>
        <w:t>Tsige</w:t>
      </w:r>
      <w:r w:rsidRPr="003E1E87">
        <w:t xml:space="preserve">, </w:t>
      </w:r>
      <w:r w:rsidRPr="003E1E87">
        <w:rPr>
          <w:i/>
          <w:iCs/>
        </w:rPr>
        <w:t xml:space="preserve">supra </w:t>
      </w:r>
      <w:r>
        <w:t xml:space="preserve">note </w:t>
      </w:r>
      <w:r>
        <w:fldChar w:fldCharType="begin"/>
      </w:r>
      <w:r>
        <w:instrText xml:space="preserve"> NOTEREF _Ref78152727 \h </w:instrText>
      </w:r>
      <w:r>
        <w:fldChar w:fldCharType="separate"/>
      </w:r>
      <w:r>
        <w:t>51</w:t>
      </w:r>
      <w:r>
        <w:fldChar w:fldCharType="end"/>
      </w:r>
      <w:r w:rsidRPr="003E1E87">
        <w:t>.</w:t>
      </w:r>
    </w:p>
  </w:footnote>
  <w:footnote w:id="150">
    <w:p w14:paraId="68328330" w14:textId="21577EDF" w:rsidR="00580293" w:rsidRPr="003E1E87" w:rsidRDefault="00580293" w:rsidP="00A361BA">
      <w:pPr>
        <w:pStyle w:val="FootnoteText"/>
      </w:pPr>
      <w:r w:rsidRPr="003E1E87">
        <w:rPr>
          <w:rStyle w:val="FootnoteReference"/>
          <w:i/>
          <w:iCs/>
        </w:rPr>
        <w:footnoteRef/>
      </w:r>
      <w:r w:rsidRPr="003E1E87">
        <w:t xml:space="preserve"> </w:t>
      </w:r>
      <w:r w:rsidRPr="003E1E87">
        <w:rPr>
          <w:i/>
          <w:iCs/>
        </w:rPr>
        <w:t>Ibid</w:t>
      </w:r>
      <w:r w:rsidRPr="003E1E87">
        <w:t xml:space="preserve"> at para 2.</w:t>
      </w:r>
    </w:p>
  </w:footnote>
  <w:footnote w:id="151">
    <w:p w14:paraId="01820378" w14:textId="55129944" w:rsidR="00580293" w:rsidRPr="003E1E87" w:rsidRDefault="00580293" w:rsidP="00503E10">
      <w:pPr>
        <w:pStyle w:val="FootnoteText"/>
      </w:pPr>
      <w:r w:rsidRPr="003E1E87">
        <w:rPr>
          <w:rStyle w:val="FootnoteReference"/>
        </w:rPr>
        <w:footnoteRef/>
      </w:r>
      <w:r w:rsidRPr="003E1E87">
        <w:t xml:space="preserve"> </w:t>
      </w:r>
      <w:r w:rsidRPr="003E1E87">
        <w:rPr>
          <w:i/>
          <w:iCs/>
        </w:rPr>
        <w:t>Ibid</w:t>
      </w:r>
      <w:r w:rsidRPr="003E1E87">
        <w:t xml:space="preserve"> at para 71. </w:t>
      </w:r>
    </w:p>
  </w:footnote>
  <w:footnote w:id="152">
    <w:p w14:paraId="2BBEFDC6" w14:textId="6C987D43" w:rsidR="00580293" w:rsidRPr="003E1E87" w:rsidRDefault="00580293">
      <w:pPr>
        <w:pStyle w:val="FootnoteText"/>
      </w:pPr>
      <w:r w:rsidRPr="003E1E87">
        <w:rPr>
          <w:rStyle w:val="FootnoteReference"/>
        </w:rPr>
        <w:footnoteRef/>
      </w:r>
      <w:r w:rsidRPr="003E1E87">
        <w:t xml:space="preserve"> </w:t>
      </w:r>
      <w:r w:rsidRPr="003E1E87">
        <w:rPr>
          <w:i/>
          <w:iCs/>
        </w:rPr>
        <w:t>Ibid</w:t>
      </w:r>
      <w:r w:rsidRPr="003E1E87">
        <w:t xml:space="preserve"> at para 71.</w:t>
      </w:r>
    </w:p>
  </w:footnote>
  <w:footnote w:id="153">
    <w:p w14:paraId="5FD192EA" w14:textId="498EC3DC" w:rsidR="00580293" w:rsidRPr="003E1E87" w:rsidRDefault="00580293" w:rsidP="00A361BA">
      <w:pPr>
        <w:pStyle w:val="FootnoteText"/>
      </w:pPr>
      <w:r w:rsidRPr="003E1E87">
        <w:rPr>
          <w:rStyle w:val="FootnoteReference"/>
        </w:rPr>
        <w:footnoteRef/>
      </w:r>
      <w:r w:rsidRPr="003E1E87">
        <w:t xml:space="preserve"> </w:t>
      </w:r>
      <w:r w:rsidRPr="003E1E87">
        <w:rPr>
          <w:i/>
          <w:iCs/>
        </w:rPr>
        <w:t>Ibid</w:t>
      </w:r>
      <w:r w:rsidRPr="003E1E87">
        <w:t xml:space="preserve"> at para 71.</w:t>
      </w:r>
    </w:p>
  </w:footnote>
  <w:footnote w:id="154">
    <w:p w14:paraId="6A839584" w14:textId="27336AEC" w:rsidR="00580293" w:rsidRPr="003E1E87" w:rsidRDefault="00580293" w:rsidP="00503E10">
      <w:pPr>
        <w:pStyle w:val="FootnoteText"/>
      </w:pPr>
      <w:r w:rsidRPr="003E1E87">
        <w:rPr>
          <w:rStyle w:val="FootnoteReference"/>
        </w:rPr>
        <w:footnoteRef/>
      </w:r>
      <w:r w:rsidRPr="003E1E87">
        <w:t xml:space="preserve"> </w:t>
      </w:r>
      <w:r w:rsidRPr="003E1E87">
        <w:rPr>
          <w:i/>
          <w:iCs/>
        </w:rPr>
        <w:t>Ibid</w:t>
      </w:r>
      <w:r w:rsidRPr="003E1E87" w:rsidDel="00503E10">
        <w:t xml:space="preserve"> </w:t>
      </w:r>
      <w:r w:rsidRPr="003E1E87">
        <w:t xml:space="preserve">at para 75. </w:t>
      </w:r>
      <w:r>
        <w:t xml:space="preserve"> </w:t>
      </w:r>
    </w:p>
  </w:footnote>
  <w:footnote w:id="155">
    <w:p w14:paraId="46ED7B16" w14:textId="17B26175" w:rsidR="00580293" w:rsidRPr="003E1E87" w:rsidRDefault="00580293" w:rsidP="00A66B5B">
      <w:pPr>
        <w:pStyle w:val="FootnoteText"/>
      </w:pPr>
      <w:r w:rsidRPr="003E1E87">
        <w:rPr>
          <w:rStyle w:val="FootnoteReference"/>
        </w:rPr>
        <w:footnoteRef/>
      </w:r>
      <w:r w:rsidRPr="003E1E87">
        <w:t xml:space="preserve"> </w:t>
      </w:r>
      <w:r w:rsidRPr="003E1E87">
        <w:rPr>
          <w:i/>
          <w:iCs/>
        </w:rPr>
        <w:t>Ibid</w:t>
      </w:r>
      <w:r w:rsidRPr="003E1E87">
        <w:t xml:space="preserve"> at para 87.</w:t>
      </w:r>
    </w:p>
  </w:footnote>
  <w:footnote w:id="156">
    <w:p w14:paraId="4C1FECFC" w14:textId="37A8E5A6" w:rsidR="00580293" w:rsidRPr="003E1E87" w:rsidRDefault="00580293">
      <w:pPr>
        <w:pStyle w:val="FootnoteText"/>
      </w:pPr>
      <w:r w:rsidRPr="003E1E87">
        <w:rPr>
          <w:rStyle w:val="FootnoteReference"/>
        </w:rPr>
        <w:footnoteRef/>
      </w:r>
      <w:r w:rsidRPr="003E1E87">
        <w:t xml:space="preserve"> </w:t>
      </w:r>
      <w:r w:rsidRPr="003E1E87">
        <w:rPr>
          <w:i/>
          <w:iCs/>
        </w:rPr>
        <w:t>Ibid</w:t>
      </w:r>
      <w:r w:rsidRPr="003E1E87">
        <w:t xml:space="preserve"> at para 50.</w:t>
      </w:r>
    </w:p>
  </w:footnote>
  <w:footnote w:id="157">
    <w:p w14:paraId="03FB826C" w14:textId="022F98ED" w:rsidR="00580293" w:rsidRPr="003E1E87" w:rsidRDefault="00580293" w:rsidP="00833404">
      <w:pPr>
        <w:pStyle w:val="FootnoteText"/>
      </w:pPr>
      <w:r w:rsidRPr="003E1E87">
        <w:rPr>
          <w:rStyle w:val="FootnoteReference"/>
        </w:rPr>
        <w:footnoteRef/>
      </w:r>
      <w:r w:rsidRPr="003E1E87">
        <w:t xml:space="preserve"> </w:t>
      </w:r>
      <w:proofErr w:type="spellStart"/>
      <w:r w:rsidRPr="003E1E87">
        <w:rPr>
          <w:i/>
          <w:iCs/>
        </w:rPr>
        <w:t>Wiseau</w:t>
      </w:r>
      <w:proofErr w:type="spellEnd"/>
      <w:r w:rsidRPr="003E1E87">
        <w:rPr>
          <w:i/>
          <w:iCs/>
        </w:rPr>
        <w:t xml:space="preserve"> Studio, LLC v Harper</w:t>
      </w:r>
      <w:r w:rsidRPr="003E1E87">
        <w:t>, 2020 ONSC 2504 at para 211.</w:t>
      </w:r>
    </w:p>
  </w:footnote>
  <w:footnote w:id="158">
    <w:p w14:paraId="51F9F731" w14:textId="30CDBDED" w:rsidR="00580293" w:rsidRPr="003E1E87" w:rsidRDefault="00580293" w:rsidP="00A361BA">
      <w:pPr>
        <w:pStyle w:val="FootnoteText"/>
      </w:pPr>
      <w:r w:rsidRPr="003E1E87">
        <w:rPr>
          <w:rStyle w:val="FootnoteReference"/>
        </w:rPr>
        <w:footnoteRef/>
      </w:r>
      <w:r w:rsidRPr="003E1E87">
        <w:t xml:space="preserve"> </w:t>
      </w:r>
      <w:r w:rsidRPr="003E1E87">
        <w:rPr>
          <w:i/>
          <w:iCs/>
          <w:lang w:bidi="he-IL"/>
        </w:rPr>
        <w:t>Krouse v Chrysler</w:t>
      </w:r>
      <w:r w:rsidRPr="003E1E87">
        <w:rPr>
          <w:lang w:bidi="he-IL"/>
        </w:rPr>
        <w:t>,</w:t>
      </w:r>
      <w:r w:rsidRPr="003E1E87">
        <w:t xml:space="preserve"> [1973] OJ No 2157 at para 43</w:t>
      </w:r>
      <w:r>
        <w:t>.</w:t>
      </w:r>
    </w:p>
  </w:footnote>
  <w:footnote w:id="159">
    <w:p w14:paraId="6C9121F6" w14:textId="08EA9C8A" w:rsidR="00580293" w:rsidRPr="003E1E87" w:rsidRDefault="00580293" w:rsidP="00DB62CF">
      <w:pPr>
        <w:pStyle w:val="FootnoteText"/>
      </w:pPr>
      <w:r w:rsidRPr="003E1E87">
        <w:rPr>
          <w:rStyle w:val="FootnoteReference"/>
        </w:rPr>
        <w:footnoteRef/>
      </w:r>
      <w:r w:rsidRPr="003E1E87">
        <w:t xml:space="preserve"> George Smith, "The Extent of Protection of the Individual's Personality Against Commercial Use: Toward a New Property Right," (2002) 54 </w:t>
      </w:r>
      <w:r>
        <w:t>SCL Rev</w:t>
      </w:r>
      <w:r w:rsidRPr="003E1E87">
        <w:t xml:space="preserve"> 1.</w:t>
      </w:r>
    </w:p>
  </w:footnote>
  <w:footnote w:id="160">
    <w:p w14:paraId="05E85424" w14:textId="7EA53EE8" w:rsidR="00580293" w:rsidRPr="003E1E87" w:rsidRDefault="00580293" w:rsidP="00F92191">
      <w:pPr>
        <w:pStyle w:val="FootnoteText"/>
      </w:pPr>
      <w:r w:rsidRPr="003E1E87">
        <w:rPr>
          <w:rStyle w:val="FootnoteReference"/>
        </w:rPr>
        <w:footnoteRef/>
      </w:r>
      <w:r w:rsidRPr="003E1E87">
        <w:t xml:space="preserve"> 2006 BCSC 1138 [</w:t>
      </w:r>
      <w:r w:rsidRPr="003E1E87">
        <w:rPr>
          <w:i/>
          <w:iCs/>
        </w:rPr>
        <w:t>Poirier</w:t>
      </w:r>
      <w:r w:rsidRPr="003E1E87">
        <w:t xml:space="preserve">]. </w:t>
      </w:r>
    </w:p>
  </w:footnote>
  <w:footnote w:id="161">
    <w:p w14:paraId="763C761B" w14:textId="5C85AA66" w:rsidR="00580293" w:rsidRPr="003E1E87" w:rsidRDefault="00580293">
      <w:pPr>
        <w:pStyle w:val="FootnoteText"/>
      </w:pPr>
      <w:r w:rsidRPr="003E1E87">
        <w:rPr>
          <w:rStyle w:val="FootnoteReference"/>
          <w:i/>
          <w:iCs/>
        </w:rPr>
        <w:footnoteRef/>
      </w:r>
      <w:r w:rsidRPr="003E1E87">
        <w:t xml:space="preserve"> </w:t>
      </w:r>
      <w:r w:rsidRPr="003E1E87">
        <w:rPr>
          <w:i/>
          <w:iCs/>
        </w:rPr>
        <w:t>Ibid</w:t>
      </w:r>
      <w:r w:rsidRPr="003E1E87">
        <w:t xml:space="preserve"> at para 18-19.</w:t>
      </w:r>
    </w:p>
  </w:footnote>
  <w:footnote w:id="162">
    <w:p w14:paraId="75064D04" w14:textId="6C0277B7" w:rsidR="00580293" w:rsidRPr="003E1E87" w:rsidRDefault="00580293" w:rsidP="00F92191">
      <w:pPr>
        <w:pStyle w:val="FootnoteText"/>
      </w:pPr>
      <w:r w:rsidRPr="003E1E87">
        <w:rPr>
          <w:rStyle w:val="FootnoteReference"/>
          <w:i/>
          <w:iCs/>
        </w:rPr>
        <w:footnoteRef/>
      </w:r>
      <w:r w:rsidRPr="003E1E87">
        <w:t xml:space="preserve"> </w:t>
      </w:r>
      <w:r w:rsidRPr="003E1E87">
        <w:rPr>
          <w:i/>
          <w:iCs/>
        </w:rPr>
        <w:t>Ibid</w:t>
      </w:r>
      <w:r w:rsidRPr="003E1E87">
        <w:t xml:space="preserve"> at para 11. We return to this case </w:t>
      </w:r>
      <w:r>
        <w:t xml:space="preserve">in Part </w:t>
      </w:r>
      <w:bookmarkStart w:id="33" w:name="_GoBack"/>
      <w:r>
        <w:t>Two</w:t>
      </w:r>
      <w:bookmarkEnd w:id="33"/>
      <w:r w:rsidRPr="003E1E87">
        <w:t>.</w:t>
      </w:r>
    </w:p>
  </w:footnote>
  <w:footnote w:id="163">
    <w:p w14:paraId="1DBEFCB2" w14:textId="572D59E1" w:rsidR="00580293" w:rsidRPr="003E1E87" w:rsidRDefault="00580293">
      <w:pPr>
        <w:pStyle w:val="FootnoteText"/>
      </w:pPr>
      <w:r w:rsidRPr="003E1E87">
        <w:rPr>
          <w:rStyle w:val="FootnoteReference"/>
        </w:rPr>
        <w:footnoteRef/>
      </w:r>
      <w:r w:rsidRPr="003E1E87">
        <w:t xml:space="preserve"> </w:t>
      </w:r>
      <w:r w:rsidRPr="003E1E87">
        <w:rPr>
          <w:i/>
          <w:iCs/>
        </w:rPr>
        <w:t>Ibid</w:t>
      </w:r>
      <w:r w:rsidRPr="003E1E87">
        <w:t xml:space="preserve"> at para 105.</w:t>
      </w:r>
    </w:p>
  </w:footnote>
  <w:footnote w:id="164">
    <w:p w14:paraId="1A74B86C" w14:textId="5CB2A8CD" w:rsidR="00580293" w:rsidRPr="003E1E87" w:rsidRDefault="00580293" w:rsidP="00A361BA">
      <w:pPr>
        <w:pStyle w:val="FootnoteText"/>
      </w:pPr>
      <w:r w:rsidRPr="003E1E87">
        <w:rPr>
          <w:rStyle w:val="FootnoteReference"/>
        </w:rPr>
        <w:footnoteRef/>
      </w:r>
      <w:r w:rsidRPr="003E1E87">
        <w:t xml:space="preserve"> </w:t>
      </w:r>
      <w:r w:rsidRPr="003E1E87">
        <w:rPr>
          <w:i/>
          <w:iCs/>
        </w:rPr>
        <w:t>Ibid</w:t>
      </w:r>
      <w:r w:rsidRPr="003E1E87">
        <w:t xml:space="preserve"> at para 109.</w:t>
      </w:r>
    </w:p>
  </w:footnote>
  <w:footnote w:id="165">
    <w:p w14:paraId="044D7E00" w14:textId="2786F7D5" w:rsidR="00580293" w:rsidRPr="003E1E87" w:rsidRDefault="00580293" w:rsidP="00AB7AFD">
      <w:pPr>
        <w:pStyle w:val="FootnoteText"/>
      </w:pPr>
      <w:r w:rsidRPr="003E1E87">
        <w:rPr>
          <w:rStyle w:val="FootnoteReference"/>
        </w:rPr>
        <w:footnoteRef/>
      </w:r>
      <w:r w:rsidRPr="003E1E87">
        <w:t xml:space="preserve"> Prosser, </w:t>
      </w:r>
      <w:r w:rsidRPr="003E1E87">
        <w:rPr>
          <w:i/>
          <w:iCs/>
        </w:rPr>
        <w:t>supra</w:t>
      </w:r>
      <w:r>
        <w:t xml:space="preserve"> note </w:t>
      </w:r>
      <w:r>
        <w:fldChar w:fldCharType="begin"/>
      </w:r>
      <w:r>
        <w:instrText xml:space="preserve"> NOTEREF _Ref78153490 \h </w:instrText>
      </w:r>
      <w:r>
        <w:fldChar w:fldCharType="separate"/>
      </w:r>
      <w:r>
        <w:t>143</w:t>
      </w:r>
      <w:r>
        <w:fldChar w:fldCharType="end"/>
      </w:r>
      <w:r w:rsidRPr="003E1E87">
        <w:t>, at 392.</w:t>
      </w:r>
    </w:p>
  </w:footnote>
  <w:footnote w:id="166">
    <w:p w14:paraId="64CE5C0A" w14:textId="50D40FE4" w:rsidR="00580293" w:rsidRPr="003E1E87" w:rsidRDefault="00580293" w:rsidP="00757799">
      <w:pPr>
        <w:pStyle w:val="FootnoteText"/>
      </w:pPr>
      <w:r w:rsidRPr="003E1E87">
        <w:rPr>
          <w:rStyle w:val="FootnoteReference"/>
        </w:rPr>
        <w:footnoteRef/>
      </w:r>
      <w:r w:rsidRPr="003E1E87">
        <w:t xml:space="preserve"> </w:t>
      </w:r>
      <w:r w:rsidRPr="003E1E87">
        <w:rPr>
          <w:i/>
          <w:iCs/>
        </w:rPr>
        <w:t>Jane Doe 72511 v NM</w:t>
      </w:r>
      <w:r w:rsidRPr="003E1E87">
        <w:t>, 2018 ONSC 6607 at 99 [</w:t>
      </w:r>
      <w:r w:rsidRPr="003E1E87">
        <w:rPr>
          <w:i/>
          <w:iCs/>
        </w:rPr>
        <w:t>Jane Doe 2018</w:t>
      </w:r>
      <w:r w:rsidRPr="003E1E87">
        <w:t>].</w:t>
      </w:r>
    </w:p>
  </w:footnote>
  <w:footnote w:id="167">
    <w:p w14:paraId="6ADB671A" w14:textId="1C5556A2" w:rsidR="00580293" w:rsidRPr="003E1E87" w:rsidRDefault="00580293" w:rsidP="00AB7AFD">
      <w:pPr>
        <w:pStyle w:val="FootnoteText"/>
      </w:pPr>
      <w:r w:rsidRPr="003E1E87">
        <w:rPr>
          <w:rStyle w:val="FootnoteReference"/>
        </w:rPr>
        <w:footnoteRef/>
      </w:r>
      <w:r w:rsidRPr="003E1E87">
        <w:t xml:space="preserve"> </w:t>
      </w:r>
      <w:r w:rsidRPr="003E1E87">
        <w:rPr>
          <w:i/>
          <w:iCs/>
        </w:rPr>
        <w:t xml:space="preserve">Jane Doe 2018. </w:t>
      </w:r>
    </w:p>
  </w:footnote>
  <w:footnote w:id="168">
    <w:p w14:paraId="7E0F3AFD" w14:textId="157F6D44" w:rsidR="00580293" w:rsidRPr="003E1E87" w:rsidRDefault="00580293" w:rsidP="006336E5">
      <w:pPr>
        <w:pStyle w:val="FootnoteText"/>
      </w:pPr>
      <w:r w:rsidRPr="003E1E87">
        <w:rPr>
          <w:rStyle w:val="FootnoteReference"/>
        </w:rPr>
        <w:footnoteRef/>
      </w:r>
      <w:r w:rsidRPr="003E1E87">
        <w:t xml:space="preserve"> 2016 ONSC 541 [</w:t>
      </w:r>
      <w:r w:rsidRPr="003E1E87">
        <w:rPr>
          <w:i/>
          <w:iCs/>
        </w:rPr>
        <w:t>Jane Doe 2016</w:t>
      </w:r>
      <w:r w:rsidRPr="003E1E87">
        <w:t xml:space="preserve">]. This decision to set this judgment aside was upheld in </w:t>
      </w:r>
      <w:r w:rsidRPr="003E1E87">
        <w:rPr>
          <w:i/>
          <w:iCs/>
        </w:rPr>
        <w:t>Jane Doe 464533 v ND</w:t>
      </w:r>
      <w:r w:rsidRPr="003E1E87">
        <w:t>, 2017 ONSC 127.</w:t>
      </w:r>
    </w:p>
  </w:footnote>
  <w:footnote w:id="169">
    <w:p w14:paraId="68714AEA" w14:textId="6EBB2CD9" w:rsidR="00580293" w:rsidRPr="003E1E87" w:rsidRDefault="00580293" w:rsidP="006336E5">
      <w:pPr>
        <w:pStyle w:val="FootnoteText"/>
      </w:pPr>
      <w:r w:rsidRPr="003E1E87">
        <w:rPr>
          <w:rStyle w:val="FootnoteReference"/>
        </w:rPr>
        <w:footnoteRef/>
      </w:r>
      <w:r w:rsidRPr="003E1E87">
        <w:t xml:space="preserve"> 2019 ONSC 7279 at para 168 [</w:t>
      </w:r>
      <w:proofErr w:type="spellStart"/>
      <w:r w:rsidRPr="003E1E87">
        <w:rPr>
          <w:i/>
          <w:iCs/>
        </w:rPr>
        <w:t>Yenovkian</w:t>
      </w:r>
      <w:proofErr w:type="spellEnd"/>
      <w:r w:rsidRPr="003E1E87">
        <w:t>].</w:t>
      </w:r>
    </w:p>
  </w:footnote>
  <w:footnote w:id="170">
    <w:p w14:paraId="00462807" w14:textId="12FABB38" w:rsidR="00580293" w:rsidRPr="003E1E87" w:rsidRDefault="00580293" w:rsidP="00D66BC5">
      <w:pPr>
        <w:pStyle w:val="FootnoteText"/>
      </w:pPr>
      <w:r w:rsidRPr="003E1E87">
        <w:rPr>
          <w:rStyle w:val="FootnoteReference"/>
        </w:rPr>
        <w:footnoteRef/>
      </w:r>
      <w:r w:rsidRPr="003E1E87">
        <w:t xml:space="preserve"> Kim </w:t>
      </w:r>
      <w:proofErr w:type="spellStart"/>
      <w:r w:rsidRPr="003E1E87">
        <w:t>Zetter</w:t>
      </w:r>
      <w:proofErr w:type="spellEnd"/>
      <w:r w:rsidRPr="003E1E87">
        <w:t xml:space="preserve">, “Hackers Finally Post Stolen Ashley Madison Data” </w:t>
      </w:r>
      <w:r w:rsidRPr="003E1E87">
        <w:rPr>
          <w:i/>
          <w:iCs/>
        </w:rPr>
        <w:t xml:space="preserve">Wired </w:t>
      </w:r>
      <w:r>
        <w:t>(18 August 2015), online: &lt;</w:t>
      </w:r>
      <w:hyperlink r:id="rId21" w:history="1">
        <w:r w:rsidRPr="00E60FBA">
          <w:rPr>
            <w:rStyle w:val="Hyperlink"/>
          </w:rPr>
          <w:t>https://www.wired.com/2015/08/happened-hackers-posted-stolen-ashley-madison-data/</w:t>
        </w:r>
      </w:hyperlink>
      <w:r>
        <w:t>&gt;.</w:t>
      </w:r>
    </w:p>
  </w:footnote>
  <w:footnote w:id="171">
    <w:p w14:paraId="2CFB5097" w14:textId="45A2A8E1" w:rsidR="00580293" w:rsidRPr="003E1E87" w:rsidRDefault="00580293">
      <w:pPr>
        <w:pStyle w:val="FootnoteText"/>
      </w:pPr>
      <w:r w:rsidRPr="003E1E87">
        <w:rPr>
          <w:rStyle w:val="FootnoteReference"/>
        </w:rPr>
        <w:footnoteRef/>
      </w:r>
      <w:r w:rsidRPr="003E1E87">
        <w:t xml:space="preserve"> Sakinah N Jones, “Having an Affair May Shorten Your Life: The Ashley Madison Suicides” (2017) 33 Ga St U L Rev 455.</w:t>
      </w:r>
    </w:p>
  </w:footnote>
  <w:footnote w:id="172">
    <w:p w14:paraId="2204C5C6" w14:textId="37ED08EB" w:rsidR="00580293" w:rsidRPr="003E1E87" w:rsidRDefault="00580293" w:rsidP="006336E5">
      <w:pPr>
        <w:pStyle w:val="FootnoteText"/>
      </w:pPr>
      <w:r w:rsidRPr="003E1E87">
        <w:rPr>
          <w:rStyle w:val="FootnoteReference"/>
        </w:rPr>
        <w:footnoteRef/>
      </w:r>
      <w:r w:rsidRPr="003E1E87">
        <w:t xml:space="preserve"> “Joint investigation of Ashley Madison by the Privacy Commissioner of Canada and the Australian Privacy Commissioner/Acting Australian Information Commissioner”, (22 August 2016)</w:t>
      </w:r>
      <w:r>
        <w:t>,</w:t>
      </w:r>
      <w:r w:rsidRPr="003E1E87">
        <w:t xml:space="preserve"> online: </w:t>
      </w:r>
      <w:r>
        <w:t>&lt;</w:t>
      </w:r>
      <w:hyperlink r:id="rId22" w:history="1">
        <w:r w:rsidRPr="003E1E87">
          <w:rPr>
            <w:rStyle w:val="Hyperlink"/>
          </w:rPr>
          <w:t>https://www.priv.gc.ca/en/opc-actions-and-decisions/investigations/investigations-into-businesses/2016/pipeda-2016-005/</w:t>
        </w:r>
      </w:hyperlink>
      <w:r>
        <w:t>&gt;.</w:t>
      </w:r>
    </w:p>
  </w:footnote>
  <w:footnote w:id="173">
    <w:p w14:paraId="4B7DD288" w14:textId="6D5EFD0C" w:rsidR="00580293" w:rsidRPr="003E1E87" w:rsidRDefault="00580293" w:rsidP="00EF30C7">
      <w:pPr>
        <w:pStyle w:val="FootnoteText"/>
      </w:pPr>
      <w:r w:rsidRPr="003E1E87">
        <w:rPr>
          <w:rStyle w:val="FootnoteReference"/>
        </w:rPr>
        <w:footnoteRef/>
      </w:r>
      <w:r w:rsidRPr="003E1E87">
        <w:t xml:space="preserve"> </w:t>
      </w:r>
      <w:r w:rsidRPr="003E1E87">
        <w:rPr>
          <w:bCs/>
        </w:rPr>
        <w:t>Likewise, the tort of Public Disclosure of Private Facts would also lie</w:t>
      </w:r>
      <w:r>
        <w:rPr>
          <w:bCs/>
        </w:rPr>
        <w:t>,</w:t>
      </w:r>
      <w:r w:rsidRPr="003E1E87">
        <w:rPr>
          <w:bCs/>
        </w:rPr>
        <w:t xml:space="preserve"> albeit not against ALM because it was not the party who “</w:t>
      </w:r>
      <w:r w:rsidRPr="003E1E87">
        <w:t>publicized an aspect of the plaintiff’s private life” as the tort requires. Rather, the action would lie against the hackers who effected such publicity, including when they released the stolen personal data online. Of course, since the hackers are anonymous and, even if found, are likely judgment proof, the cause of action against them is almost certainly worthless.</w:t>
      </w:r>
    </w:p>
  </w:footnote>
  <w:footnote w:id="174">
    <w:p w14:paraId="72DFEE55" w14:textId="12C4DA3B" w:rsidR="00580293" w:rsidRPr="00753425" w:rsidRDefault="00580293" w:rsidP="003C0F01">
      <w:pPr>
        <w:pStyle w:val="FootnoteText"/>
        <w:rPr>
          <w:lang w:val="es-ES"/>
        </w:rPr>
      </w:pPr>
      <w:r w:rsidRPr="003E1E87">
        <w:rPr>
          <w:rStyle w:val="FootnoteReference"/>
        </w:rPr>
        <w:footnoteRef/>
      </w:r>
      <w:r w:rsidRPr="00753425">
        <w:rPr>
          <w:lang w:val="es-ES"/>
        </w:rPr>
        <w:t xml:space="preserve"> </w:t>
      </w:r>
      <w:proofErr w:type="spellStart"/>
      <w:r w:rsidRPr="00753425">
        <w:rPr>
          <w:i/>
          <w:iCs/>
          <w:lang w:val="es-ES"/>
        </w:rPr>
        <w:t>Yenovkian</w:t>
      </w:r>
      <w:proofErr w:type="spellEnd"/>
      <w:r w:rsidRPr="00753425">
        <w:rPr>
          <w:i/>
          <w:iCs/>
          <w:lang w:val="es-ES"/>
        </w:rPr>
        <w:t>,</w:t>
      </w:r>
      <w:r w:rsidRPr="00753425">
        <w:rPr>
          <w:lang w:val="es-ES"/>
        </w:rPr>
        <w:t xml:space="preserve"> </w:t>
      </w:r>
      <w:r w:rsidRPr="00753425">
        <w:rPr>
          <w:i/>
          <w:iCs/>
          <w:lang w:val="es-ES"/>
        </w:rPr>
        <w:t>supra</w:t>
      </w:r>
      <w:r w:rsidRPr="00753425">
        <w:rPr>
          <w:lang w:val="es-ES"/>
        </w:rPr>
        <w:t xml:space="preserve"> note </w:t>
      </w:r>
      <w:r>
        <w:fldChar w:fldCharType="begin"/>
      </w:r>
      <w:r w:rsidRPr="00753425">
        <w:rPr>
          <w:lang w:val="es-ES"/>
        </w:rPr>
        <w:instrText xml:space="preserve"> NOTEREF _Ref78216794 \h </w:instrText>
      </w:r>
      <w:r>
        <w:fldChar w:fldCharType="separate"/>
      </w:r>
      <w:r>
        <w:rPr>
          <w:lang w:val="es-ES"/>
        </w:rPr>
        <w:t>166</w:t>
      </w:r>
      <w:r>
        <w:fldChar w:fldCharType="end"/>
      </w:r>
      <w:r w:rsidRPr="00753425">
        <w:rPr>
          <w:lang w:val="es-ES"/>
        </w:rPr>
        <w:t xml:space="preserve"> at para 2.</w:t>
      </w:r>
    </w:p>
  </w:footnote>
  <w:footnote w:id="175">
    <w:p w14:paraId="7BDABCC9" w14:textId="07B40752" w:rsidR="00580293" w:rsidRPr="003E1E87" w:rsidRDefault="00580293" w:rsidP="007E7025">
      <w:pPr>
        <w:pStyle w:val="FootnoteText"/>
      </w:pPr>
      <w:r w:rsidRPr="003E1E87">
        <w:rPr>
          <w:rStyle w:val="FootnoteReference"/>
        </w:rPr>
        <w:footnoteRef/>
      </w:r>
      <w:r w:rsidRPr="003E1E87">
        <w:t xml:space="preserve"> </w:t>
      </w:r>
      <w:r w:rsidRPr="003E1E87">
        <w:rPr>
          <w:i/>
          <w:iCs/>
        </w:rPr>
        <w:t xml:space="preserve">Ibid </w:t>
      </w:r>
      <w:r w:rsidRPr="003E1E87">
        <w:t>at para 170-171.</w:t>
      </w:r>
    </w:p>
  </w:footnote>
  <w:footnote w:id="176">
    <w:p w14:paraId="785AF2F5" w14:textId="4800BA9B" w:rsidR="00580293" w:rsidRPr="003E1E87" w:rsidRDefault="00580293">
      <w:pPr>
        <w:pStyle w:val="FootnoteText"/>
      </w:pPr>
      <w:r w:rsidRPr="003E1E87">
        <w:rPr>
          <w:rStyle w:val="FootnoteReference"/>
        </w:rPr>
        <w:footnoteRef/>
      </w:r>
      <w:r w:rsidRPr="003E1E87">
        <w:t xml:space="preserve"> </w:t>
      </w:r>
      <w:r w:rsidRPr="003E1E87">
        <w:rPr>
          <w:i/>
          <w:iCs/>
        </w:rPr>
        <w:t xml:space="preserve">Ibid </w:t>
      </w:r>
      <w:r w:rsidRPr="003E1E87">
        <w:t>at para 171.</w:t>
      </w:r>
    </w:p>
  </w:footnote>
  <w:footnote w:id="177">
    <w:p w14:paraId="00719896" w14:textId="2F63DE46" w:rsidR="00580293" w:rsidRPr="003E1E87" w:rsidRDefault="00580293" w:rsidP="007E7025">
      <w:pPr>
        <w:pStyle w:val="FootnoteText"/>
      </w:pPr>
      <w:r w:rsidRPr="003E1E87">
        <w:rPr>
          <w:rStyle w:val="FootnoteReference"/>
        </w:rPr>
        <w:footnoteRef/>
      </w:r>
      <w:r w:rsidRPr="003E1E87">
        <w:t xml:space="preserve"> </w:t>
      </w:r>
      <w:r w:rsidRPr="003E1E87">
        <w:rPr>
          <w:i/>
          <w:iCs/>
        </w:rPr>
        <w:t>Ibid</w:t>
      </w:r>
      <w:r w:rsidRPr="003E1E87">
        <w:t xml:space="preserve"> at para 172.</w:t>
      </w:r>
    </w:p>
  </w:footnote>
  <w:footnote w:id="178">
    <w:p w14:paraId="1CB3FDAB" w14:textId="66AC96DC" w:rsidR="00580293" w:rsidRPr="003E1E87" w:rsidRDefault="00580293" w:rsidP="00AB7AFD">
      <w:pPr>
        <w:pStyle w:val="FootnoteText"/>
      </w:pPr>
      <w:r w:rsidRPr="003E1E87">
        <w:rPr>
          <w:rStyle w:val="FootnoteReference"/>
        </w:rPr>
        <w:footnoteRef/>
      </w:r>
      <w:r w:rsidRPr="003E1E87">
        <w:t xml:space="preserve"> </w:t>
      </w:r>
      <w:r w:rsidRPr="003E1E87">
        <w:rPr>
          <w:i/>
          <w:iCs/>
        </w:rPr>
        <w:t>Ibid</w:t>
      </w:r>
      <w:r w:rsidRPr="003E1E87">
        <w:t xml:space="preserve"> at para 206.</w:t>
      </w:r>
    </w:p>
  </w:footnote>
  <w:footnote w:id="179">
    <w:p w14:paraId="0B3C8D6F" w14:textId="6E87BE32" w:rsidR="00580293" w:rsidRPr="003E1E87" w:rsidRDefault="00580293">
      <w:pPr>
        <w:pStyle w:val="FootnoteText"/>
      </w:pPr>
      <w:r w:rsidRPr="003E1E87">
        <w:rPr>
          <w:rStyle w:val="FootnoteReference"/>
        </w:rPr>
        <w:footnoteRef/>
      </w:r>
      <w:r w:rsidRPr="003E1E87">
        <w:t xml:space="preserve"> </w:t>
      </w:r>
      <w:proofErr w:type="spellStart"/>
      <w:r w:rsidRPr="003E1E87">
        <w:rPr>
          <w:i/>
          <w:iCs/>
        </w:rPr>
        <w:t>Nammo</w:t>
      </w:r>
      <w:proofErr w:type="spellEnd"/>
      <w:r w:rsidRPr="003E1E87">
        <w:rPr>
          <w:i/>
          <w:iCs/>
        </w:rPr>
        <w:t xml:space="preserve"> </w:t>
      </w:r>
      <w:r w:rsidRPr="003E1E87">
        <w:t>at para 7.</w:t>
      </w:r>
    </w:p>
  </w:footnote>
  <w:footnote w:id="180">
    <w:p w14:paraId="0BCB9D06" w14:textId="41EB70C0" w:rsidR="00580293" w:rsidRPr="003E1E87" w:rsidRDefault="00580293">
      <w:pPr>
        <w:pStyle w:val="FootnoteText"/>
      </w:pPr>
      <w:r w:rsidRPr="003E1E87">
        <w:rPr>
          <w:rStyle w:val="FootnoteReference"/>
        </w:rPr>
        <w:footnoteRef/>
      </w:r>
      <w:r w:rsidRPr="003E1E87">
        <w:t xml:space="preserve"> </w:t>
      </w:r>
      <w:r w:rsidRPr="003E1E87">
        <w:rPr>
          <w:i/>
          <w:iCs/>
        </w:rPr>
        <w:t>Ibid</w:t>
      </w:r>
      <w:r w:rsidRPr="003E1E87">
        <w:rPr>
          <w:lang w:bidi="he-IL"/>
        </w:rPr>
        <w:t xml:space="preserve"> at para 50.</w:t>
      </w:r>
    </w:p>
  </w:footnote>
  <w:footnote w:id="181">
    <w:p w14:paraId="284B9934" w14:textId="520DBB8B" w:rsidR="00580293" w:rsidRPr="003E1E87" w:rsidRDefault="00580293" w:rsidP="00DD1F5B">
      <w:pPr>
        <w:spacing w:after="0"/>
      </w:pPr>
      <w:r w:rsidRPr="008D3BE8">
        <w:rPr>
          <w:rStyle w:val="FootnoteReference"/>
          <w:sz w:val="20"/>
          <w:szCs w:val="20"/>
        </w:rPr>
        <w:footnoteRef/>
      </w:r>
      <w:r w:rsidRPr="008D3BE8">
        <w:rPr>
          <w:sz w:val="20"/>
          <w:szCs w:val="20"/>
        </w:rPr>
        <w:t xml:space="preserve"> </w:t>
      </w:r>
      <w:r>
        <w:rPr>
          <w:sz w:val="20"/>
          <w:szCs w:val="20"/>
          <w:lang w:bidi="he-IL"/>
        </w:rPr>
        <w:t xml:space="preserve">There is no Canadian case which discusses the publicity ingredient in depth but for </w:t>
      </w:r>
      <w:r w:rsidRPr="008D3BE8">
        <w:rPr>
          <w:sz w:val="20"/>
          <w:szCs w:val="20"/>
          <w:lang w:bidi="he-IL"/>
        </w:rPr>
        <w:t xml:space="preserve">broad </w:t>
      </w:r>
      <w:r>
        <w:rPr>
          <w:sz w:val="20"/>
          <w:szCs w:val="20"/>
          <w:lang w:bidi="he-IL"/>
        </w:rPr>
        <w:t xml:space="preserve">and illustrative </w:t>
      </w:r>
      <w:r w:rsidRPr="008D3BE8">
        <w:rPr>
          <w:sz w:val="20"/>
          <w:szCs w:val="20"/>
          <w:lang w:bidi="he-IL"/>
        </w:rPr>
        <w:t>discussion of what publicity means</w:t>
      </w:r>
      <w:r>
        <w:rPr>
          <w:sz w:val="20"/>
          <w:szCs w:val="20"/>
          <w:lang w:bidi="he-IL"/>
        </w:rPr>
        <w:t xml:space="preserve"> in American case law, </w:t>
      </w:r>
      <w:r w:rsidRPr="008D3BE8">
        <w:rPr>
          <w:sz w:val="20"/>
          <w:szCs w:val="20"/>
          <w:lang w:bidi="he-IL"/>
        </w:rPr>
        <w:t xml:space="preserve">see </w:t>
      </w:r>
      <w:r w:rsidRPr="008D3BE8">
        <w:rPr>
          <w:sz w:val="20"/>
          <w:szCs w:val="20"/>
        </w:rPr>
        <w:t>Fraser Duncan, “Illuminating False Light: Assessing the Case for the False Light Tort in Canada Tort</w:t>
      </w:r>
      <w:r>
        <w:rPr>
          <w:sz w:val="20"/>
          <w:szCs w:val="20"/>
        </w:rPr>
        <w:t>”</w:t>
      </w:r>
      <w:r w:rsidRPr="008D3BE8">
        <w:rPr>
          <w:sz w:val="20"/>
          <w:szCs w:val="20"/>
        </w:rPr>
        <w:t xml:space="preserve"> 43:2 (2020) Dalhousie Law Journal 1 at 9-10. </w:t>
      </w:r>
      <w:r>
        <w:rPr>
          <w:sz w:val="20"/>
          <w:szCs w:val="20"/>
        </w:rPr>
        <w:t xml:space="preserve">Note that </w:t>
      </w:r>
      <w:r w:rsidRPr="008D3BE8">
        <w:rPr>
          <w:sz w:val="20"/>
          <w:szCs w:val="20"/>
          <w:lang w:bidi="he-IL"/>
        </w:rPr>
        <w:t xml:space="preserve">the False Light tort was not yet recognized in Ontario at the time of the </w:t>
      </w:r>
      <w:proofErr w:type="spellStart"/>
      <w:r w:rsidRPr="008D3BE8">
        <w:rPr>
          <w:i/>
          <w:iCs/>
          <w:sz w:val="20"/>
          <w:szCs w:val="20"/>
          <w:lang w:bidi="he-IL"/>
        </w:rPr>
        <w:t>Nammo</w:t>
      </w:r>
      <w:proofErr w:type="spellEnd"/>
      <w:r w:rsidRPr="008D3BE8">
        <w:rPr>
          <w:i/>
          <w:iCs/>
          <w:sz w:val="20"/>
          <w:szCs w:val="20"/>
          <w:lang w:bidi="he-IL"/>
        </w:rPr>
        <w:t xml:space="preserve"> </w:t>
      </w:r>
      <w:r w:rsidRPr="008D3BE8">
        <w:rPr>
          <w:sz w:val="20"/>
          <w:szCs w:val="20"/>
          <w:lang w:bidi="he-IL"/>
        </w:rPr>
        <w:t xml:space="preserve">litigation.  </w:t>
      </w:r>
    </w:p>
  </w:footnote>
  <w:footnote w:id="182">
    <w:p w14:paraId="6E462449" w14:textId="70FF4D32" w:rsidR="00580293" w:rsidRDefault="00580293" w:rsidP="008E3060">
      <w:pPr>
        <w:pStyle w:val="FootnoteText"/>
      </w:pPr>
      <w:r>
        <w:rPr>
          <w:rStyle w:val="FootnoteReference"/>
        </w:rPr>
        <w:footnoteRef/>
      </w:r>
      <w:r>
        <w:t xml:space="preserve"> Though beyond the scope of this article to discuss the civil law on point, Joseph Kary has observed that the parallels between defamation and the right to private life (roughly equivalent to the common law notion of privacy) have traditionally been closely connected in a civil context. See Joseph </w:t>
      </w:r>
      <w:proofErr w:type="spellStart"/>
      <w:r>
        <w:t>Kary</w:t>
      </w:r>
      <w:proofErr w:type="spellEnd"/>
      <w:r>
        <w:t>,</w:t>
      </w:r>
      <w:r w:rsidRPr="007E37D8">
        <w:t xml:space="preserve"> "The</w:t>
      </w:r>
      <w:r>
        <w:t xml:space="preserve"> </w:t>
      </w:r>
      <w:proofErr w:type="spellStart"/>
      <w:r w:rsidRPr="007E37D8">
        <w:t>Constitutionalization</w:t>
      </w:r>
      <w:proofErr w:type="spellEnd"/>
      <w:r w:rsidRPr="007E37D8">
        <w:t xml:space="preserve"> of Quebec Libel Law, 1848-2004." </w:t>
      </w:r>
      <w:r>
        <w:t xml:space="preserve">(2004) 42 (2) </w:t>
      </w:r>
      <w:r w:rsidRPr="007E37D8">
        <w:t xml:space="preserve">Osgoode Hall LJ </w:t>
      </w:r>
      <w:r>
        <w:t>229 at 238.</w:t>
      </w:r>
    </w:p>
  </w:footnote>
  <w:footnote w:id="183">
    <w:p w14:paraId="6976C33A" w14:textId="77356C9D" w:rsidR="00580293" w:rsidRPr="003E1E87" w:rsidRDefault="00580293" w:rsidP="0030459C">
      <w:pPr>
        <w:pStyle w:val="FootnoteText"/>
      </w:pPr>
      <w:r w:rsidRPr="003E1E87">
        <w:rPr>
          <w:rStyle w:val="FootnoteReference"/>
        </w:rPr>
        <w:footnoteRef/>
      </w:r>
      <w:r w:rsidRPr="003E1E87">
        <w:t xml:space="preserve"> Neil Richards and Daniel Solove, “Privacy's Other Path: Recovering the Law of Confidentiality” (2007) 96 Geo</w:t>
      </w:r>
      <w:r>
        <w:t xml:space="preserve"> LJ </w:t>
      </w:r>
      <w:r w:rsidRPr="003E1E87">
        <w:t>123.</w:t>
      </w:r>
    </w:p>
  </w:footnote>
  <w:footnote w:id="184">
    <w:p w14:paraId="18A6ECE2" w14:textId="24DB1402" w:rsidR="00580293" w:rsidRPr="003E1E87" w:rsidRDefault="00580293">
      <w:pPr>
        <w:pStyle w:val="FootnoteText"/>
      </w:pPr>
      <w:r w:rsidRPr="003E1E87">
        <w:rPr>
          <w:rStyle w:val="FootnoteReference"/>
        </w:rPr>
        <w:footnoteRef/>
      </w:r>
      <w:r w:rsidRPr="003E1E87">
        <w:t xml:space="preserve"> </w:t>
      </w:r>
      <w:r w:rsidRPr="003E1E87">
        <w:rPr>
          <w:i/>
          <w:iCs/>
        </w:rPr>
        <w:t>Mosley v News Group Newspapers Ltd</w:t>
      </w:r>
      <w:r w:rsidRPr="003E1E87">
        <w:t>, [2008] EWHC 1777 (QB) [</w:t>
      </w:r>
      <w:r w:rsidRPr="003E1E87">
        <w:rPr>
          <w:i/>
          <w:iCs/>
        </w:rPr>
        <w:t>Mosley</w:t>
      </w:r>
      <w:r w:rsidRPr="003E1E87">
        <w:t>]</w:t>
      </w:r>
    </w:p>
  </w:footnote>
  <w:footnote w:id="185">
    <w:p w14:paraId="5906AD45" w14:textId="2BDE85AE" w:rsidR="00580293" w:rsidRPr="003E1E87" w:rsidRDefault="00580293" w:rsidP="00EA2534">
      <w:pPr>
        <w:pStyle w:val="FootnoteText"/>
      </w:pPr>
      <w:r w:rsidRPr="003E1E87">
        <w:rPr>
          <w:rStyle w:val="FootnoteReference"/>
        </w:rPr>
        <w:footnoteRef/>
      </w:r>
      <w:r w:rsidRPr="003E1E87">
        <w:t xml:space="preserve"> </w:t>
      </w:r>
      <w:r w:rsidRPr="003E1E87">
        <w:rPr>
          <w:i/>
          <w:iCs/>
        </w:rPr>
        <w:t>Ibid</w:t>
      </w:r>
      <w:r w:rsidRPr="003E1E87">
        <w:t xml:space="preserve"> at para 231.</w:t>
      </w:r>
    </w:p>
  </w:footnote>
  <w:footnote w:id="186">
    <w:p w14:paraId="63FE5CF0" w14:textId="41EEAE6E" w:rsidR="00580293" w:rsidRPr="003E1E87" w:rsidRDefault="00580293">
      <w:pPr>
        <w:pStyle w:val="FootnoteText"/>
      </w:pPr>
      <w:r w:rsidRPr="003E1E87">
        <w:rPr>
          <w:rStyle w:val="FootnoteReference"/>
        </w:rPr>
        <w:footnoteRef/>
      </w:r>
      <w:r w:rsidRPr="003E1E87">
        <w:t xml:space="preserve"> </w:t>
      </w:r>
      <w:r w:rsidRPr="003E1E87">
        <w:rPr>
          <w:i/>
          <w:iCs/>
        </w:rPr>
        <w:t>Ibid</w:t>
      </w:r>
      <w:r w:rsidRPr="003E1E87">
        <w:t xml:space="preserve"> at para 230.</w:t>
      </w:r>
    </w:p>
  </w:footnote>
  <w:footnote w:id="187">
    <w:p w14:paraId="59FF1C46" w14:textId="41BBEE77" w:rsidR="00580293" w:rsidRPr="003E1E87" w:rsidRDefault="00580293" w:rsidP="00F4022F">
      <w:pPr>
        <w:pStyle w:val="FootnoteText"/>
      </w:pPr>
      <w:r w:rsidRPr="003E1E87">
        <w:rPr>
          <w:rStyle w:val="FootnoteReference"/>
        </w:rPr>
        <w:footnoteRef/>
      </w:r>
      <w:r w:rsidRPr="003E1E87">
        <w:t xml:space="preserve"> </w:t>
      </w:r>
      <w:r w:rsidRPr="003E1E87">
        <w:rPr>
          <w:i/>
          <w:iCs/>
        </w:rPr>
        <w:t xml:space="preserve">Ibid </w:t>
      </w:r>
      <w:r w:rsidRPr="003E1E87">
        <w:t>at para 230.</w:t>
      </w:r>
    </w:p>
  </w:footnote>
  <w:footnote w:id="188">
    <w:p w14:paraId="2B3DEB2B" w14:textId="20744CEC" w:rsidR="00580293" w:rsidRPr="003E1E87" w:rsidRDefault="00580293">
      <w:pPr>
        <w:pStyle w:val="FootnoteText"/>
      </w:pPr>
      <w:r w:rsidRPr="003E1E87">
        <w:rPr>
          <w:rStyle w:val="FootnoteReference"/>
        </w:rPr>
        <w:footnoteRef/>
      </w:r>
      <w:r w:rsidRPr="003E1E87">
        <w:t xml:space="preserve"> </w:t>
      </w:r>
      <w:r w:rsidRPr="003E1E87">
        <w:rPr>
          <w:i/>
          <w:iCs/>
        </w:rPr>
        <w:t>Ibid</w:t>
      </w:r>
      <w:r w:rsidRPr="003E1E87">
        <w:t xml:space="preserve"> at para 231.</w:t>
      </w:r>
    </w:p>
  </w:footnote>
  <w:footnote w:id="189">
    <w:p w14:paraId="3DED832A" w14:textId="1DD77F3C" w:rsidR="00580293" w:rsidRPr="003E1E87" w:rsidRDefault="00580293" w:rsidP="0058243C">
      <w:pPr>
        <w:pStyle w:val="FootnoteText"/>
        <w:rPr>
          <w:i/>
          <w:iCs/>
        </w:rPr>
      </w:pPr>
      <w:r w:rsidRPr="003E1E87">
        <w:rPr>
          <w:rStyle w:val="FootnoteReference"/>
        </w:rPr>
        <w:footnoteRef/>
      </w:r>
      <w:r w:rsidRPr="003E1E87">
        <w:t xml:space="preserve"> David </w:t>
      </w:r>
      <w:proofErr w:type="spellStart"/>
      <w:r w:rsidRPr="003E1E87">
        <w:t>Rolph</w:t>
      </w:r>
      <w:proofErr w:type="spellEnd"/>
      <w:r w:rsidRPr="003E1E87">
        <w:t xml:space="preserve">, “Vindicating Reputation and Privacy” in A Kenyon, (ed.) </w:t>
      </w:r>
      <w:r w:rsidRPr="003E1E87">
        <w:rPr>
          <w:i/>
          <w:iCs/>
        </w:rPr>
        <w:t>Comparative Defamation and Privacy Law</w:t>
      </w:r>
      <w:r w:rsidRPr="003E1E87">
        <w:t xml:space="preserve"> (Cambridge: Cambridge University Press, 2016) 291 at 297. </w:t>
      </w:r>
    </w:p>
  </w:footnote>
  <w:footnote w:id="190">
    <w:p w14:paraId="7E10475B" w14:textId="4901F201" w:rsidR="00580293" w:rsidRPr="003E1E87" w:rsidRDefault="00580293">
      <w:pPr>
        <w:pStyle w:val="FootnoteText"/>
      </w:pPr>
      <w:r w:rsidRPr="003E1E87">
        <w:rPr>
          <w:rStyle w:val="FootnoteReference"/>
        </w:rPr>
        <w:footnoteRef/>
      </w:r>
      <w:r w:rsidRPr="003E1E87">
        <w:t xml:space="preserve"> </w:t>
      </w:r>
      <w:r w:rsidRPr="003E1E87">
        <w:rPr>
          <w:i/>
          <w:iCs/>
        </w:rPr>
        <w:t xml:space="preserve">Ibid </w:t>
      </w:r>
      <w:r w:rsidRPr="003E1E87">
        <w:t>at 299.</w:t>
      </w:r>
    </w:p>
  </w:footnote>
  <w:footnote w:id="191">
    <w:p w14:paraId="3B6E2EDF" w14:textId="5C6783A9" w:rsidR="00580293" w:rsidRPr="003E1E87" w:rsidRDefault="00580293" w:rsidP="007A3195">
      <w:pPr>
        <w:pStyle w:val="FootnoteText"/>
      </w:pPr>
      <w:r w:rsidRPr="003E1E87">
        <w:rPr>
          <w:rStyle w:val="FootnoteReference"/>
        </w:rPr>
        <w:footnoteRef/>
      </w:r>
      <w:r w:rsidRPr="003E1E87">
        <w:t xml:space="preserve"> </w:t>
      </w:r>
      <w:r w:rsidRPr="003E1E87">
        <w:rPr>
          <w:i/>
          <w:iCs/>
        </w:rPr>
        <w:t>Supra</w:t>
      </w:r>
      <w:r>
        <w:t xml:space="preserve"> note </w:t>
      </w:r>
      <w:r>
        <w:fldChar w:fldCharType="begin"/>
      </w:r>
      <w:r>
        <w:instrText xml:space="preserve"> NOTEREF _Ref78153521 \h </w:instrText>
      </w:r>
      <w:r>
        <w:fldChar w:fldCharType="separate"/>
      </w:r>
      <w:r>
        <w:t>13</w:t>
      </w:r>
      <w:r>
        <w:fldChar w:fldCharType="end"/>
      </w:r>
      <w:r w:rsidRPr="003E1E87">
        <w:t xml:space="preserve">. </w:t>
      </w:r>
    </w:p>
  </w:footnote>
  <w:footnote w:id="192">
    <w:p w14:paraId="0D0901F9" w14:textId="59513B73" w:rsidR="00580293" w:rsidRPr="003E1E87" w:rsidRDefault="00580293" w:rsidP="00C82D87">
      <w:pPr>
        <w:pStyle w:val="FootnoteText"/>
      </w:pPr>
      <w:r w:rsidRPr="003E1E87">
        <w:rPr>
          <w:rStyle w:val="FootnoteReference"/>
        </w:rPr>
        <w:footnoteRef/>
      </w:r>
      <w:r w:rsidRPr="003E1E87">
        <w:t xml:space="preserve"> </w:t>
      </w:r>
      <w:r w:rsidRPr="003E1E87">
        <w:rPr>
          <w:i/>
          <w:iCs/>
        </w:rPr>
        <w:t xml:space="preserve">Hill, supra </w:t>
      </w:r>
      <w:r w:rsidRPr="003E1E87">
        <w:t xml:space="preserve">note </w:t>
      </w:r>
      <w:r>
        <w:fldChar w:fldCharType="begin"/>
      </w:r>
      <w:r>
        <w:instrText xml:space="preserve"> NOTEREF _Ref78153521 \h </w:instrText>
      </w:r>
      <w:r>
        <w:fldChar w:fldCharType="separate"/>
      </w:r>
      <w:r>
        <w:t>13</w:t>
      </w:r>
      <w:r>
        <w:fldChar w:fldCharType="end"/>
      </w:r>
      <w:r w:rsidRPr="003E1E87">
        <w:t>, at</w:t>
      </w:r>
      <w:r w:rsidRPr="003E1E87">
        <w:rPr>
          <w:i/>
          <w:iCs/>
        </w:rPr>
        <w:t xml:space="preserve"> </w:t>
      </w:r>
      <w:r w:rsidRPr="003E1E87">
        <w:t>para 120.</w:t>
      </w:r>
    </w:p>
  </w:footnote>
  <w:footnote w:id="193">
    <w:p w14:paraId="2D9D6295" w14:textId="740405F0" w:rsidR="00580293" w:rsidRPr="003E1E87" w:rsidRDefault="00580293" w:rsidP="007A3195">
      <w:pPr>
        <w:pStyle w:val="FootnoteText"/>
      </w:pPr>
      <w:r w:rsidRPr="003E1E87">
        <w:rPr>
          <w:rStyle w:val="FootnoteReference"/>
        </w:rPr>
        <w:footnoteRef/>
      </w:r>
      <w:r w:rsidRPr="003E1E87">
        <w:t xml:space="preserve"> </w:t>
      </w:r>
      <w:r>
        <w:rPr>
          <w:i/>
          <w:iCs/>
        </w:rPr>
        <w:t>Ibid</w:t>
      </w:r>
      <w:r w:rsidRPr="003E1E87">
        <w:rPr>
          <w:i/>
          <w:iCs/>
        </w:rPr>
        <w:t xml:space="preserve"> </w:t>
      </w:r>
      <w:r w:rsidRPr="003E1E87">
        <w:t>(emphasis added)</w:t>
      </w:r>
      <w:r>
        <w:t>.</w:t>
      </w:r>
    </w:p>
  </w:footnote>
  <w:footnote w:id="194">
    <w:p w14:paraId="223E004B" w14:textId="0C695D59" w:rsidR="00580293" w:rsidRPr="00AE2D43" w:rsidRDefault="00580293">
      <w:pPr>
        <w:pStyle w:val="FootnoteText"/>
      </w:pPr>
      <w:r>
        <w:rPr>
          <w:rStyle w:val="FootnoteReference"/>
        </w:rPr>
        <w:footnoteRef/>
      </w:r>
      <w:r>
        <w:t xml:space="preserve"> For more on dignity as a common basis see Hunt </w:t>
      </w:r>
      <w:r>
        <w:rPr>
          <w:i/>
          <w:iCs/>
        </w:rPr>
        <w:t>supra</w:t>
      </w:r>
      <w:r>
        <w:t xml:space="preserve"> note </w:t>
      </w:r>
      <w:r>
        <w:fldChar w:fldCharType="begin"/>
      </w:r>
      <w:r>
        <w:instrText xml:space="preserve"> NOTEREF _Ref78153490 \h </w:instrText>
      </w:r>
      <w:r>
        <w:fldChar w:fldCharType="separate"/>
      </w:r>
      <w:r>
        <w:t>143</w:t>
      </w:r>
      <w:r>
        <w:fldChar w:fldCharType="end"/>
      </w:r>
      <w:r>
        <w:t xml:space="preserve"> at 660.</w:t>
      </w:r>
    </w:p>
  </w:footnote>
  <w:footnote w:id="195">
    <w:p w14:paraId="2F699B8E" w14:textId="3C03E4C0" w:rsidR="00580293" w:rsidRPr="003E1E87" w:rsidRDefault="00580293">
      <w:pPr>
        <w:pStyle w:val="FootnoteText"/>
      </w:pPr>
      <w:r w:rsidRPr="003E1E87">
        <w:rPr>
          <w:rStyle w:val="FootnoteReference"/>
        </w:rPr>
        <w:footnoteRef/>
      </w:r>
      <w:r w:rsidRPr="003E1E87">
        <w:t xml:space="preserve"> See also </w:t>
      </w:r>
      <w:proofErr w:type="spellStart"/>
      <w:r w:rsidRPr="003E1E87">
        <w:t>Rolph</w:t>
      </w:r>
      <w:proofErr w:type="spellEnd"/>
      <w:r w:rsidRPr="003E1E87">
        <w:t xml:space="preserve">, </w:t>
      </w:r>
      <w:r w:rsidRPr="00AF14AC">
        <w:rPr>
          <w:i/>
          <w:iCs/>
        </w:rPr>
        <w:t>supra</w:t>
      </w:r>
      <w:r w:rsidRPr="003E1E87">
        <w:t xml:space="preserve"> note </w:t>
      </w:r>
      <w:r w:rsidRPr="003E1E87">
        <w:fldChar w:fldCharType="begin"/>
      </w:r>
      <w:r w:rsidRPr="003E1E87">
        <w:instrText xml:space="preserve"> NOTEREF _Ref77418046 \h </w:instrText>
      </w:r>
      <w:r w:rsidRPr="003E1E87">
        <w:fldChar w:fldCharType="separate"/>
      </w:r>
      <w:r>
        <w:t>186</w:t>
      </w:r>
      <w:r w:rsidRPr="003E1E87">
        <w:fldChar w:fldCharType="end"/>
      </w:r>
      <w:r w:rsidRPr="003E1E87">
        <w:t>, at 305-306.</w:t>
      </w:r>
    </w:p>
  </w:footnote>
  <w:footnote w:id="196">
    <w:p w14:paraId="7E099FAA" w14:textId="1F358AB2" w:rsidR="00580293" w:rsidRPr="003E1E87" w:rsidRDefault="00580293" w:rsidP="00BD6787">
      <w:pPr>
        <w:pStyle w:val="FootnoteText"/>
      </w:pPr>
      <w:r w:rsidRPr="003E1E87">
        <w:rPr>
          <w:rStyle w:val="FootnoteReference"/>
        </w:rPr>
        <w:footnoteRef/>
      </w:r>
      <w:r w:rsidRPr="003E1E87">
        <w:t xml:space="preserve"> See e</w:t>
      </w:r>
      <w:r>
        <w:t>.</w:t>
      </w:r>
      <w:r w:rsidRPr="003E1E87">
        <w:t>g</w:t>
      </w:r>
      <w:r>
        <w:t>.</w:t>
      </w:r>
      <w:r w:rsidRPr="003E1E87">
        <w:t xml:space="preserve">, </w:t>
      </w:r>
      <w:r w:rsidRPr="003E1E87">
        <w:rPr>
          <w:bCs/>
          <w:i/>
        </w:rPr>
        <w:t>Warman v Grosvenor</w:t>
      </w:r>
      <w:r w:rsidRPr="003E1E87">
        <w:rPr>
          <w:bCs/>
        </w:rPr>
        <w:t>, (2008) 92 OR (3d) 663 (</w:t>
      </w:r>
      <w:proofErr w:type="spellStart"/>
      <w:r w:rsidRPr="003E1E87">
        <w:rPr>
          <w:bCs/>
        </w:rPr>
        <w:t>Sup.Ct.J</w:t>
      </w:r>
      <w:proofErr w:type="spellEnd"/>
      <w:r w:rsidRPr="003E1E87">
        <w:rPr>
          <w:bCs/>
        </w:rPr>
        <w:t xml:space="preserve">); </w:t>
      </w:r>
      <w:proofErr w:type="spellStart"/>
      <w:r w:rsidRPr="003E1E87">
        <w:rPr>
          <w:bCs/>
          <w:i/>
        </w:rPr>
        <w:t>Marson</w:t>
      </w:r>
      <w:proofErr w:type="spellEnd"/>
      <w:r w:rsidRPr="003E1E87">
        <w:rPr>
          <w:bCs/>
          <w:i/>
        </w:rPr>
        <w:t xml:space="preserve"> v Nova Scotia, </w:t>
      </w:r>
      <w:r w:rsidRPr="003E1E87">
        <w:rPr>
          <w:bCs/>
        </w:rPr>
        <w:t>2017 NSCA 17</w:t>
      </w:r>
    </w:p>
  </w:footnote>
  <w:footnote w:id="197">
    <w:p w14:paraId="7F2CBB46" w14:textId="4274AB8F" w:rsidR="00580293" w:rsidRPr="00272216" w:rsidRDefault="00580293" w:rsidP="0061057F">
      <w:pPr>
        <w:pStyle w:val="FootnoteText"/>
        <w:rPr>
          <w:color w:val="222222"/>
          <w:shd w:val="clear" w:color="auto" w:fill="FFFFFF"/>
        </w:rPr>
      </w:pPr>
      <w:r w:rsidRPr="003E1E87">
        <w:rPr>
          <w:rStyle w:val="FootnoteReference"/>
        </w:rPr>
        <w:footnoteRef/>
      </w:r>
      <w:r w:rsidRPr="003E1E87">
        <w:t xml:space="preserve"> </w:t>
      </w:r>
      <w:r w:rsidRPr="003E1E87">
        <w:rPr>
          <w:i/>
          <w:iCs/>
        </w:rPr>
        <w:t xml:space="preserve">Hill, supra </w:t>
      </w:r>
      <w:r w:rsidRPr="003E1E87">
        <w:t xml:space="preserve">note </w:t>
      </w:r>
      <w:r>
        <w:fldChar w:fldCharType="begin"/>
      </w:r>
      <w:r>
        <w:instrText xml:space="preserve"> NOTEREF _Ref78153521 \h </w:instrText>
      </w:r>
      <w:r>
        <w:fldChar w:fldCharType="separate"/>
      </w:r>
      <w:r>
        <w:t>13</w:t>
      </w:r>
      <w:r>
        <w:fldChar w:fldCharType="end"/>
      </w:r>
      <w:r w:rsidRPr="003E1E87">
        <w:t>, at</w:t>
      </w:r>
      <w:r w:rsidRPr="003E1E87">
        <w:rPr>
          <w:i/>
          <w:iCs/>
        </w:rPr>
        <w:t xml:space="preserve"> </w:t>
      </w:r>
      <w:r w:rsidRPr="003E1E87">
        <w:t>para 168</w:t>
      </w:r>
      <w:r>
        <w:t xml:space="preserve">. </w:t>
      </w:r>
      <w:r w:rsidRPr="00917132">
        <w:rPr>
          <w:i/>
          <w:iCs/>
        </w:rPr>
        <w:t>Andrews v. Grand &amp; Toy Alberta Ltd</w:t>
      </w:r>
      <w:r w:rsidRPr="00917132">
        <w:t>.</w:t>
      </w:r>
      <w:r>
        <w:t xml:space="preserve"> </w:t>
      </w:r>
      <w:r w:rsidRPr="00917132">
        <w:t>[1978] 2 SCR 229</w:t>
      </w:r>
      <w:r>
        <w:t xml:space="preserve"> at 265. Indexed for inflation, this cap now stands at $380,000. </w:t>
      </w:r>
      <w:r>
        <w:rPr>
          <w:color w:val="222222"/>
          <w:shd w:val="clear" w:color="auto" w:fill="FFFFFF"/>
        </w:rPr>
        <w:t>Hill's high quantum came as a result of a jury trial which may have been a factor in its size. This, however, is an unknown given the lack of empirical studies on juries more generally. See the British Columbia Law Institute ,"Civil Juries in British Columbia: Anachronism or Cornerstone of the Civil Justice Process" (2021) at 2, online: &lt;</w:t>
      </w:r>
      <w:hyperlink r:id="rId23" w:tgtFrame="_blank" w:history="1">
        <w:r>
          <w:rPr>
            <w:rStyle w:val="Hyperlink"/>
            <w:color w:val="0563C1"/>
            <w:shd w:val="clear" w:color="auto" w:fill="FFFFFF"/>
          </w:rPr>
          <w:t>https://www2.gov.bc.ca/gov/content/justice/about-bcs-justice-system/legislation-policy/current-reviews/civil-jury-trials</w:t>
        </w:r>
      </w:hyperlink>
      <w:r>
        <w:rPr>
          <w:color w:val="222222"/>
          <w:shd w:val="clear" w:color="auto" w:fill="FFFFFF"/>
        </w:rPr>
        <w:t>&gt;. The British Columbia Law Institute does highlight, however, that there is “considerable judicial dicta" which lauds the jury trial for allowing "community values and a general sense of proportionality to be reflected in the resolution of private disputes" at 34. Accordingly, we observe that the higher quanta in defamation actions arising from a jury trial be given their due by judges in a privacy claim context.</w:t>
      </w:r>
    </w:p>
  </w:footnote>
  <w:footnote w:id="198">
    <w:p w14:paraId="1FB8CBA3" w14:textId="12A98C4D" w:rsidR="00580293" w:rsidRPr="003E1E87" w:rsidRDefault="00580293" w:rsidP="00F4022F">
      <w:pPr>
        <w:pStyle w:val="FootnoteText"/>
      </w:pPr>
      <w:r w:rsidRPr="003E1E87">
        <w:rPr>
          <w:rStyle w:val="FootnoteReference"/>
        </w:rPr>
        <w:footnoteRef/>
      </w:r>
      <w:r w:rsidRPr="003E1E87">
        <w:t xml:space="preserve"> </w:t>
      </w:r>
      <w:r>
        <w:rPr>
          <w:i/>
          <w:iCs/>
        </w:rPr>
        <w:t>Ibid</w:t>
      </w:r>
      <w:r w:rsidRPr="003E1E87">
        <w:t xml:space="preserve"> at</w:t>
      </w:r>
      <w:r w:rsidRPr="003E1E87">
        <w:rPr>
          <w:i/>
          <w:iCs/>
        </w:rPr>
        <w:t xml:space="preserve"> </w:t>
      </w:r>
      <w:r w:rsidRPr="003E1E87">
        <w:t>para 169 (emphasis added)</w:t>
      </w:r>
    </w:p>
  </w:footnote>
  <w:footnote w:id="199">
    <w:p w14:paraId="7FB24FD8" w14:textId="74410B30" w:rsidR="00580293" w:rsidRPr="003E1E87" w:rsidRDefault="00580293">
      <w:pPr>
        <w:pStyle w:val="FootnoteText"/>
      </w:pPr>
      <w:r w:rsidRPr="003E1E87">
        <w:rPr>
          <w:rStyle w:val="FootnoteReference"/>
        </w:rPr>
        <w:footnoteRef/>
      </w:r>
      <w:r w:rsidRPr="003E1E87">
        <w:t xml:space="preserve"> See also </w:t>
      </w:r>
      <w:proofErr w:type="spellStart"/>
      <w:r w:rsidRPr="003E1E87">
        <w:t>Rolph</w:t>
      </w:r>
      <w:proofErr w:type="spellEnd"/>
      <w:r w:rsidRPr="003E1E87">
        <w:t xml:space="preserve">, </w:t>
      </w:r>
      <w:r w:rsidRPr="00AF14AC">
        <w:rPr>
          <w:i/>
          <w:iCs/>
        </w:rPr>
        <w:t>supra</w:t>
      </w:r>
      <w:r w:rsidRPr="003E1E87">
        <w:t xml:space="preserve"> note </w:t>
      </w:r>
      <w:r w:rsidRPr="003E1E87">
        <w:fldChar w:fldCharType="begin"/>
      </w:r>
      <w:r w:rsidRPr="003E1E87">
        <w:instrText xml:space="preserve"> NOTEREF _Ref77418046 \h </w:instrText>
      </w:r>
      <w:r w:rsidRPr="003E1E87">
        <w:fldChar w:fldCharType="separate"/>
      </w:r>
      <w:r>
        <w:t>186</w:t>
      </w:r>
      <w:r w:rsidRPr="003E1E87">
        <w:fldChar w:fldCharType="end"/>
      </w:r>
      <w:r w:rsidRPr="003E1E87">
        <w:t>, at 307-308.</w:t>
      </w:r>
    </w:p>
  </w:footnote>
  <w:footnote w:id="200">
    <w:p w14:paraId="4DB02D4C" w14:textId="1E166547" w:rsidR="00580293" w:rsidRPr="003E1E87" w:rsidRDefault="00580293">
      <w:pPr>
        <w:pStyle w:val="FootnoteText"/>
      </w:pPr>
      <w:r w:rsidRPr="003E1E87">
        <w:rPr>
          <w:rStyle w:val="FootnoteReference"/>
        </w:rPr>
        <w:footnoteRef/>
      </w:r>
      <w:r w:rsidRPr="003E1E87">
        <w:t xml:space="preserve"> Slander does require proof of damage, due to its transient nature.</w:t>
      </w:r>
    </w:p>
  </w:footnote>
  <w:footnote w:id="201">
    <w:p w14:paraId="6550EF35" w14:textId="77777777" w:rsidR="00580293" w:rsidRDefault="00580293" w:rsidP="00295638">
      <w:pPr>
        <w:pStyle w:val="FootnoteText"/>
      </w:pPr>
      <w:r>
        <w:rPr>
          <w:rStyle w:val="FootnoteReference"/>
        </w:rPr>
        <w:footnoteRef/>
      </w:r>
      <w:r>
        <w:t xml:space="preserve"> The torts and their elements are not identical of course, but the purpose of both is to remedy harm suffered to an individual’s dignity.</w:t>
      </w:r>
    </w:p>
  </w:footnote>
  <w:footnote w:id="202">
    <w:p w14:paraId="19AC1D71" w14:textId="0F3246D7" w:rsidR="00580293" w:rsidRPr="00C97C00" w:rsidRDefault="00580293" w:rsidP="00C97C00">
      <w:pPr>
        <w:pStyle w:val="FootnoteText"/>
      </w:pPr>
      <w:r>
        <w:rPr>
          <w:rStyle w:val="FootnoteReference"/>
        </w:rPr>
        <w:footnoteRef/>
      </w:r>
      <w:r>
        <w:t xml:space="preserve"> It should be noted that the tort of Intrusion upon Seclusion (which has a cap) may overlap with the statutory right of action, but that they are not identical. At times, such as arguably was the case in </w:t>
      </w:r>
      <w:proofErr w:type="spellStart"/>
      <w:r>
        <w:rPr>
          <w:i/>
          <w:iCs/>
        </w:rPr>
        <w:t>Nammo</w:t>
      </w:r>
      <w:proofErr w:type="spellEnd"/>
      <w:r>
        <w:t xml:space="preserve">, the statutory remedy resembles the tort of defamation more, since the focus of that case was over the </w:t>
      </w:r>
      <w:r>
        <w:rPr>
          <w:i/>
          <w:iCs/>
        </w:rPr>
        <w:t>accuracy</w:t>
      </w:r>
      <w:r>
        <w:t xml:space="preserve"> of the information provided to the bank. As we discuss below with respect to future legislation, a statutory right of action should be based on a foundation of dignity which is as broad as possible, and encompasses both defamation and privacy.</w:t>
      </w:r>
    </w:p>
  </w:footnote>
  <w:footnote w:id="203">
    <w:p w14:paraId="072EAA6E" w14:textId="65A653AB" w:rsidR="00580293" w:rsidRPr="003E1E87" w:rsidRDefault="00580293" w:rsidP="00F92CA7">
      <w:pPr>
        <w:pStyle w:val="FootnoteText"/>
      </w:pPr>
      <w:r w:rsidRPr="003E1E87">
        <w:rPr>
          <w:rStyle w:val="FootnoteReference"/>
        </w:rPr>
        <w:footnoteRef/>
      </w:r>
      <w:r w:rsidRPr="003E1E87">
        <w:rPr>
          <w:rFonts w:ascii="Helvetica" w:hAnsi="Helvetica" w:cs="Helvetica"/>
          <w:color w:val="373739"/>
          <w:sz w:val="21"/>
          <w:szCs w:val="21"/>
          <w:shd w:val="clear" w:color="auto" w:fill="FFFFFF"/>
        </w:rPr>
        <w:t xml:space="preserve"> SNS 2017, c 7</w:t>
      </w:r>
      <w:r>
        <w:rPr>
          <w:rFonts w:ascii="Helvetica" w:hAnsi="Helvetica" w:cs="Helvetica"/>
          <w:color w:val="373739"/>
          <w:sz w:val="21"/>
          <w:szCs w:val="21"/>
          <w:shd w:val="clear" w:color="auto" w:fill="FFFFFF"/>
        </w:rPr>
        <w:t>.</w:t>
      </w:r>
    </w:p>
  </w:footnote>
  <w:footnote w:id="204">
    <w:p w14:paraId="26D1D262" w14:textId="78FC3CE4" w:rsidR="00580293" w:rsidRPr="003E1E87" w:rsidRDefault="00580293">
      <w:pPr>
        <w:pStyle w:val="FootnoteText"/>
      </w:pPr>
      <w:r w:rsidRPr="003E1E87">
        <w:rPr>
          <w:rStyle w:val="FootnoteReference"/>
        </w:rPr>
        <w:footnoteRef/>
      </w:r>
      <w:r w:rsidRPr="003E1E87">
        <w:t xml:space="preserve"> 2020 NSSC 177 [</w:t>
      </w:r>
      <w:proofErr w:type="spellStart"/>
      <w:r w:rsidRPr="003E1E87">
        <w:rPr>
          <w:i/>
          <w:iCs/>
        </w:rPr>
        <w:t>Candelora</w:t>
      </w:r>
      <w:proofErr w:type="spellEnd"/>
      <w:r w:rsidRPr="003E1E87">
        <w:t>]</w:t>
      </w:r>
    </w:p>
  </w:footnote>
  <w:footnote w:id="205">
    <w:p w14:paraId="3B63A275" w14:textId="3CE4685D" w:rsidR="00580293" w:rsidRPr="003E1E87" w:rsidRDefault="00580293">
      <w:pPr>
        <w:pStyle w:val="FootnoteText"/>
      </w:pPr>
      <w:r w:rsidRPr="003E1E87">
        <w:rPr>
          <w:rStyle w:val="FootnoteReference"/>
        </w:rPr>
        <w:footnoteRef/>
      </w:r>
      <w:r w:rsidRPr="003E1E87">
        <w:t xml:space="preserve"> </w:t>
      </w:r>
      <w:r>
        <w:rPr>
          <w:i/>
          <w:iCs/>
        </w:rPr>
        <w:t>Ibid</w:t>
      </w:r>
      <w:r w:rsidRPr="003E1E87">
        <w:t xml:space="preserve"> at para 5.</w:t>
      </w:r>
    </w:p>
  </w:footnote>
  <w:footnote w:id="206">
    <w:p w14:paraId="7E6BD607" w14:textId="33A9A9C7" w:rsidR="00580293" w:rsidRPr="003E1E87" w:rsidRDefault="00580293" w:rsidP="002C23F1">
      <w:pPr>
        <w:pStyle w:val="FootnoteText"/>
      </w:pPr>
      <w:r w:rsidRPr="003E1E87">
        <w:rPr>
          <w:rStyle w:val="FootnoteReference"/>
        </w:rPr>
        <w:footnoteRef/>
      </w:r>
      <w:r w:rsidRPr="003E1E87">
        <w:t xml:space="preserve"> </w:t>
      </w:r>
      <w:r w:rsidRPr="003E1E87">
        <w:rPr>
          <w:rFonts w:ascii="Helvetica" w:hAnsi="Helvetica" w:cs="Helvetica"/>
          <w:color w:val="373739"/>
          <w:sz w:val="21"/>
          <w:szCs w:val="21"/>
          <w:shd w:val="clear" w:color="auto" w:fill="FFFFFF"/>
        </w:rPr>
        <w:t>SNS 2017, c 7, s 6.</w:t>
      </w:r>
    </w:p>
  </w:footnote>
  <w:footnote w:id="207">
    <w:p w14:paraId="7459CAFE" w14:textId="6F17B62C" w:rsidR="00580293" w:rsidRPr="003E1E87" w:rsidRDefault="00580293">
      <w:pPr>
        <w:pStyle w:val="FootnoteText"/>
        <w:rPr>
          <w:rtl/>
          <w:lang w:bidi="he-IL"/>
        </w:rPr>
      </w:pPr>
      <w:r w:rsidRPr="003E1E87">
        <w:rPr>
          <w:rStyle w:val="FootnoteReference"/>
        </w:rPr>
        <w:footnoteRef/>
      </w:r>
      <w:r w:rsidRPr="00C32362">
        <w:rPr>
          <w:lang w:val="es-ES"/>
        </w:rPr>
        <w:t xml:space="preserve"> </w:t>
      </w:r>
      <w:proofErr w:type="spellStart"/>
      <w:r w:rsidRPr="00C32362">
        <w:rPr>
          <w:i/>
          <w:iCs/>
          <w:lang w:val="es-ES"/>
        </w:rPr>
        <w:t>Candelora</w:t>
      </w:r>
      <w:proofErr w:type="spellEnd"/>
      <w:r w:rsidRPr="00C32362">
        <w:rPr>
          <w:i/>
          <w:iCs/>
          <w:lang w:val="es-ES"/>
        </w:rPr>
        <w:t xml:space="preserve">, supra </w:t>
      </w:r>
      <w:r w:rsidRPr="00C32362">
        <w:rPr>
          <w:lang w:val="es-ES"/>
        </w:rPr>
        <w:t xml:space="preserve">note </w:t>
      </w:r>
      <w:r>
        <w:fldChar w:fldCharType="begin"/>
      </w:r>
      <w:r w:rsidRPr="00C32362">
        <w:rPr>
          <w:lang w:val="es-ES"/>
        </w:rPr>
        <w:instrText xml:space="preserve"> NOTEREF _Ref78210563 \h </w:instrText>
      </w:r>
      <w:r>
        <w:fldChar w:fldCharType="separate"/>
      </w:r>
      <w:r>
        <w:rPr>
          <w:lang w:val="es-ES"/>
        </w:rPr>
        <w:t>201</w:t>
      </w:r>
      <w:r>
        <w:fldChar w:fldCharType="end"/>
      </w:r>
      <w:r w:rsidRPr="00C32362">
        <w:rPr>
          <w:lang w:val="es-ES"/>
        </w:rPr>
        <w:t xml:space="preserve"> at para 13-14.</w:t>
      </w:r>
    </w:p>
  </w:footnote>
  <w:footnote w:id="208">
    <w:p w14:paraId="685F3951" w14:textId="1C8B6CDD" w:rsidR="00580293" w:rsidRPr="003E1E87" w:rsidRDefault="00580293">
      <w:pPr>
        <w:pStyle w:val="FootnoteText"/>
      </w:pPr>
      <w:r w:rsidRPr="003E1E87">
        <w:rPr>
          <w:rStyle w:val="FootnoteReference"/>
        </w:rPr>
        <w:footnoteRef/>
      </w:r>
      <w:r w:rsidRPr="003E1E87">
        <w:t xml:space="preserve"> </w:t>
      </w:r>
      <w:r>
        <w:rPr>
          <w:i/>
          <w:iCs/>
        </w:rPr>
        <w:t>Ibid</w:t>
      </w:r>
      <w:r w:rsidRPr="003E1E87">
        <w:t xml:space="preserve"> at para 15</w:t>
      </w:r>
    </w:p>
  </w:footnote>
  <w:footnote w:id="209">
    <w:p w14:paraId="06DB3FBF" w14:textId="7A7625B7" w:rsidR="00580293" w:rsidRPr="003E1E87" w:rsidRDefault="00580293">
      <w:pPr>
        <w:pStyle w:val="FootnoteText"/>
      </w:pPr>
      <w:r w:rsidRPr="003E1E87">
        <w:rPr>
          <w:rStyle w:val="FootnoteReference"/>
        </w:rPr>
        <w:footnoteRef/>
      </w:r>
      <w:r w:rsidRPr="003E1E87">
        <w:t xml:space="preserve"> </w:t>
      </w:r>
      <w:r>
        <w:rPr>
          <w:i/>
          <w:iCs/>
        </w:rPr>
        <w:t>Ibid</w:t>
      </w:r>
      <w:r w:rsidRPr="003E1E87">
        <w:t xml:space="preserve"> at para 28</w:t>
      </w:r>
    </w:p>
  </w:footnote>
  <w:footnote w:id="210">
    <w:p w14:paraId="6D171563" w14:textId="56F1DC8B" w:rsidR="00580293" w:rsidRPr="003E1E87" w:rsidRDefault="00580293">
      <w:pPr>
        <w:pStyle w:val="FootnoteText"/>
      </w:pPr>
      <w:r w:rsidRPr="003E1E87">
        <w:rPr>
          <w:rStyle w:val="FootnoteReference"/>
        </w:rPr>
        <w:footnoteRef/>
      </w:r>
      <w:r w:rsidRPr="003E1E87">
        <w:t xml:space="preserve"> </w:t>
      </w:r>
      <w:r>
        <w:rPr>
          <w:i/>
          <w:iCs/>
        </w:rPr>
        <w:t>Ibid</w:t>
      </w:r>
      <w:r w:rsidRPr="003E1E87">
        <w:t xml:space="preserve"> at para 76-81.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668945"/>
      <w:docPartObj>
        <w:docPartGallery w:val="Page Numbers (Top of Page)"/>
        <w:docPartUnique/>
      </w:docPartObj>
    </w:sdtPr>
    <w:sdtEndPr>
      <w:rPr>
        <w:noProof/>
        <w:sz w:val="20"/>
        <w:szCs w:val="20"/>
      </w:rPr>
    </w:sdtEndPr>
    <w:sdtContent>
      <w:p w14:paraId="70BFA300" w14:textId="3226DB20" w:rsidR="00580293" w:rsidRPr="00047143" w:rsidRDefault="00580293">
        <w:pPr>
          <w:pStyle w:val="Header"/>
          <w:jc w:val="right"/>
          <w:rPr>
            <w:sz w:val="20"/>
            <w:szCs w:val="20"/>
          </w:rPr>
        </w:pPr>
        <w:r w:rsidRPr="00047143">
          <w:rPr>
            <w:sz w:val="20"/>
            <w:szCs w:val="20"/>
          </w:rPr>
          <w:fldChar w:fldCharType="begin"/>
        </w:r>
        <w:r w:rsidRPr="00047143">
          <w:rPr>
            <w:sz w:val="20"/>
            <w:szCs w:val="20"/>
          </w:rPr>
          <w:instrText xml:space="preserve"> PAGE   \* MERGEFORMAT </w:instrText>
        </w:r>
        <w:r w:rsidRPr="00047143">
          <w:rPr>
            <w:sz w:val="20"/>
            <w:szCs w:val="20"/>
          </w:rPr>
          <w:fldChar w:fldCharType="separate"/>
        </w:r>
        <w:r w:rsidR="00B00624">
          <w:rPr>
            <w:noProof/>
            <w:sz w:val="20"/>
            <w:szCs w:val="20"/>
          </w:rPr>
          <w:t>24</w:t>
        </w:r>
        <w:r w:rsidRPr="00047143">
          <w:rPr>
            <w:noProof/>
            <w:sz w:val="20"/>
            <w:szCs w:val="20"/>
          </w:rPr>
          <w:fldChar w:fldCharType="end"/>
        </w:r>
      </w:p>
    </w:sdtContent>
  </w:sdt>
  <w:p w14:paraId="60F1E224" w14:textId="7A521271" w:rsidR="00B9243A" w:rsidRDefault="00047143" w:rsidP="00B9243A">
    <w:pPr>
      <w:pStyle w:val="Header"/>
      <w:jc w:val="center"/>
      <w:rPr>
        <w:sz w:val="20"/>
        <w:szCs w:val="20"/>
      </w:rPr>
    </w:pPr>
    <w:r w:rsidRPr="00047143">
      <w:rPr>
        <w:sz w:val="20"/>
        <w:szCs w:val="20"/>
      </w:rPr>
      <w:t xml:space="preserve">This is a pre-copy edited, post-peer reviewed version of the manuscript accepted for publication in </w:t>
    </w:r>
    <w:r w:rsidR="00B9243A">
      <w:rPr>
        <w:sz w:val="20"/>
        <w:szCs w:val="20"/>
      </w:rPr>
      <w:t>the March 2022 issue of The Advocates’ Quarterly.</w:t>
    </w:r>
  </w:p>
  <w:p w14:paraId="225033C1" w14:textId="7840971B" w:rsidR="00580293" w:rsidRDefault="00047143" w:rsidP="00B9243A">
    <w:pPr>
      <w:pStyle w:val="Header"/>
      <w:jc w:val="center"/>
      <w:rPr>
        <w:sz w:val="20"/>
        <w:szCs w:val="20"/>
      </w:rPr>
    </w:pPr>
    <w:r w:rsidRPr="00047143">
      <w:rPr>
        <w:sz w:val="20"/>
        <w:szCs w:val="20"/>
      </w:rPr>
      <w:t>Reproduced by permission of Thomson Reuters Canada Limited.</w:t>
    </w:r>
  </w:p>
  <w:p w14:paraId="680DA806" w14:textId="77777777" w:rsidR="00047143" w:rsidRPr="00047143" w:rsidRDefault="00047143">
    <w:pPr>
      <w:pStyle w:val="Head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4AB"/>
    <w:multiLevelType w:val="hybridMultilevel"/>
    <w:tmpl w:val="3C6EDCC2"/>
    <w:lvl w:ilvl="0" w:tplc="8422882E">
      <w:start w:val="1"/>
      <w:numFmt w:val="upp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A560D6"/>
    <w:multiLevelType w:val="hybridMultilevel"/>
    <w:tmpl w:val="3CFE373E"/>
    <w:lvl w:ilvl="0" w:tplc="38B0423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99D494A"/>
    <w:multiLevelType w:val="hybridMultilevel"/>
    <w:tmpl w:val="6C544A84"/>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FB5088"/>
    <w:multiLevelType w:val="hybridMultilevel"/>
    <w:tmpl w:val="BB96FEE0"/>
    <w:lvl w:ilvl="0" w:tplc="7F927812">
      <w:start w:val="1"/>
      <w:numFmt w:val="upperLetter"/>
      <w:lvlText w:val="%1)"/>
      <w:lvlJc w:val="left"/>
      <w:pPr>
        <w:ind w:left="720" w:hanging="360"/>
      </w:pPr>
      <w:rPr>
        <w:rFonts w:asciiTheme="minorBidi" w:hAnsiTheme="minorBid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A526F7"/>
    <w:multiLevelType w:val="hybridMultilevel"/>
    <w:tmpl w:val="436290BA"/>
    <w:lvl w:ilvl="0" w:tplc="40F2E994">
      <w:start w:val="1"/>
      <w:numFmt w:val="bullet"/>
      <w:lvlText w:val="•"/>
      <w:lvlJc w:val="left"/>
      <w:pPr>
        <w:ind w:left="360" w:hanging="360"/>
      </w:pPr>
      <w:rPr>
        <w:rFonts w:ascii="Arial" w:hAnsi="Aria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5654BC7"/>
    <w:multiLevelType w:val="hybridMultilevel"/>
    <w:tmpl w:val="0102E20A"/>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B224A1"/>
    <w:multiLevelType w:val="hybridMultilevel"/>
    <w:tmpl w:val="7CF0A386"/>
    <w:lvl w:ilvl="0" w:tplc="C14E6AF6">
      <w:start w:val="1"/>
      <w:numFmt w:val="upp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4E0662"/>
    <w:multiLevelType w:val="hybridMultilevel"/>
    <w:tmpl w:val="399A4EF8"/>
    <w:lvl w:ilvl="0" w:tplc="EEFA990E">
      <w:start w:val="2"/>
      <w:numFmt w:val="upperLetter"/>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AF7673"/>
    <w:multiLevelType w:val="hybridMultilevel"/>
    <w:tmpl w:val="83A6E760"/>
    <w:lvl w:ilvl="0" w:tplc="F78A28CC">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0328A7"/>
    <w:multiLevelType w:val="hybridMultilevel"/>
    <w:tmpl w:val="7AE884AC"/>
    <w:lvl w:ilvl="0" w:tplc="5D1EC120">
      <w:start w:val="1"/>
      <w:numFmt w:val="decimal"/>
      <w:lvlText w:val="%1."/>
      <w:lvlJc w:val="left"/>
      <w:pPr>
        <w:ind w:left="1080" w:hanging="360"/>
      </w:pPr>
      <w:rPr>
        <w:rFonts w:ascii="Arial" w:eastAsiaTheme="minorHAnsi"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3ADA0C20"/>
    <w:multiLevelType w:val="hybridMultilevel"/>
    <w:tmpl w:val="3676BC48"/>
    <w:lvl w:ilvl="0" w:tplc="0CE29B60">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FAA1BA7"/>
    <w:multiLevelType w:val="hybridMultilevel"/>
    <w:tmpl w:val="2738F12C"/>
    <w:lvl w:ilvl="0" w:tplc="6242FCF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E45DDB"/>
    <w:multiLevelType w:val="hybridMultilevel"/>
    <w:tmpl w:val="721036D4"/>
    <w:lvl w:ilvl="0" w:tplc="8B9A086C">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04134F"/>
    <w:multiLevelType w:val="multilevel"/>
    <w:tmpl w:val="BF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27F99"/>
    <w:multiLevelType w:val="hybridMultilevel"/>
    <w:tmpl w:val="D7DA7898"/>
    <w:lvl w:ilvl="0" w:tplc="FA1A44A2">
      <w:start w:val="1"/>
      <w:numFmt w:val="upperLetter"/>
      <w:lvlText w:val="%1."/>
      <w:lvlJc w:val="left"/>
      <w:pPr>
        <w:ind w:left="720" w:hanging="360"/>
      </w:pPr>
      <w:rPr>
        <w:rFonts w:asciiTheme="minorBidi" w:hAnsiTheme="minorBid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DF7A62"/>
    <w:multiLevelType w:val="hybridMultilevel"/>
    <w:tmpl w:val="F702A99C"/>
    <w:lvl w:ilvl="0" w:tplc="E8801C6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8F46068"/>
    <w:multiLevelType w:val="hybridMultilevel"/>
    <w:tmpl w:val="A230932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084863"/>
    <w:multiLevelType w:val="hybridMultilevel"/>
    <w:tmpl w:val="8A8E00B0"/>
    <w:lvl w:ilvl="0" w:tplc="8E2E237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F8A77B2"/>
    <w:multiLevelType w:val="hybridMultilevel"/>
    <w:tmpl w:val="189437A0"/>
    <w:lvl w:ilvl="0" w:tplc="C4C67D72">
      <w:start w:val="1"/>
      <w:numFmt w:val="upperLetter"/>
      <w:lvlText w:val="%1."/>
      <w:lvlJc w:val="left"/>
      <w:pPr>
        <w:ind w:left="720" w:hanging="360"/>
      </w:pPr>
      <w:rPr>
        <w:rFonts w:asciiTheme="minorBidi" w:hAnsiTheme="minorBid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697A6E"/>
    <w:multiLevelType w:val="hybridMultilevel"/>
    <w:tmpl w:val="8574296C"/>
    <w:lvl w:ilvl="0" w:tplc="2188C732">
      <w:start w:val="2"/>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8AC5D6C"/>
    <w:multiLevelType w:val="hybridMultilevel"/>
    <w:tmpl w:val="E892DB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9792469"/>
    <w:multiLevelType w:val="hybridMultilevel"/>
    <w:tmpl w:val="AD4E0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9627CC"/>
    <w:multiLevelType w:val="hybridMultilevel"/>
    <w:tmpl w:val="6BC496C0"/>
    <w:lvl w:ilvl="0" w:tplc="FCBAEF7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9"/>
  </w:num>
  <w:num w:numId="3">
    <w:abstractNumId w:val="20"/>
  </w:num>
  <w:num w:numId="4">
    <w:abstractNumId w:val="5"/>
  </w:num>
  <w:num w:numId="5">
    <w:abstractNumId w:val="2"/>
  </w:num>
  <w:num w:numId="6">
    <w:abstractNumId w:val="1"/>
  </w:num>
  <w:num w:numId="7">
    <w:abstractNumId w:val="16"/>
  </w:num>
  <w:num w:numId="8">
    <w:abstractNumId w:val="10"/>
  </w:num>
  <w:num w:numId="9">
    <w:abstractNumId w:val="21"/>
  </w:num>
  <w:num w:numId="10">
    <w:abstractNumId w:val="18"/>
  </w:num>
  <w:num w:numId="11">
    <w:abstractNumId w:val="6"/>
  </w:num>
  <w:num w:numId="12">
    <w:abstractNumId w:val="14"/>
  </w:num>
  <w:num w:numId="13">
    <w:abstractNumId w:val="22"/>
  </w:num>
  <w:num w:numId="14">
    <w:abstractNumId w:val="15"/>
  </w:num>
  <w:num w:numId="15">
    <w:abstractNumId w:val="19"/>
  </w:num>
  <w:num w:numId="16">
    <w:abstractNumId w:val="17"/>
  </w:num>
  <w:num w:numId="17">
    <w:abstractNumId w:val="7"/>
  </w:num>
  <w:num w:numId="18">
    <w:abstractNumId w:val="3"/>
  </w:num>
  <w:num w:numId="19">
    <w:abstractNumId w:val="12"/>
  </w:num>
  <w:num w:numId="20">
    <w:abstractNumId w:val="8"/>
  </w:num>
  <w:num w:numId="21">
    <w:abstractNumId w:val="13"/>
  </w:num>
  <w:num w:numId="22">
    <w:abstractNumId w:val="4"/>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CA" w:vendorID="64" w:dllVersion="6" w:nlCheck="1" w:checkStyle="0"/>
  <w:activeWritingStyle w:appName="MSWord" w:lang="es-ES" w:vendorID="64" w:dllVersion="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CA"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DFA"/>
    <w:rsid w:val="000009F3"/>
    <w:rsid w:val="00001634"/>
    <w:rsid w:val="00001B6D"/>
    <w:rsid w:val="00002809"/>
    <w:rsid w:val="0000297C"/>
    <w:rsid w:val="000033A6"/>
    <w:rsid w:val="000047DA"/>
    <w:rsid w:val="00005204"/>
    <w:rsid w:val="00005C05"/>
    <w:rsid w:val="00006553"/>
    <w:rsid w:val="000068EE"/>
    <w:rsid w:val="000077A6"/>
    <w:rsid w:val="00012569"/>
    <w:rsid w:val="00012757"/>
    <w:rsid w:val="00012783"/>
    <w:rsid w:val="00015204"/>
    <w:rsid w:val="0001611C"/>
    <w:rsid w:val="000164B3"/>
    <w:rsid w:val="000171A1"/>
    <w:rsid w:val="00020233"/>
    <w:rsid w:val="000208B8"/>
    <w:rsid w:val="00020AB3"/>
    <w:rsid w:val="000212BF"/>
    <w:rsid w:val="00021329"/>
    <w:rsid w:val="00021953"/>
    <w:rsid w:val="00024FCB"/>
    <w:rsid w:val="00025EF5"/>
    <w:rsid w:val="00027139"/>
    <w:rsid w:val="0002756A"/>
    <w:rsid w:val="00030101"/>
    <w:rsid w:val="0003029A"/>
    <w:rsid w:val="00031E4E"/>
    <w:rsid w:val="00031E8F"/>
    <w:rsid w:val="00031EA3"/>
    <w:rsid w:val="00032266"/>
    <w:rsid w:val="00033112"/>
    <w:rsid w:val="00034830"/>
    <w:rsid w:val="00036E74"/>
    <w:rsid w:val="000375FE"/>
    <w:rsid w:val="000400F3"/>
    <w:rsid w:val="00041220"/>
    <w:rsid w:val="00041346"/>
    <w:rsid w:val="00041539"/>
    <w:rsid w:val="00042689"/>
    <w:rsid w:val="00042734"/>
    <w:rsid w:val="000429BF"/>
    <w:rsid w:val="00044D8F"/>
    <w:rsid w:val="00044DCE"/>
    <w:rsid w:val="00045085"/>
    <w:rsid w:val="00045157"/>
    <w:rsid w:val="00047143"/>
    <w:rsid w:val="00050302"/>
    <w:rsid w:val="000507AA"/>
    <w:rsid w:val="000513E1"/>
    <w:rsid w:val="00052CCE"/>
    <w:rsid w:val="000538E6"/>
    <w:rsid w:val="00055A0C"/>
    <w:rsid w:val="00060A48"/>
    <w:rsid w:val="00060C7C"/>
    <w:rsid w:val="000618B2"/>
    <w:rsid w:val="00062AAA"/>
    <w:rsid w:val="00062C12"/>
    <w:rsid w:val="000638BC"/>
    <w:rsid w:val="00064EDA"/>
    <w:rsid w:val="000650FB"/>
    <w:rsid w:val="00066054"/>
    <w:rsid w:val="00066166"/>
    <w:rsid w:val="000662EA"/>
    <w:rsid w:val="00067652"/>
    <w:rsid w:val="00070067"/>
    <w:rsid w:val="00070B23"/>
    <w:rsid w:val="00072A9A"/>
    <w:rsid w:val="00073946"/>
    <w:rsid w:val="00073FCC"/>
    <w:rsid w:val="0007528D"/>
    <w:rsid w:val="00075D8B"/>
    <w:rsid w:val="00075F15"/>
    <w:rsid w:val="000769E5"/>
    <w:rsid w:val="00077140"/>
    <w:rsid w:val="00077162"/>
    <w:rsid w:val="000800CD"/>
    <w:rsid w:val="00080EA7"/>
    <w:rsid w:val="000827C5"/>
    <w:rsid w:val="0008331A"/>
    <w:rsid w:val="00083AAD"/>
    <w:rsid w:val="00086353"/>
    <w:rsid w:val="000865D7"/>
    <w:rsid w:val="00086E72"/>
    <w:rsid w:val="0008777F"/>
    <w:rsid w:val="000877AA"/>
    <w:rsid w:val="00087F63"/>
    <w:rsid w:val="00090E6A"/>
    <w:rsid w:val="0009122E"/>
    <w:rsid w:val="00092D58"/>
    <w:rsid w:val="00093472"/>
    <w:rsid w:val="00094369"/>
    <w:rsid w:val="0009581F"/>
    <w:rsid w:val="0009623A"/>
    <w:rsid w:val="000A0AC5"/>
    <w:rsid w:val="000A14ED"/>
    <w:rsid w:val="000A20FE"/>
    <w:rsid w:val="000A2E4A"/>
    <w:rsid w:val="000A324F"/>
    <w:rsid w:val="000A4187"/>
    <w:rsid w:val="000A438B"/>
    <w:rsid w:val="000A4BAD"/>
    <w:rsid w:val="000A55EC"/>
    <w:rsid w:val="000B0A60"/>
    <w:rsid w:val="000B0B45"/>
    <w:rsid w:val="000B1C12"/>
    <w:rsid w:val="000B1D41"/>
    <w:rsid w:val="000B2193"/>
    <w:rsid w:val="000B3D70"/>
    <w:rsid w:val="000B5E04"/>
    <w:rsid w:val="000B668E"/>
    <w:rsid w:val="000B7DE6"/>
    <w:rsid w:val="000C1396"/>
    <w:rsid w:val="000C17A3"/>
    <w:rsid w:val="000C1847"/>
    <w:rsid w:val="000C18E6"/>
    <w:rsid w:val="000C37FC"/>
    <w:rsid w:val="000C4CA0"/>
    <w:rsid w:val="000C509D"/>
    <w:rsid w:val="000C5547"/>
    <w:rsid w:val="000C6634"/>
    <w:rsid w:val="000C78F6"/>
    <w:rsid w:val="000C7E60"/>
    <w:rsid w:val="000D05D6"/>
    <w:rsid w:val="000D1EEE"/>
    <w:rsid w:val="000D208A"/>
    <w:rsid w:val="000D3C45"/>
    <w:rsid w:val="000D40CE"/>
    <w:rsid w:val="000D4605"/>
    <w:rsid w:val="000D4729"/>
    <w:rsid w:val="000D489E"/>
    <w:rsid w:val="000D62C2"/>
    <w:rsid w:val="000D6AB7"/>
    <w:rsid w:val="000D6D20"/>
    <w:rsid w:val="000D7C8B"/>
    <w:rsid w:val="000E130A"/>
    <w:rsid w:val="000E1C29"/>
    <w:rsid w:val="000E230D"/>
    <w:rsid w:val="000E31B1"/>
    <w:rsid w:val="000E31BD"/>
    <w:rsid w:val="000E3B73"/>
    <w:rsid w:val="000E43BE"/>
    <w:rsid w:val="000E44CD"/>
    <w:rsid w:val="000E59D7"/>
    <w:rsid w:val="000E6B07"/>
    <w:rsid w:val="000E7593"/>
    <w:rsid w:val="000E7A3F"/>
    <w:rsid w:val="000E7BB0"/>
    <w:rsid w:val="000F0219"/>
    <w:rsid w:val="000F1345"/>
    <w:rsid w:val="000F15A8"/>
    <w:rsid w:val="000F1651"/>
    <w:rsid w:val="000F2185"/>
    <w:rsid w:val="000F219D"/>
    <w:rsid w:val="000F234B"/>
    <w:rsid w:val="000F3143"/>
    <w:rsid w:val="000F4A23"/>
    <w:rsid w:val="000F5214"/>
    <w:rsid w:val="000F572C"/>
    <w:rsid w:val="00100A41"/>
    <w:rsid w:val="00100AE2"/>
    <w:rsid w:val="00102A5A"/>
    <w:rsid w:val="00102BB4"/>
    <w:rsid w:val="00102FDD"/>
    <w:rsid w:val="001032B8"/>
    <w:rsid w:val="001061B4"/>
    <w:rsid w:val="0011029B"/>
    <w:rsid w:val="0011110E"/>
    <w:rsid w:val="001112EF"/>
    <w:rsid w:val="00112207"/>
    <w:rsid w:val="00112D37"/>
    <w:rsid w:val="001132B3"/>
    <w:rsid w:val="0011408D"/>
    <w:rsid w:val="0011426F"/>
    <w:rsid w:val="00114745"/>
    <w:rsid w:val="00115DCC"/>
    <w:rsid w:val="00115E76"/>
    <w:rsid w:val="00116B0A"/>
    <w:rsid w:val="00117213"/>
    <w:rsid w:val="001172C5"/>
    <w:rsid w:val="00117DF6"/>
    <w:rsid w:val="001205E1"/>
    <w:rsid w:val="0012088E"/>
    <w:rsid w:val="00122198"/>
    <w:rsid w:val="001224D9"/>
    <w:rsid w:val="0012337B"/>
    <w:rsid w:val="00123A95"/>
    <w:rsid w:val="00123C97"/>
    <w:rsid w:val="00125BFF"/>
    <w:rsid w:val="0012678A"/>
    <w:rsid w:val="00126BA4"/>
    <w:rsid w:val="00127638"/>
    <w:rsid w:val="00130DE3"/>
    <w:rsid w:val="00131887"/>
    <w:rsid w:val="001331BE"/>
    <w:rsid w:val="001343C7"/>
    <w:rsid w:val="0013561F"/>
    <w:rsid w:val="001356D3"/>
    <w:rsid w:val="00136793"/>
    <w:rsid w:val="00136B55"/>
    <w:rsid w:val="00136D1B"/>
    <w:rsid w:val="0014052D"/>
    <w:rsid w:val="00140575"/>
    <w:rsid w:val="00141338"/>
    <w:rsid w:val="00143EBC"/>
    <w:rsid w:val="0014532A"/>
    <w:rsid w:val="00145340"/>
    <w:rsid w:val="00145752"/>
    <w:rsid w:val="00145A02"/>
    <w:rsid w:val="00145B24"/>
    <w:rsid w:val="001460AE"/>
    <w:rsid w:val="0014730D"/>
    <w:rsid w:val="00147BD5"/>
    <w:rsid w:val="00147D62"/>
    <w:rsid w:val="001504BA"/>
    <w:rsid w:val="00151025"/>
    <w:rsid w:val="00152365"/>
    <w:rsid w:val="0015555C"/>
    <w:rsid w:val="00160BA9"/>
    <w:rsid w:val="00161586"/>
    <w:rsid w:val="001618B4"/>
    <w:rsid w:val="00161BDC"/>
    <w:rsid w:val="00162109"/>
    <w:rsid w:val="001636E0"/>
    <w:rsid w:val="00163A2E"/>
    <w:rsid w:val="00164207"/>
    <w:rsid w:val="00164A5C"/>
    <w:rsid w:val="00164C96"/>
    <w:rsid w:val="00164EAE"/>
    <w:rsid w:val="001650CD"/>
    <w:rsid w:val="001669FB"/>
    <w:rsid w:val="001672D3"/>
    <w:rsid w:val="001676D1"/>
    <w:rsid w:val="001706BE"/>
    <w:rsid w:val="00170AC8"/>
    <w:rsid w:val="00172258"/>
    <w:rsid w:val="001753F4"/>
    <w:rsid w:val="00175973"/>
    <w:rsid w:val="0017703C"/>
    <w:rsid w:val="0017771D"/>
    <w:rsid w:val="00177C2F"/>
    <w:rsid w:val="001807F4"/>
    <w:rsid w:val="00180F38"/>
    <w:rsid w:val="0018154B"/>
    <w:rsid w:val="00181947"/>
    <w:rsid w:val="00184324"/>
    <w:rsid w:val="00185037"/>
    <w:rsid w:val="00185967"/>
    <w:rsid w:val="00186258"/>
    <w:rsid w:val="001865FB"/>
    <w:rsid w:val="00187380"/>
    <w:rsid w:val="00187922"/>
    <w:rsid w:val="00187AC9"/>
    <w:rsid w:val="00187BA4"/>
    <w:rsid w:val="0019084D"/>
    <w:rsid w:val="00191092"/>
    <w:rsid w:val="00192056"/>
    <w:rsid w:val="00192217"/>
    <w:rsid w:val="0019517B"/>
    <w:rsid w:val="00196955"/>
    <w:rsid w:val="001A0BF1"/>
    <w:rsid w:val="001A2373"/>
    <w:rsid w:val="001A2652"/>
    <w:rsid w:val="001A26E8"/>
    <w:rsid w:val="001A2EAC"/>
    <w:rsid w:val="001A61BD"/>
    <w:rsid w:val="001A681C"/>
    <w:rsid w:val="001A7291"/>
    <w:rsid w:val="001B0600"/>
    <w:rsid w:val="001B19CB"/>
    <w:rsid w:val="001B2465"/>
    <w:rsid w:val="001B3600"/>
    <w:rsid w:val="001B3A46"/>
    <w:rsid w:val="001B5C2F"/>
    <w:rsid w:val="001B5C3D"/>
    <w:rsid w:val="001B5D3D"/>
    <w:rsid w:val="001B5E0B"/>
    <w:rsid w:val="001B62FA"/>
    <w:rsid w:val="001B702F"/>
    <w:rsid w:val="001C136D"/>
    <w:rsid w:val="001C16DD"/>
    <w:rsid w:val="001C2BEB"/>
    <w:rsid w:val="001C4906"/>
    <w:rsid w:val="001C4F4E"/>
    <w:rsid w:val="001C6173"/>
    <w:rsid w:val="001C6A4D"/>
    <w:rsid w:val="001C6AF4"/>
    <w:rsid w:val="001C7DFF"/>
    <w:rsid w:val="001D00D1"/>
    <w:rsid w:val="001D03BA"/>
    <w:rsid w:val="001D09B2"/>
    <w:rsid w:val="001D176A"/>
    <w:rsid w:val="001D2606"/>
    <w:rsid w:val="001D26BA"/>
    <w:rsid w:val="001D3B68"/>
    <w:rsid w:val="001D40B9"/>
    <w:rsid w:val="001D420A"/>
    <w:rsid w:val="001D488B"/>
    <w:rsid w:val="001D4A73"/>
    <w:rsid w:val="001D4F06"/>
    <w:rsid w:val="001D592D"/>
    <w:rsid w:val="001E06AA"/>
    <w:rsid w:val="001E0A02"/>
    <w:rsid w:val="001E2876"/>
    <w:rsid w:val="001E2E7E"/>
    <w:rsid w:val="001E3D18"/>
    <w:rsid w:val="001E417A"/>
    <w:rsid w:val="001E50B4"/>
    <w:rsid w:val="001E5720"/>
    <w:rsid w:val="001E6797"/>
    <w:rsid w:val="001E7C85"/>
    <w:rsid w:val="001F065B"/>
    <w:rsid w:val="001F1BA8"/>
    <w:rsid w:val="001F2419"/>
    <w:rsid w:val="001F257C"/>
    <w:rsid w:val="001F29F8"/>
    <w:rsid w:val="001F32EC"/>
    <w:rsid w:val="001F3857"/>
    <w:rsid w:val="001F5947"/>
    <w:rsid w:val="00200557"/>
    <w:rsid w:val="0020160B"/>
    <w:rsid w:val="00202CB6"/>
    <w:rsid w:val="00202CD1"/>
    <w:rsid w:val="002033B1"/>
    <w:rsid w:val="0020492B"/>
    <w:rsid w:val="00204C9D"/>
    <w:rsid w:val="002057BE"/>
    <w:rsid w:val="00205F34"/>
    <w:rsid w:val="002067C4"/>
    <w:rsid w:val="00206A19"/>
    <w:rsid w:val="00210228"/>
    <w:rsid w:val="002105C0"/>
    <w:rsid w:val="002118A3"/>
    <w:rsid w:val="00211A56"/>
    <w:rsid w:val="00211CCD"/>
    <w:rsid w:val="002121D1"/>
    <w:rsid w:val="00212808"/>
    <w:rsid w:val="00214F8C"/>
    <w:rsid w:val="00216887"/>
    <w:rsid w:val="002201D6"/>
    <w:rsid w:val="002208BE"/>
    <w:rsid w:val="00221E33"/>
    <w:rsid w:val="002227B0"/>
    <w:rsid w:val="002232C7"/>
    <w:rsid w:val="002243C8"/>
    <w:rsid w:val="00224DA6"/>
    <w:rsid w:val="00224E94"/>
    <w:rsid w:val="00225025"/>
    <w:rsid w:val="002254C5"/>
    <w:rsid w:val="0022555C"/>
    <w:rsid w:val="0023025D"/>
    <w:rsid w:val="002306BB"/>
    <w:rsid w:val="00231887"/>
    <w:rsid w:val="00231ABA"/>
    <w:rsid w:val="00231DBA"/>
    <w:rsid w:val="002346F6"/>
    <w:rsid w:val="0023548F"/>
    <w:rsid w:val="0024037B"/>
    <w:rsid w:val="00240CE6"/>
    <w:rsid w:val="002415BA"/>
    <w:rsid w:val="0024250B"/>
    <w:rsid w:val="0024306F"/>
    <w:rsid w:val="00243AD4"/>
    <w:rsid w:val="00243C7D"/>
    <w:rsid w:val="00244CA4"/>
    <w:rsid w:val="00244DB6"/>
    <w:rsid w:val="00246020"/>
    <w:rsid w:val="00246482"/>
    <w:rsid w:val="00247117"/>
    <w:rsid w:val="002476F5"/>
    <w:rsid w:val="00247722"/>
    <w:rsid w:val="00251E12"/>
    <w:rsid w:val="00251F89"/>
    <w:rsid w:val="00252350"/>
    <w:rsid w:val="00252E00"/>
    <w:rsid w:val="0025458B"/>
    <w:rsid w:val="00254921"/>
    <w:rsid w:val="00255342"/>
    <w:rsid w:val="002562B6"/>
    <w:rsid w:val="00260EFD"/>
    <w:rsid w:val="00261416"/>
    <w:rsid w:val="0026257B"/>
    <w:rsid w:val="00264316"/>
    <w:rsid w:val="00265659"/>
    <w:rsid w:val="00265721"/>
    <w:rsid w:val="0026670A"/>
    <w:rsid w:val="00266FB9"/>
    <w:rsid w:val="00267A2E"/>
    <w:rsid w:val="00270210"/>
    <w:rsid w:val="00272216"/>
    <w:rsid w:val="00272885"/>
    <w:rsid w:val="00272C9C"/>
    <w:rsid w:val="002731F0"/>
    <w:rsid w:val="002737FE"/>
    <w:rsid w:val="002740D7"/>
    <w:rsid w:val="002758A6"/>
    <w:rsid w:val="00276237"/>
    <w:rsid w:val="002763E7"/>
    <w:rsid w:val="002775FE"/>
    <w:rsid w:val="002810D2"/>
    <w:rsid w:val="00281C96"/>
    <w:rsid w:val="002834F9"/>
    <w:rsid w:val="00283E3D"/>
    <w:rsid w:val="00283FB3"/>
    <w:rsid w:val="00286B92"/>
    <w:rsid w:val="00291290"/>
    <w:rsid w:val="002925AD"/>
    <w:rsid w:val="002928B9"/>
    <w:rsid w:val="002931A1"/>
    <w:rsid w:val="00294110"/>
    <w:rsid w:val="002942A1"/>
    <w:rsid w:val="002946CA"/>
    <w:rsid w:val="00295638"/>
    <w:rsid w:val="00295976"/>
    <w:rsid w:val="00295B22"/>
    <w:rsid w:val="00295B85"/>
    <w:rsid w:val="00296F40"/>
    <w:rsid w:val="002A0272"/>
    <w:rsid w:val="002A0471"/>
    <w:rsid w:val="002A04C0"/>
    <w:rsid w:val="002A2413"/>
    <w:rsid w:val="002A325A"/>
    <w:rsid w:val="002A3721"/>
    <w:rsid w:val="002A3903"/>
    <w:rsid w:val="002A5636"/>
    <w:rsid w:val="002A760D"/>
    <w:rsid w:val="002A7C6E"/>
    <w:rsid w:val="002B04E5"/>
    <w:rsid w:val="002B0617"/>
    <w:rsid w:val="002B15B4"/>
    <w:rsid w:val="002B245D"/>
    <w:rsid w:val="002B26D4"/>
    <w:rsid w:val="002B2851"/>
    <w:rsid w:val="002B4CB2"/>
    <w:rsid w:val="002B7208"/>
    <w:rsid w:val="002B79DC"/>
    <w:rsid w:val="002C017E"/>
    <w:rsid w:val="002C0D67"/>
    <w:rsid w:val="002C0F85"/>
    <w:rsid w:val="002C1876"/>
    <w:rsid w:val="002C1BA6"/>
    <w:rsid w:val="002C1ECE"/>
    <w:rsid w:val="002C215A"/>
    <w:rsid w:val="002C23F1"/>
    <w:rsid w:val="002C2AC6"/>
    <w:rsid w:val="002C44FA"/>
    <w:rsid w:val="002C4E5F"/>
    <w:rsid w:val="002C4EF2"/>
    <w:rsid w:val="002C56FE"/>
    <w:rsid w:val="002C60C0"/>
    <w:rsid w:val="002D13A2"/>
    <w:rsid w:val="002D166C"/>
    <w:rsid w:val="002D1FFF"/>
    <w:rsid w:val="002D22DB"/>
    <w:rsid w:val="002D29F0"/>
    <w:rsid w:val="002D400D"/>
    <w:rsid w:val="002D4D6D"/>
    <w:rsid w:val="002D4DDE"/>
    <w:rsid w:val="002D5768"/>
    <w:rsid w:val="002D6056"/>
    <w:rsid w:val="002D724F"/>
    <w:rsid w:val="002D72E5"/>
    <w:rsid w:val="002E0D08"/>
    <w:rsid w:val="002E0E4F"/>
    <w:rsid w:val="002E0F01"/>
    <w:rsid w:val="002E1AA8"/>
    <w:rsid w:val="002E1DDE"/>
    <w:rsid w:val="002E1E85"/>
    <w:rsid w:val="002E226D"/>
    <w:rsid w:val="002E2413"/>
    <w:rsid w:val="002E2E41"/>
    <w:rsid w:val="002E402B"/>
    <w:rsid w:val="002E5413"/>
    <w:rsid w:val="002E54F4"/>
    <w:rsid w:val="002E5993"/>
    <w:rsid w:val="002E5AE1"/>
    <w:rsid w:val="002E61F5"/>
    <w:rsid w:val="002E66E6"/>
    <w:rsid w:val="002E6E98"/>
    <w:rsid w:val="002E6FEF"/>
    <w:rsid w:val="002F0B86"/>
    <w:rsid w:val="002F0BF1"/>
    <w:rsid w:val="002F29B4"/>
    <w:rsid w:val="002F3D77"/>
    <w:rsid w:val="002F3F0A"/>
    <w:rsid w:val="002F4387"/>
    <w:rsid w:val="0030061D"/>
    <w:rsid w:val="003017DE"/>
    <w:rsid w:val="00301D73"/>
    <w:rsid w:val="0030331C"/>
    <w:rsid w:val="00303EA5"/>
    <w:rsid w:val="0030459C"/>
    <w:rsid w:val="003051CC"/>
    <w:rsid w:val="003052B4"/>
    <w:rsid w:val="00305D9F"/>
    <w:rsid w:val="003061DB"/>
    <w:rsid w:val="00306CD1"/>
    <w:rsid w:val="00306EBC"/>
    <w:rsid w:val="00310479"/>
    <w:rsid w:val="00310C53"/>
    <w:rsid w:val="003120D4"/>
    <w:rsid w:val="00312AA0"/>
    <w:rsid w:val="00315048"/>
    <w:rsid w:val="0031544F"/>
    <w:rsid w:val="00315EEE"/>
    <w:rsid w:val="00316D9B"/>
    <w:rsid w:val="00320E61"/>
    <w:rsid w:val="00321FC4"/>
    <w:rsid w:val="00322F8F"/>
    <w:rsid w:val="00323083"/>
    <w:rsid w:val="00323EE6"/>
    <w:rsid w:val="003240CD"/>
    <w:rsid w:val="0032428E"/>
    <w:rsid w:val="00324768"/>
    <w:rsid w:val="003250BF"/>
    <w:rsid w:val="00325345"/>
    <w:rsid w:val="00325C7F"/>
    <w:rsid w:val="00326007"/>
    <w:rsid w:val="003263CF"/>
    <w:rsid w:val="003270FC"/>
    <w:rsid w:val="00327136"/>
    <w:rsid w:val="00327256"/>
    <w:rsid w:val="00327B2D"/>
    <w:rsid w:val="00330F62"/>
    <w:rsid w:val="00331CD9"/>
    <w:rsid w:val="00332EAB"/>
    <w:rsid w:val="00333ABD"/>
    <w:rsid w:val="003351C5"/>
    <w:rsid w:val="00335404"/>
    <w:rsid w:val="00335D7D"/>
    <w:rsid w:val="0033698A"/>
    <w:rsid w:val="00336E88"/>
    <w:rsid w:val="003372F6"/>
    <w:rsid w:val="00337D4F"/>
    <w:rsid w:val="00340322"/>
    <w:rsid w:val="00340CED"/>
    <w:rsid w:val="00341D76"/>
    <w:rsid w:val="0034299F"/>
    <w:rsid w:val="00342FAA"/>
    <w:rsid w:val="00343728"/>
    <w:rsid w:val="0034400E"/>
    <w:rsid w:val="00344D7C"/>
    <w:rsid w:val="00345731"/>
    <w:rsid w:val="0034608B"/>
    <w:rsid w:val="00346651"/>
    <w:rsid w:val="00346EA4"/>
    <w:rsid w:val="003476C2"/>
    <w:rsid w:val="00350A10"/>
    <w:rsid w:val="003516CB"/>
    <w:rsid w:val="00351C38"/>
    <w:rsid w:val="00351C5B"/>
    <w:rsid w:val="00351FE7"/>
    <w:rsid w:val="0035263F"/>
    <w:rsid w:val="00353BFB"/>
    <w:rsid w:val="0035470E"/>
    <w:rsid w:val="003547B2"/>
    <w:rsid w:val="003560FE"/>
    <w:rsid w:val="00357704"/>
    <w:rsid w:val="00357A85"/>
    <w:rsid w:val="00357D64"/>
    <w:rsid w:val="00360A22"/>
    <w:rsid w:val="00360F16"/>
    <w:rsid w:val="00361399"/>
    <w:rsid w:val="00364324"/>
    <w:rsid w:val="00364891"/>
    <w:rsid w:val="00366988"/>
    <w:rsid w:val="00366C42"/>
    <w:rsid w:val="00366CB0"/>
    <w:rsid w:val="00367704"/>
    <w:rsid w:val="00367A38"/>
    <w:rsid w:val="00370766"/>
    <w:rsid w:val="00371F2B"/>
    <w:rsid w:val="00372AF8"/>
    <w:rsid w:val="0037320F"/>
    <w:rsid w:val="003738E9"/>
    <w:rsid w:val="003747F6"/>
    <w:rsid w:val="00374F8F"/>
    <w:rsid w:val="00375571"/>
    <w:rsid w:val="00375685"/>
    <w:rsid w:val="00382887"/>
    <w:rsid w:val="00382BB3"/>
    <w:rsid w:val="00382FFC"/>
    <w:rsid w:val="003830BA"/>
    <w:rsid w:val="00383579"/>
    <w:rsid w:val="003838E6"/>
    <w:rsid w:val="00383B17"/>
    <w:rsid w:val="00384DC2"/>
    <w:rsid w:val="003863E4"/>
    <w:rsid w:val="0038680E"/>
    <w:rsid w:val="00386FA5"/>
    <w:rsid w:val="00390B91"/>
    <w:rsid w:val="00392AFF"/>
    <w:rsid w:val="00392BC9"/>
    <w:rsid w:val="003946AF"/>
    <w:rsid w:val="00395C6E"/>
    <w:rsid w:val="003963EF"/>
    <w:rsid w:val="003964B2"/>
    <w:rsid w:val="00396AEA"/>
    <w:rsid w:val="0039795F"/>
    <w:rsid w:val="00397A38"/>
    <w:rsid w:val="00397DC0"/>
    <w:rsid w:val="003A1BCF"/>
    <w:rsid w:val="003A2A7F"/>
    <w:rsid w:val="003A2C88"/>
    <w:rsid w:val="003A37FB"/>
    <w:rsid w:val="003A3DE0"/>
    <w:rsid w:val="003A42A3"/>
    <w:rsid w:val="003A596F"/>
    <w:rsid w:val="003A62E9"/>
    <w:rsid w:val="003A63BC"/>
    <w:rsid w:val="003A769E"/>
    <w:rsid w:val="003B050B"/>
    <w:rsid w:val="003B1579"/>
    <w:rsid w:val="003B2320"/>
    <w:rsid w:val="003B2580"/>
    <w:rsid w:val="003B3121"/>
    <w:rsid w:val="003B3806"/>
    <w:rsid w:val="003B38B6"/>
    <w:rsid w:val="003B416D"/>
    <w:rsid w:val="003B6F56"/>
    <w:rsid w:val="003B71BC"/>
    <w:rsid w:val="003C07AE"/>
    <w:rsid w:val="003C0A2F"/>
    <w:rsid w:val="003C0BD8"/>
    <w:rsid w:val="003C0F01"/>
    <w:rsid w:val="003C1242"/>
    <w:rsid w:val="003C3BF5"/>
    <w:rsid w:val="003C3C6F"/>
    <w:rsid w:val="003C4752"/>
    <w:rsid w:val="003C5703"/>
    <w:rsid w:val="003C74DD"/>
    <w:rsid w:val="003D130A"/>
    <w:rsid w:val="003D2ABD"/>
    <w:rsid w:val="003D3156"/>
    <w:rsid w:val="003D318F"/>
    <w:rsid w:val="003D3F0F"/>
    <w:rsid w:val="003D4CE3"/>
    <w:rsid w:val="003D4D48"/>
    <w:rsid w:val="003D5834"/>
    <w:rsid w:val="003D5A37"/>
    <w:rsid w:val="003D717D"/>
    <w:rsid w:val="003E05EC"/>
    <w:rsid w:val="003E098D"/>
    <w:rsid w:val="003E0A92"/>
    <w:rsid w:val="003E0D5B"/>
    <w:rsid w:val="003E1035"/>
    <w:rsid w:val="003E1981"/>
    <w:rsid w:val="003E1E87"/>
    <w:rsid w:val="003E285B"/>
    <w:rsid w:val="003E3EDA"/>
    <w:rsid w:val="003E46C5"/>
    <w:rsid w:val="003E6483"/>
    <w:rsid w:val="003E6564"/>
    <w:rsid w:val="003E755D"/>
    <w:rsid w:val="003F02C7"/>
    <w:rsid w:val="003F11D6"/>
    <w:rsid w:val="003F21E0"/>
    <w:rsid w:val="003F2896"/>
    <w:rsid w:val="003F2C94"/>
    <w:rsid w:val="003F32ED"/>
    <w:rsid w:val="003F455A"/>
    <w:rsid w:val="003F490D"/>
    <w:rsid w:val="003F52AB"/>
    <w:rsid w:val="003F698E"/>
    <w:rsid w:val="00400554"/>
    <w:rsid w:val="004013FE"/>
    <w:rsid w:val="004015F1"/>
    <w:rsid w:val="0040193A"/>
    <w:rsid w:val="00401B53"/>
    <w:rsid w:val="004037E9"/>
    <w:rsid w:val="0040477D"/>
    <w:rsid w:val="00404C07"/>
    <w:rsid w:val="00404DD9"/>
    <w:rsid w:val="004110A9"/>
    <w:rsid w:val="0041195A"/>
    <w:rsid w:val="00412708"/>
    <w:rsid w:val="00416AA5"/>
    <w:rsid w:val="0041700A"/>
    <w:rsid w:val="0041762D"/>
    <w:rsid w:val="004200E9"/>
    <w:rsid w:val="004208CC"/>
    <w:rsid w:val="00420FA4"/>
    <w:rsid w:val="00421302"/>
    <w:rsid w:val="004223FB"/>
    <w:rsid w:val="0042284F"/>
    <w:rsid w:val="00424331"/>
    <w:rsid w:val="004249B4"/>
    <w:rsid w:val="00427741"/>
    <w:rsid w:val="00430A53"/>
    <w:rsid w:val="00431F9C"/>
    <w:rsid w:val="00432886"/>
    <w:rsid w:val="00433A66"/>
    <w:rsid w:val="00433BEA"/>
    <w:rsid w:val="00435ABB"/>
    <w:rsid w:val="004360D8"/>
    <w:rsid w:val="00436752"/>
    <w:rsid w:val="00436F8D"/>
    <w:rsid w:val="00437AD3"/>
    <w:rsid w:val="00441C4A"/>
    <w:rsid w:val="00442234"/>
    <w:rsid w:val="004432D6"/>
    <w:rsid w:val="0044368F"/>
    <w:rsid w:val="00443C92"/>
    <w:rsid w:val="004455EC"/>
    <w:rsid w:val="004475C6"/>
    <w:rsid w:val="0044791C"/>
    <w:rsid w:val="00450A19"/>
    <w:rsid w:val="00452411"/>
    <w:rsid w:val="00452873"/>
    <w:rsid w:val="00452DB8"/>
    <w:rsid w:val="00453C78"/>
    <w:rsid w:val="004547C0"/>
    <w:rsid w:val="00454A66"/>
    <w:rsid w:val="00454B69"/>
    <w:rsid w:val="00456250"/>
    <w:rsid w:val="00456507"/>
    <w:rsid w:val="00456E40"/>
    <w:rsid w:val="00457320"/>
    <w:rsid w:val="0046435F"/>
    <w:rsid w:val="00464C81"/>
    <w:rsid w:val="004659EE"/>
    <w:rsid w:val="0046678F"/>
    <w:rsid w:val="00467188"/>
    <w:rsid w:val="00467A7C"/>
    <w:rsid w:val="00470B14"/>
    <w:rsid w:val="00470E2B"/>
    <w:rsid w:val="004713BE"/>
    <w:rsid w:val="00471BA9"/>
    <w:rsid w:val="00472F88"/>
    <w:rsid w:val="00473D09"/>
    <w:rsid w:val="00474F8E"/>
    <w:rsid w:val="0047789B"/>
    <w:rsid w:val="00480611"/>
    <w:rsid w:val="004807BD"/>
    <w:rsid w:val="00480E8E"/>
    <w:rsid w:val="00481ACC"/>
    <w:rsid w:val="00482B3F"/>
    <w:rsid w:val="00482D3A"/>
    <w:rsid w:val="0048485D"/>
    <w:rsid w:val="00485A8D"/>
    <w:rsid w:val="00486D7A"/>
    <w:rsid w:val="00490109"/>
    <w:rsid w:val="00491156"/>
    <w:rsid w:val="00491C4B"/>
    <w:rsid w:val="00492397"/>
    <w:rsid w:val="00492C90"/>
    <w:rsid w:val="004945F6"/>
    <w:rsid w:val="004947C8"/>
    <w:rsid w:val="00494828"/>
    <w:rsid w:val="00494A11"/>
    <w:rsid w:val="00495125"/>
    <w:rsid w:val="00495229"/>
    <w:rsid w:val="00495632"/>
    <w:rsid w:val="00495842"/>
    <w:rsid w:val="00496209"/>
    <w:rsid w:val="00497295"/>
    <w:rsid w:val="004A0121"/>
    <w:rsid w:val="004A0510"/>
    <w:rsid w:val="004A13EE"/>
    <w:rsid w:val="004A1A9F"/>
    <w:rsid w:val="004A1C82"/>
    <w:rsid w:val="004A21B4"/>
    <w:rsid w:val="004A25F8"/>
    <w:rsid w:val="004A28DC"/>
    <w:rsid w:val="004A4BF5"/>
    <w:rsid w:val="004A7039"/>
    <w:rsid w:val="004A7523"/>
    <w:rsid w:val="004A7CA0"/>
    <w:rsid w:val="004B0027"/>
    <w:rsid w:val="004B050C"/>
    <w:rsid w:val="004B1FF8"/>
    <w:rsid w:val="004B24E1"/>
    <w:rsid w:val="004B2673"/>
    <w:rsid w:val="004B30DE"/>
    <w:rsid w:val="004B3585"/>
    <w:rsid w:val="004B35A3"/>
    <w:rsid w:val="004B4338"/>
    <w:rsid w:val="004B4D92"/>
    <w:rsid w:val="004B604B"/>
    <w:rsid w:val="004B639C"/>
    <w:rsid w:val="004B7A5E"/>
    <w:rsid w:val="004B7BF4"/>
    <w:rsid w:val="004C0304"/>
    <w:rsid w:val="004C04F5"/>
    <w:rsid w:val="004C06DA"/>
    <w:rsid w:val="004C14A0"/>
    <w:rsid w:val="004C3601"/>
    <w:rsid w:val="004C3E65"/>
    <w:rsid w:val="004C3EA8"/>
    <w:rsid w:val="004C4B8A"/>
    <w:rsid w:val="004D1173"/>
    <w:rsid w:val="004D1B0A"/>
    <w:rsid w:val="004D2E2A"/>
    <w:rsid w:val="004D5634"/>
    <w:rsid w:val="004D6D74"/>
    <w:rsid w:val="004E12F0"/>
    <w:rsid w:val="004E13BC"/>
    <w:rsid w:val="004E1F22"/>
    <w:rsid w:val="004E2569"/>
    <w:rsid w:val="004E25C9"/>
    <w:rsid w:val="004E2715"/>
    <w:rsid w:val="004E4A00"/>
    <w:rsid w:val="004E5E6D"/>
    <w:rsid w:val="004E782A"/>
    <w:rsid w:val="004F0A99"/>
    <w:rsid w:val="004F180A"/>
    <w:rsid w:val="004F292B"/>
    <w:rsid w:val="004F2E72"/>
    <w:rsid w:val="004F5184"/>
    <w:rsid w:val="004F6BD9"/>
    <w:rsid w:val="005020D2"/>
    <w:rsid w:val="00502C8D"/>
    <w:rsid w:val="00503E10"/>
    <w:rsid w:val="00504502"/>
    <w:rsid w:val="005065CC"/>
    <w:rsid w:val="00506730"/>
    <w:rsid w:val="0051037E"/>
    <w:rsid w:val="005116A5"/>
    <w:rsid w:val="00511B4D"/>
    <w:rsid w:val="005128CE"/>
    <w:rsid w:val="0051498F"/>
    <w:rsid w:val="00515A1D"/>
    <w:rsid w:val="005171A0"/>
    <w:rsid w:val="005213EE"/>
    <w:rsid w:val="00521CAC"/>
    <w:rsid w:val="00522526"/>
    <w:rsid w:val="00523690"/>
    <w:rsid w:val="00524063"/>
    <w:rsid w:val="005258C9"/>
    <w:rsid w:val="00525D0C"/>
    <w:rsid w:val="0053103F"/>
    <w:rsid w:val="00531CAB"/>
    <w:rsid w:val="0053223E"/>
    <w:rsid w:val="00532C7E"/>
    <w:rsid w:val="005345FF"/>
    <w:rsid w:val="00535816"/>
    <w:rsid w:val="00535A91"/>
    <w:rsid w:val="00537739"/>
    <w:rsid w:val="00540587"/>
    <w:rsid w:val="00540BD6"/>
    <w:rsid w:val="0054104C"/>
    <w:rsid w:val="0054153B"/>
    <w:rsid w:val="00542C0D"/>
    <w:rsid w:val="00542D6E"/>
    <w:rsid w:val="00542DE7"/>
    <w:rsid w:val="00543688"/>
    <w:rsid w:val="00543780"/>
    <w:rsid w:val="005440FB"/>
    <w:rsid w:val="005446DA"/>
    <w:rsid w:val="005447EA"/>
    <w:rsid w:val="00544B15"/>
    <w:rsid w:val="005450DC"/>
    <w:rsid w:val="00545AFD"/>
    <w:rsid w:val="00551551"/>
    <w:rsid w:val="005521A9"/>
    <w:rsid w:val="00552B75"/>
    <w:rsid w:val="005546D7"/>
    <w:rsid w:val="0055491E"/>
    <w:rsid w:val="0055548B"/>
    <w:rsid w:val="0055549E"/>
    <w:rsid w:val="005566F7"/>
    <w:rsid w:val="005608D7"/>
    <w:rsid w:val="005611B5"/>
    <w:rsid w:val="00561A27"/>
    <w:rsid w:val="00562520"/>
    <w:rsid w:val="00562B42"/>
    <w:rsid w:val="00563DF9"/>
    <w:rsid w:val="005646AB"/>
    <w:rsid w:val="0056511C"/>
    <w:rsid w:val="005655BF"/>
    <w:rsid w:val="00565A73"/>
    <w:rsid w:val="00566547"/>
    <w:rsid w:val="00567965"/>
    <w:rsid w:val="00567A37"/>
    <w:rsid w:val="0057019E"/>
    <w:rsid w:val="00570472"/>
    <w:rsid w:val="005704CC"/>
    <w:rsid w:val="005714A9"/>
    <w:rsid w:val="0057332D"/>
    <w:rsid w:val="0057407E"/>
    <w:rsid w:val="005748AF"/>
    <w:rsid w:val="00575635"/>
    <w:rsid w:val="00576100"/>
    <w:rsid w:val="00577771"/>
    <w:rsid w:val="0057790D"/>
    <w:rsid w:val="00577AD7"/>
    <w:rsid w:val="00577FAD"/>
    <w:rsid w:val="00580293"/>
    <w:rsid w:val="005804F5"/>
    <w:rsid w:val="00580C06"/>
    <w:rsid w:val="005811CC"/>
    <w:rsid w:val="005817DF"/>
    <w:rsid w:val="005820F5"/>
    <w:rsid w:val="0058243C"/>
    <w:rsid w:val="00582886"/>
    <w:rsid w:val="00583BE4"/>
    <w:rsid w:val="005842CF"/>
    <w:rsid w:val="00584CE3"/>
    <w:rsid w:val="005873E2"/>
    <w:rsid w:val="00590E7C"/>
    <w:rsid w:val="0059112F"/>
    <w:rsid w:val="00591208"/>
    <w:rsid w:val="00591C1E"/>
    <w:rsid w:val="00592C20"/>
    <w:rsid w:val="00594BC7"/>
    <w:rsid w:val="005959C2"/>
    <w:rsid w:val="00595E8A"/>
    <w:rsid w:val="0059628A"/>
    <w:rsid w:val="0059694E"/>
    <w:rsid w:val="00596B34"/>
    <w:rsid w:val="005972E5"/>
    <w:rsid w:val="00597A9E"/>
    <w:rsid w:val="005A0BD0"/>
    <w:rsid w:val="005A0C94"/>
    <w:rsid w:val="005A123C"/>
    <w:rsid w:val="005A4FD0"/>
    <w:rsid w:val="005A57A5"/>
    <w:rsid w:val="005A59F6"/>
    <w:rsid w:val="005A5CF8"/>
    <w:rsid w:val="005A6536"/>
    <w:rsid w:val="005A65DB"/>
    <w:rsid w:val="005A6930"/>
    <w:rsid w:val="005A6CB7"/>
    <w:rsid w:val="005A72B9"/>
    <w:rsid w:val="005A7F4E"/>
    <w:rsid w:val="005B0479"/>
    <w:rsid w:val="005B0F68"/>
    <w:rsid w:val="005B184A"/>
    <w:rsid w:val="005B18AF"/>
    <w:rsid w:val="005B3ADC"/>
    <w:rsid w:val="005B4BFE"/>
    <w:rsid w:val="005B5898"/>
    <w:rsid w:val="005B5A20"/>
    <w:rsid w:val="005B7B9C"/>
    <w:rsid w:val="005B7E35"/>
    <w:rsid w:val="005C38B2"/>
    <w:rsid w:val="005C418B"/>
    <w:rsid w:val="005C53D4"/>
    <w:rsid w:val="005C6564"/>
    <w:rsid w:val="005C75C2"/>
    <w:rsid w:val="005D03FD"/>
    <w:rsid w:val="005D0DE3"/>
    <w:rsid w:val="005D1667"/>
    <w:rsid w:val="005D2995"/>
    <w:rsid w:val="005D55E0"/>
    <w:rsid w:val="005D5831"/>
    <w:rsid w:val="005D5B91"/>
    <w:rsid w:val="005D5BCC"/>
    <w:rsid w:val="005D6945"/>
    <w:rsid w:val="005D7A8D"/>
    <w:rsid w:val="005D7B4E"/>
    <w:rsid w:val="005D7BB4"/>
    <w:rsid w:val="005E0F4B"/>
    <w:rsid w:val="005E2C51"/>
    <w:rsid w:val="005E3CA2"/>
    <w:rsid w:val="005E4EFE"/>
    <w:rsid w:val="005E54CB"/>
    <w:rsid w:val="005E60B7"/>
    <w:rsid w:val="005E66EC"/>
    <w:rsid w:val="005E71B6"/>
    <w:rsid w:val="005F1194"/>
    <w:rsid w:val="005F249A"/>
    <w:rsid w:val="005F3521"/>
    <w:rsid w:val="005F3A1A"/>
    <w:rsid w:val="005F3EF5"/>
    <w:rsid w:val="005F4DC3"/>
    <w:rsid w:val="005F52CC"/>
    <w:rsid w:val="005F592D"/>
    <w:rsid w:val="005F59C7"/>
    <w:rsid w:val="005F651A"/>
    <w:rsid w:val="005F6A89"/>
    <w:rsid w:val="005F6ED1"/>
    <w:rsid w:val="005F715E"/>
    <w:rsid w:val="005F75C4"/>
    <w:rsid w:val="00600CF5"/>
    <w:rsid w:val="006045F3"/>
    <w:rsid w:val="00605A71"/>
    <w:rsid w:val="00605CAE"/>
    <w:rsid w:val="00605D10"/>
    <w:rsid w:val="006067DF"/>
    <w:rsid w:val="00606897"/>
    <w:rsid w:val="006069EE"/>
    <w:rsid w:val="00610190"/>
    <w:rsid w:val="0061057F"/>
    <w:rsid w:val="00610C4B"/>
    <w:rsid w:val="00610D6C"/>
    <w:rsid w:val="00610D9F"/>
    <w:rsid w:val="00611824"/>
    <w:rsid w:val="00614317"/>
    <w:rsid w:val="00615D53"/>
    <w:rsid w:val="00615FA5"/>
    <w:rsid w:val="006160D2"/>
    <w:rsid w:val="00617A7B"/>
    <w:rsid w:val="00617BA1"/>
    <w:rsid w:val="00617EFD"/>
    <w:rsid w:val="00621246"/>
    <w:rsid w:val="00622177"/>
    <w:rsid w:val="00622A99"/>
    <w:rsid w:val="00622DD1"/>
    <w:rsid w:val="00623007"/>
    <w:rsid w:val="006241D9"/>
    <w:rsid w:val="006247B5"/>
    <w:rsid w:val="00626C55"/>
    <w:rsid w:val="00627215"/>
    <w:rsid w:val="00627288"/>
    <w:rsid w:val="00627928"/>
    <w:rsid w:val="00627FB1"/>
    <w:rsid w:val="00630D1F"/>
    <w:rsid w:val="00631998"/>
    <w:rsid w:val="00632355"/>
    <w:rsid w:val="006336E5"/>
    <w:rsid w:val="006406B1"/>
    <w:rsid w:val="006414AF"/>
    <w:rsid w:val="00641CF9"/>
    <w:rsid w:val="00643265"/>
    <w:rsid w:val="00643C85"/>
    <w:rsid w:val="00643FB6"/>
    <w:rsid w:val="00644A06"/>
    <w:rsid w:val="00645436"/>
    <w:rsid w:val="006455FF"/>
    <w:rsid w:val="0064585E"/>
    <w:rsid w:val="00645AB6"/>
    <w:rsid w:val="006500DD"/>
    <w:rsid w:val="00650665"/>
    <w:rsid w:val="006522BB"/>
    <w:rsid w:val="0065469E"/>
    <w:rsid w:val="00655044"/>
    <w:rsid w:val="00656085"/>
    <w:rsid w:val="006560D9"/>
    <w:rsid w:val="0065707A"/>
    <w:rsid w:val="00660012"/>
    <w:rsid w:val="0066105F"/>
    <w:rsid w:val="00662A49"/>
    <w:rsid w:val="00662E86"/>
    <w:rsid w:val="00666D1C"/>
    <w:rsid w:val="00666E67"/>
    <w:rsid w:val="00667535"/>
    <w:rsid w:val="006679A5"/>
    <w:rsid w:val="00671943"/>
    <w:rsid w:val="0067250F"/>
    <w:rsid w:val="00672B2B"/>
    <w:rsid w:val="006747A1"/>
    <w:rsid w:val="00674F7C"/>
    <w:rsid w:val="00675290"/>
    <w:rsid w:val="00675FE9"/>
    <w:rsid w:val="00676182"/>
    <w:rsid w:val="006765E0"/>
    <w:rsid w:val="00677182"/>
    <w:rsid w:val="006773FA"/>
    <w:rsid w:val="00677E6B"/>
    <w:rsid w:val="006801A5"/>
    <w:rsid w:val="006803F6"/>
    <w:rsid w:val="00681ED6"/>
    <w:rsid w:val="006830BE"/>
    <w:rsid w:val="0068483B"/>
    <w:rsid w:val="00684A91"/>
    <w:rsid w:val="00684D97"/>
    <w:rsid w:val="006853CE"/>
    <w:rsid w:val="006860AF"/>
    <w:rsid w:val="0068623D"/>
    <w:rsid w:val="00687ADA"/>
    <w:rsid w:val="00690345"/>
    <w:rsid w:val="00690363"/>
    <w:rsid w:val="0069088C"/>
    <w:rsid w:val="0069091E"/>
    <w:rsid w:val="0069145D"/>
    <w:rsid w:val="00692D23"/>
    <w:rsid w:val="00697672"/>
    <w:rsid w:val="006A1B47"/>
    <w:rsid w:val="006A43EA"/>
    <w:rsid w:val="006A5DF3"/>
    <w:rsid w:val="006A5EFE"/>
    <w:rsid w:val="006A7601"/>
    <w:rsid w:val="006B024C"/>
    <w:rsid w:val="006B151E"/>
    <w:rsid w:val="006B178F"/>
    <w:rsid w:val="006B2035"/>
    <w:rsid w:val="006B2434"/>
    <w:rsid w:val="006B3ABB"/>
    <w:rsid w:val="006B4EF2"/>
    <w:rsid w:val="006B5BB1"/>
    <w:rsid w:val="006B6CA2"/>
    <w:rsid w:val="006B7586"/>
    <w:rsid w:val="006B7C2E"/>
    <w:rsid w:val="006C1956"/>
    <w:rsid w:val="006C2DAF"/>
    <w:rsid w:val="006C353C"/>
    <w:rsid w:val="006C3954"/>
    <w:rsid w:val="006C4096"/>
    <w:rsid w:val="006C55B7"/>
    <w:rsid w:val="006C5C0C"/>
    <w:rsid w:val="006C6615"/>
    <w:rsid w:val="006C761C"/>
    <w:rsid w:val="006C7ECD"/>
    <w:rsid w:val="006D0346"/>
    <w:rsid w:val="006D1D5F"/>
    <w:rsid w:val="006D2435"/>
    <w:rsid w:val="006D2D70"/>
    <w:rsid w:val="006D2DC0"/>
    <w:rsid w:val="006D311C"/>
    <w:rsid w:val="006D3F80"/>
    <w:rsid w:val="006D428C"/>
    <w:rsid w:val="006D44F5"/>
    <w:rsid w:val="006E05EB"/>
    <w:rsid w:val="006E08E7"/>
    <w:rsid w:val="006E1674"/>
    <w:rsid w:val="006E19DF"/>
    <w:rsid w:val="006E1D74"/>
    <w:rsid w:val="006E29AF"/>
    <w:rsid w:val="006E2D70"/>
    <w:rsid w:val="006E331E"/>
    <w:rsid w:val="006E458C"/>
    <w:rsid w:val="006E57C5"/>
    <w:rsid w:val="006F1D9C"/>
    <w:rsid w:val="006F20AA"/>
    <w:rsid w:val="006F21B5"/>
    <w:rsid w:val="006F34CA"/>
    <w:rsid w:val="006F39F6"/>
    <w:rsid w:val="006F6728"/>
    <w:rsid w:val="006F76DF"/>
    <w:rsid w:val="007000A5"/>
    <w:rsid w:val="007004A5"/>
    <w:rsid w:val="00700687"/>
    <w:rsid w:val="00702BD5"/>
    <w:rsid w:val="00704D02"/>
    <w:rsid w:val="00705545"/>
    <w:rsid w:val="0070668C"/>
    <w:rsid w:val="00706E87"/>
    <w:rsid w:val="00707631"/>
    <w:rsid w:val="00707A8D"/>
    <w:rsid w:val="00710380"/>
    <w:rsid w:val="007115E7"/>
    <w:rsid w:val="00712A82"/>
    <w:rsid w:val="00713882"/>
    <w:rsid w:val="0071403A"/>
    <w:rsid w:val="007142D2"/>
    <w:rsid w:val="00714731"/>
    <w:rsid w:val="007152F6"/>
    <w:rsid w:val="00715D34"/>
    <w:rsid w:val="007168A6"/>
    <w:rsid w:val="0071760A"/>
    <w:rsid w:val="00717AA8"/>
    <w:rsid w:val="00720035"/>
    <w:rsid w:val="007210FA"/>
    <w:rsid w:val="007213D9"/>
    <w:rsid w:val="00722847"/>
    <w:rsid w:val="007233C7"/>
    <w:rsid w:val="00725A6B"/>
    <w:rsid w:val="00726B20"/>
    <w:rsid w:val="00726C65"/>
    <w:rsid w:val="00726D42"/>
    <w:rsid w:val="00727C21"/>
    <w:rsid w:val="00727FFB"/>
    <w:rsid w:val="00730A38"/>
    <w:rsid w:val="00731BA4"/>
    <w:rsid w:val="00731DF7"/>
    <w:rsid w:val="0073366B"/>
    <w:rsid w:val="00734620"/>
    <w:rsid w:val="007348B6"/>
    <w:rsid w:val="00734A2C"/>
    <w:rsid w:val="00735EF4"/>
    <w:rsid w:val="007367E6"/>
    <w:rsid w:val="00736804"/>
    <w:rsid w:val="00736E72"/>
    <w:rsid w:val="00737427"/>
    <w:rsid w:val="007405A9"/>
    <w:rsid w:val="00740E03"/>
    <w:rsid w:val="0074243C"/>
    <w:rsid w:val="00743122"/>
    <w:rsid w:val="00743A1F"/>
    <w:rsid w:val="00744656"/>
    <w:rsid w:val="007459E7"/>
    <w:rsid w:val="0074717E"/>
    <w:rsid w:val="00747F97"/>
    <w:rsid w:val="007503CA"/>
    <w:rsid w:val="007515D3"/>
    <w:rsid w:val="00751C8E"/>
    <w:rsid w:val="00753425"/>
    <w:rsid w:val="00753582"/>
    <w:rsid w:val="00753A87"/>
    <w:rsid w:val="007546CA"/>
    <w:rsid w:val="007554E8"/>
    <w:rsid w:val="00756390"/>
    <w:rsid w:val="00757799"/>
    <w:rsid w:val="00757B0C"/>
    <w:rsid w:val="00763110"/>
    <w:rsid w:val="007639F7"/>
    <w:rsid w:val="00764343"/>
    <w:rsid w:val="00764495"/>
    <w:rsid w:val="00764ADF"/>
    <w:rsid w:val="0076518F"/>
    <w:rsid w:val="007666CF"/>
    <w:rsid w:val="007667A1"/>
    <w:rsid w:val="00770CBE"/>
    <w:rsid w:val="0077188C"/>
    <w:rsid w:val="00771A79"/>
    <w:rsid w:val="0077287A"/>
    <w:rsid w:val="007735A7"/>
    <w:rsid w:val="00774227"/>
    <w:rsid w:val="00774F87"/>
    <w:rsid w:val="007750A5"/>
    <w:rsid w:val="00775E40"/>
    <w:rsid w:val="00776BBE"/>
    <w:rsid w:val="00776D7B"/>
    <w:rsid w:val="00776D97"/>
    <w:rsid w:val="00780228"/>
    <w:rsid w:val="00781CD7"/>
    <w:rsid w:val="0078225C"/>
    <w:rsid w:val="007828AA"/>
    <w:rsid w:val="00783889"/>
    <w:rsid w:val="00784EB1"/>
    <w:rsid w:val="00786C07"/>
    <w:rsid w:val="007873EE"/>
    <w:rsid w:val="00787642"/>
    <w:rsid w:val="00787F5D"/>
    <w:rsid w:val="00790023"/>
    <w:rsid w:val="00790248"/>
    <w:rsid w:val="0079030E"/>
    <w:rsid w:val="0079538A"/>
    <w:rsid w:val="0079569F"/>
    <w:rsid w:val="00795CCE"/>
    <w:rsid w:val="00795F17"/>
    <w:rsid w:val="0079638C"/>
    <w:rsid w:val="00796390"/>
    <w:rsid w:val="00796E38"/>
    <w:rsid w:val="0079705D"/>
    <w:rsid w:val="007A043E"/>
    <w:rsid w:val="007A069D"/>
    <w:rsid w:val="007A0CC0"/>
    <w:rsid w:val="007A0D30"/>
    <w:rsid w:val="007A19CC"/>
    <w:rsid w:val="007A248D"/>
    <w:rsid w:val="007A298F"/>
    <w:rsid w:val="007A316A"/>
    <w:rsid w:val="007A3195"/>
    <w:rsid w:val="007A38C4"/>
    <w:rsid w:val="007A4601"/>
    <w:rsid w:val="007A47D1"/>
    <w:rsid w:val="007A5B65"/>
    <w:rsid w:val="007A65EF"/>
    <w:rsid w:val="007A719F"/>
    <w:rsid w:val="007A7820"/>
    <w:rsid w:val="007B177E"/>
    <w:rsid w:val="007B1D5F"/>
    <w:rsid w:val="007B2F9D"/>
    <w:rsid w:val="007B3073"/>
    <w:rsid w:val="007B3156"/>
    <w:rsid w:val="007B4F1F"/>
    <w:rsid w:val="007B7B6B"/>
    <w:rsid w:val="007B7BDA"/>
    <w:rsid w:val="007B7BF7"/>
    <w:rsid w:val="007C0078"/>
    <w:rsid w:val="007C07C0"/>
    <w:rsid w:val="007C08EF"/>
    <w:rsid w:val="007C11AB"/>
    <w:rsid w:val="007C1750"/>
    <w:rsid w:val="007C2DF9"/>
    <w:rsid w:val="007C3403"/>
    <w:rsid w:val="007C3AFE"/>
    <w:rsid w:val="007C42F9"/>
    <w:rsid w:val="007C4795"/>
    <w:rsid w:val="007C4BC3"/>
    <w:rsid w:val="007C58C7"/>
    <w:rsid w:val="007C5E97"/>
    <w:rsid w:val="007C7950"/>
    <w:rsid w:val="007D0805"/>
    <w:rsid w:val="007D133C"/>
    <w:rsid w:val="007D1765"/>
    <w:rsid w:val="007D1EAB"/>
    <w:rsid w:val="007D29A6"/>
    <w:rsid w:val="007D370E"/>
    <w:rsid w:val="007D6197"/>
    <w:rsid w:val="007D692E"/>
    <w:rsid w:val="007E0AAB"/>
    <w:rsid w:val="007E1320"/>
    <w:rsid w:val="007E15C2"/>
    <w:rsid w:val="007E22E9"/>
    <w:rsid w:val="007E257A"/>
    <w:rsid w:val="007E2ECB"/>
    <w:rsid w:val="007E36DC"/>
    <w:rsid w:val="007E37D8"/>
    <w:rsid w:val="007E3BF8"/>
    <w:rsid w:val="007E52E3"/>
    <w:rsid w:val="007E5C6F"/>
    <w:rsid w:val="007E5F7B"/>
    <w:rsid w:val="007E6374"/>
    <w:rsid w:val="007E6657"/>
    <w:rsid w:val="007E6DE2"/>
    <w:rsid w:val="007E7025"/>
    <w:rsid w:val="007E7636"/>
    <w:rsid w:val="007E7B1A"/>
    <w:rsid w:val="007F04EB"/>
    <w:rsid w:val="007F1AEC"/>
    <w:rsid w:val="007F2586"/>
    <w:rsid w:val="007F2AD9"/>
    <w:rsid w:val="007F4395"/>
    <w:rsid w:val="007F4BA9"/>
    <w:rsid w:val="007F5819"/>
    <w:rsid w:val="007F65AA"/>
    <w:rsid w:val="007F65AD"/>
    <w:rsid w:val="00800EC8"/>
    <w:rsid w:val="0080142D"/>
    <w:rsid w:val="008020DF"/>
    <w:rsid w:val="00802433"/>
    <w:rsid w:val="00802F8B"/>
    <w:rsid w:val="008031AA"/>
    <w:rsid w:val="00804E23"/>
    <w:rsid w:val="00805229"/>
    <w:rsid w:val="008052E2"/>
    <w:rsid w:val="0080693A"/>
    <w:rsid w:val="00812B52"/>
    <w:rsid w:val="00814188"/>
    <w:rsid w:val="00814910"/>
    <w:rsid w:val="00814BC2"/>
    <w:rsid w:val="008151A3"/>
    <w:rsid w:val="0081524D"/>
    <w:rsid w:val="00821016"/>
    <w:rsid w:val="00822AD6"/>
    <w:rsid w:val="00823170"/>
    <w:rsid w:val="0082460B"/>
    <w:rsid w:val="00825473"/>
    <w:rsid w:val="00826225"/>
    <w:rsid w:val="0082642B"/>
    <w:rsid w:val="00827AB2"/>
    <w:rsid w:val="008314A1"/>
    <w:rsid w:val="008319F2"/>
    <w:rsid w:val="00831A8A"/>
    <w:rsid w:val="00831DFA"/>
    <w:rsid w:val="0083221A"/>
    <w:rsid w:val="0083321A"/>
    <w:rsid w:val="008333F5"/>
    <w:rsid w:val="00833404"/>
    <w:rsid w:val="00834BC1"/>
    <w:rsid w:val="008360FB"/>
    <w:rsid w:val="00837325"/>
    <w:rsid w:val="0084044C"/>
    <w:rsid w:val="008408FA"/>
    <w:rsid w:val="00840CE5"/>
    <w:rsid w:val="00840F85"/>
    <w:rsid w:val="00841EC2"/>
    <w:rsid w:val="0084220D"/>
    <w:rsid w:val="00842B19"/>
    <w:rsid w:val="008432D1"/>
    <w:rsid w:val="008435A9"/>
    <w:rsid w:val="00844C79"/>
    <w:rsid w:val="00845018"/>
    <w:rsid w:val="0084576B"/>
    <w:rsid w:val="00845AF0"/>
    <w:rsid w:val="00845ECB"/>
    <w:rsid w:val="0084753F"/>
    <w:rsid w:val="00847A4B"/>
    <w:rsid w:val="00850A4A"/>
    <w:rsid w:val="00851324"/>
    <w:rsid w:val="00851498"/>
    <w:rsid w:val="00851CCB"/>
    <w:rsid w:val="00852151"/>
    <w:rsid w:val="008526E6"/>
    <w:rsid w:val="00852B9A"/>
    <w:rsid w:val="008532ED"/>
    <w:rsid w:val="008536EC"/>
    <w:rsid w:val="0085387E"/>
    <w:rsid w:val="008553CA"/>
    <w:rsid w:val="008556D8"/>
    <w:rsid w:val="0085670A"/>
    <w:rsid w:val="00856A86"/>
    <w:rsid w:val="00856CE3"/>
    <w:rsid w:val="0086027D"/>
    <w:rsid w:val="00860348"/>
    <w:rsid w:val="00860905"/>
    <w:rsid w:val="0086257D"/>
    <w:rsid w:val="00862D7F"/>
    <w:rsid w:val="00862F2E"/>
    <w:rsid w:val="00864DD7"/>
    <w:rsid w:val="00866166"/>
    <w:rsid w:val="00866595"/>
    <w:rsid w:val="00866F3D"/>
    <w:rsid w:val="00867D4A"/>
    <w:rsid w:val="00870C72"/>
    <w:rsid w:val="00870DF0"/>
    <w:rsid w:val="0087157A"/>
    <w:rsid w:val="00871B6A"/>
    <w:rsid w:val="00872ADF"/>
    <w:rsid w:val="008731C1"/>
    <w:rsid w:val="00874C29"/>
    <w:rsid w:val="00874F2B"/>
    <w:rsid w:val="00875F48"/>
    <w:rsid w:val="008801A1"/>
    <w:rsid w:val="00883BF2"/>
    <w:rsid w:val="00883E92"/>
    <w:rsid w:val="00884284"/>
    <w:rsid w:val="00884DE7"/>
    <w:rsid w:val="00886D0D"/>
    <w:rsid w:val="00887E4D"/>
    <w:rsid w:val="00887F9C"/>
    <w:rsid w:val="00890C36"/>
    <w:rsid w:val="00890FE6"/>
    <w:rsid w:val="00892BC6"/>
    <w:rsid w:val="00892D2E"/>
    <w:rsid w:val="00892F23"/>
    <w:rsid w:val="008941A5"/>
    <w:rsid w:val="00894795"/>
    <w:rsid w:val="0089599C"/>
    <w:rsid w:val="0089794C"/>
    <w:rsid w:val="008A030B"/>
    <w:rsid w:val="008A199C"/>
    <w:rsid w:val="008A19E2"/>
    <w:rsid w:val="008A30A9"/>
    <w:rsid w:val="008A36BF"/>
    <w:rsid w:val="008A3CE7"/>
    <w:rsid w:val="008A4123"/>
    <w:rsid w:val="008A4B27"/>
    <w:rsid w:val="008A52EA"/>
    <w:rsid w:val="008A5C43"/>
    <w:rsid w:val="008A6614"/>
    <w:rsid w:val="008A6D99"/>
    <w:rsid w:val="008A756C"/>
    <w:rsid w:val="008A7C15"/>
    <w:rsid w:val="008B2771"/>
    <w:rsid w:val="008B2CCE"/>
    <w:rsid w:val="008B32E0"/>
    <w:rsid w:val="008B45B3"/>
    <w:rsid w:val="008B4650"/>
    <w:rsid w:val="008B4D2C"/>
    <w:rsid w:val="008B5FC8"/>
    <w:rsid w:val="008B620A"/>
    <w:rsid w:val="008B7861"/>
    <w:rsid w:val="008B7891"/>
    <w:rsid w:val="008C0250"/>
    <w:rsid w:val="008C1D2F"/>
    <w:rsid w:val="008C25BC"/>
    <w:rsid w:val="008C3D36"/>
    <w:rsid w:val="008C528D"/>
    <w:rsid w:val="008C58F5"/>
    <w:rsid w:val="008C75A6"/>
    <w:rsid w:val="008D04B8"/>
    <w:rsid w:val="008D0893"/>
    <w:rsid w:val="008D156D"/>
    <w:rsid w:val="008D23CE"/>
    <w:rsid w:val="008D384B"/>
    <w:rsid w:val="008D47A6"/>
    <w:rsid w:val="008D47F2"/>
    <w:rsid w:val="008D4C79"/>
    <w:rsid w:val="008D4E22"/>
    <w:rsid w:val="008D53BA"/>
    <w:rsid w:val="008D7FD6"/>
    <w:rsid w:val="008E2DE9"/>
    <w:rsid w:val="008E3060"/>
    <w:rsid w:val="008E44F1"/>
    <w:rsid w:val="008E5CAA"/>
    <w:rsid w:val="008E6966"/>
    <w:rsid w:val="008E762D"/>
    <w:rsid w:val="008E794E"/>
    <w:rsid w:val="008F13D2"/>
    <w:rsid w:val="008F13E5"/>
    <w:rsid w:val="008F163D"/>
    <w:rsid w:val="008F1F8E"/>
    <w:rsid w:val="008F2167"/>
    <w:rsid w:val="008F2437"/>
    <w:rsid w:val="008F301C"/>
    <w:rsid w:val="008F3518"/>
    <w:rsid w:val="008F5C76"/>
    <w:rsid w:val="008F6D4F"/>
    <w:rsid w:val="008F768D"/>
    <w:rsid w:val="009006E5"/>
    <w:rsid w:val="00901F6A"/>
    <w:rsid w:val="00901FBD"/>
    <w:rsid w:val="00903518"/>
    <w:rsid w:val="00903695"/>
    <w:rsid w:val="0090480D"/>
    <w:rsid w:val="009054C9"/>
    <w:rsid w:val="00905852"/>
    <w:rsid w:val="00906249"/>
    <w:rsid w:val="009075B5"/>
    <w:rsid w:val="00911040"/>
    <w:rsid w:val="0091608C"/>
    <w:rsid w:val="009161C3"/>
    <w:rsid w:val="00916A3F"/>
    <w:rsid w:val="00917132"/>
    <w:rsid w:val="00917247"/>
    <w:rsid w:val="009173EB"/>
    <w:rsid w:val="009208D7"/>
    <w:rsid w:val="009211F1"/>
    <w:rsid w:val="00922AB6"/>
    <w:rsid w:val="00923302"/>
    <w:rsid w:val="0092446E"/>
    <w:rsid w:val="00924524"/>
    <w:rsid w:val="00927DB4"/>
    <w:rsid w:val="0093175A"/>
    <w:rsid w:val="0093421A"/>
    <w:rsid w:val="009343F5"/>
    <w:rsid w:val="009346AD"/>
    <w:rsid w:val="00934E4C"/>
    <w:rsid w:val="0093579C"/>
    <w:rsid w:val="00936549"/>
    <w:rsid w:val="0093690B"/>
    <w:rsid w:val="00936EE8"/>
    <w:rsid w:val="0093740C"/>
    <w:rsid w:val="00937A5E"/>
    <w:rsid w:val="00937E1E"/>
    <w:rsid w:val="00940C92"/>
    <w:rsid w:val="009410E3"/>
    <w:rsid w:val="00941275"/>
    <w:rsid w:val="00941EAD"/>
    <w:rsid w:val="0094274A"/>
    <w:rsid w:val="00942A6F"/>
    <w:rsid w:val="00944B0B"/>
    <w:rsid w:val="00945A08"/>
    <w:rsid w:val="00945CC0"/>
    <w:rsid w:val="00947612"/>
    <w:rsid w:val="009502B2"/>
    <w:rsid w:val="0095065B"/>
    <w:rsid w:val="00950CDF"/>
    <w:rsid w:val="00951262"/>
    <w:rsid w:val="00951570"/>
    <w:rsid w:val="00954251"/>
    <w:rsid w:val="009548C5"/>
    <w:rsid w:val="00955F6E"/>
    <w:rsid w:val="00956B19"/>
    <w:rsid w:val="00957540"/>
    <w:rsid w:val="00957BBE"/>
    <w:rsid w:val="009600B9"/>
    <w:rsid w:val="00960101"/>
    <w:rsid w:val="00961780"/>
    <w:rsid w:val="009627F6"/>
    <w:rsid w:val="00962B22"/>
    <w:rsid w:val="009638CC"/>
    <w:rsid w:val="00963EEB"/>
    <w:rsid w:val="009644AB"/>
    <w:rsid w:val="00965948"/>
    <w:rsid w:val="009664B4"/>
    <w:rsid w:val="0097041C"/>
    <w:rsid w:val="00970BFD"/>
    <w:rsid w:val="009719C9"/>
    <w:rsid w:val="009719DD"/>
    <w:rsid w:val="00973A4C"/>
    <w:rsid w:val="00975C3D"/>
    <w:rsid w:val="00975EC4"/>
    <w:rsid w:val="0098190F"/>
    <w:rsid w:val="009829E0"/>
    <w:rsid w:val="00982B2D"/>
    <w:rsid w:val="00983B17"/>
    <w:rsid w:val="00984293"/>
    <w:rsid w:val="00985408"/>
    <w:rsid w:val="00985C8E"/>
    <w:rsid w:val="00986138"/>
    <w:rsid w:val="00986C1E"/>
    <w:rsid w:val="00987FB9"/>
    <w:rsid w:val="00992187"/>
    <w:rsid w:val="0099279C"/>
    <w:rsid w:val="009929FE"/>
    <w:rsid w:val="00992DB2"/>
    <w:rsid w:val="00992DD4"/>
    <w:rsid w:val="00992DE1"/>
    <w:rsid w:val="009930D6"/>
    <w:rsid w:val="00993E24"/>
    <w:rsid w:val="00993F35"/>
    <w:rsid w:val="00996694"/>
    <w:rsid w:val="009A00AF"/>
    <w:rsid w:val="009A08FF"/>
    <w:rsid w:val="009A0D4D"/>
    <w:rsid w:val="009A1B36"/>
    <w:rsid w:val="009A2BED"/>
    <w:rsid w:val="009A3168"/>
    <w:rsid w:val="009A371F"/>
    <w:rsid w:val="009A3879"/>
    <w:rsid w:val="009A4367"/>
    <w:rsid w:val="009A4880"/>
    <w:rsid w:val="009A51ED"/>
    <w:rsid w:val="009A5221"/>
    <w:rsid w:val="009A791B"/>
    <w:rsid w:val="009A7BD9"/>
    <w:rsid w:val="009A7EF5"/>
    <w:rsid w:val="009A7FA7"/>
    <w:rsid w:val="009B07C9"/>
    <w:rsid w:val="009B07EA"/>
    <w:rsid w:val="009B1E1D"/>
    <w:rsid w:val="009B1ED7"/>
    <w:rsid w:val="009B2710"/>
    <w:rsid w:val="009B32C5"/>
    <w:rsid w:val="009B3791"/>
    <w:rsid w:val="009B3B51"/>
    <w:rsid w:val="009B509D"/>
    <w:rsid w:val="009B56D2"/>
    <w:rsid w:val="009B68E3"/>
    <w:rsid w:val="009B6B5E"/>
    <w:rsid w:val="009C03E3"/>
    <w:rsid w:val="009C0FE0"/>
    <w:rsid w:val="009C1911"/>
    <w:rsid w:val="009C5176"/>
    <w:rsid w:val="009C6ADA"/>
    <w:rsid w:val="009D0300"/>
    <w:rsid w:val="009D1976"/>
    <w:rsid w:val="009D199C"/>
    <w:rsid w:val="009D1E0C"/>
    <w:rsid w:val="009D1ECD"/>
    <w:rsid w:val="009D3436"/>
    <w:rsid w:val="009D42FB"/>
    <w:rsid w:val="009D49D4"/>
    <w:rsid w:val="009E1097"/>
    <w:rsid w:val="009E1130"/>
    <w:rsid w:val="009E2714"/>
    <w:rsid w:val="009E310C"/>
    <w:rsid w:val="009E47CB"/>
    <w:rsid w:val="009E4905"/>
    <w:rsid w:val="009E4BE1"/>
    <w:rsid w:val="009E531B"/>
    <w:rsid w:val="009E6E58"/>
    <w:rsid w:val="009F0561"/>
    <w:rsid w:val="009F1E41"/>
    <w:rsid w:val="009F3EA6"/>
    <w:rsid w:val="009F4759"/>
    <w:rsid w:val="009F4F7C"/>
    <w:rsid w:val="009F7D84"/>
    <w:rsid w:val="00A0306A"/>
    <w:rsid w:val="00A03ED8"/>
    <w:rsid w:val="00A049C2"/>
    <w:rsid w:val="00A04BDF"/>
    <w:rsid w:val="00A04C8D"/>
    <w:rsid w:val="00A04F3E"/>
    <w:rsid w:val="00A053C3"/>
    <w:rsid w:val="00A053D9"/>
    <w:rsid w:val="00A05716"/>
    <w:rsid w:val="00A07689"/>
    <w:rsid w:val="00A07814"/>
    <w:rsid w:val="00A07953"/>
    <w:rsid w:val="00A07AFA"/>
    <w:rsid w:val="00A10456"/>
    <w:rsid w:val="00A11A51"/>
    <w:rsid w:val="00A11AE9"/>
    <w:rsid w:val="00A125C6"/>
    <w:rsid w:val="00A1266C"/>
    <w:rsid w:val="00A13EAF"/>
    <w:rsid w:val="00A14460"/>
    <w:rsid w:val="00A14966"/>
    <w:rsid w:val="00A15FBA"/>
    <w:rsid w:val="00A16745"/>
    <w:rsid w:val="00A16C25"/>
    <w:rsid w:val="00A17429"/>
    <w:rsid w:val="00A20144"/>
    <w:rsid w:val="00A20368"/>
    <w:rsid w:val="00A2038F"/>
    <w:rsid w:val="00A227EB"/>
    <w:rsid w:val="00A22FE9"/>
    <w:rsid w:val="00A243B5"/>
    <w:rsid w:val="00A243F2"/>
    <w:rsid w:val="00A246BB"/>
    <w:rsid w:val="00A27FD6"/>
    <w:rsid w:val="00A30B18"/>
    <w:rsid w:val="00A30CFA"/>
    <w:rsid w:val="00A32A3F"/>
    <w:rsid w:val="00A33CBC"/>
    <w:rsid w:val="00A34083"/>
    <w:rsid w:val="00A345F1"/>
    <w:rsid w:val="00A34795"/>
    <w:rsid w:val="00A361BA"/>
    <w:rsid w:val="00A37522"/>
    <w:rsid w:val="00A37D9A"/>
    <w:rsid w:val="00A40DEF"/>
    <w:rsid w:val="00A428E1"/>
    <w:rsid w:val="00A446F8"/>
    <w:rsid w:val="00A45B18"/>
    <w:rsid w:val="00A4617C"/>
    <w:rsid w:val="00A46370"/>
    <w:rsid w:val="00A471F2"/>
    <w:rsid w:val="00A4777E"/>
    <w:rsid w:val="00A50334"/>
    <w:rsid w:val="00A503E7"/>
    <w:rsid w:val="00A504F4"/>
    <w:rsid w:val="00A508C6"/>
    <w:rsid w:val="00A51475"/>
    <w:rsid w:val="00A51551"/>
    <w:rsid w:val="00A529B1"/>
    <w:rsid w:val="00A53C78"/>
    <w:rsid w:val="00A546EE"/>
    <w:rsid w:val="00A54B7C"/>
    <w:rsid w:val="00A55602"/>
    <w:rsid w:val="00A56BA9"/>
    <w:rsid w:val="00A57B3D"/>
    <w:rsid w:val="00A604D6"/>
    <w:rsid w:val="00A614D5"/>
    <w:rsid w:val="00A62969"/>
    <w:rsid w:val="00A63866"/>
    <w:rsid w:val="00A638AB"/>
    <w:rsid w:val="00A63D3E"/>
    <w:rsid w:val="00A63F22"/>
    <w:rsid w:val="00A64A34"/>
    <w:rsid w:val="00A653A2"/>
    <w:rsid w:val="00A65B56"/>
    <w:rsid w:val="00A664D5"/>
    <w:rsid w:val="00A66B5B"/>
    <w:rsid w:val="00A67169"/>
    <w:rsid w:val="00A67B29"/>
    <w:rsid w:val="00A7166A"/>
    <w:rsid w:val="00A73B6C"/>
    <w:rsid w:val="00A744D7"/>
    <w:rsid w:val="00A76299"/>
    <w:rsid w:val="00A76CD4"/>
    <w:rsid w:val="00A77D70"/>
    <w:rsid w:val="00A81B02"/>
    <w:rsid w:val="00A829CC"/>
    <w:rsid w:val="00A82A92"/>
    <w:rsid w:val="00A84E1D"/>
    <w:rsid w:val="00A8649C"/>
    <w:rsid w:val="00A911C9"/>
    <w:rsid w:val="00A912E7"/>
    <w:rsid w:val="00A918D5"/>
    <w:rsid w:val="00A93941"/>
    <w:rsid w:val="00A946A2"/>
    <w:rsid w:val="00A95A11"/>
    <w:rsid w:val="00A972E2"/>
    <w:rsid w:val="00A97F99"/>
    <w:rsid w:val="00AA010C"/>
    <w:rsid w:val="00AA139E"/>
    <w:rsid w:val="00AA177D"/>
    <w:rsid w:val="00AA2850"/>
    <w:rsid w:val="00AA2A95"/>
    <w:rsid w:val="00AA369A"/>
    <w:rsid w:val="00AA396B"/>
    <w:rsid w:val="00AA4108"/>
    <w:rsid w:val="00AA62FC"/>
    <w:rsid w:val="00AA65BB"/>
    <w:rsid w:val="00AA66C6"/>
    <w:rsid w:val="00AB08A9"/>
    <w:rsid w:val="00AB0B52"/>
    <w:rsid w:val="00AB1295"/>
    <w:rsid w:val="00AB19C4"/>
    <w:rsid w:val="00AB24FD"/>
    <w:rsid w:val="00AB282D"/>
    <w:rsid w:val="00AB321A"/>
    <w:rsid w:val="00AB5357"/>
    <w:rsid w:val="00AB5581"/>
    <w:rsid w:val="00AB57E3"/>
    <w:rsid w:val="00AB57E5"/>
    <w:rsid w:val="00AB685D"/>
    <w:rsid w:val="00AB7AFD"/>
    <w:rsid w:val="00AB7BB2"/>
    <w:rsid w:val="00AC0AA9"/>
    <w:rsid w:val="00AC1810"/>
    <w:rsid w:val="00AC1A4A"/>
    <w:rsid w:val="00AC1EBA"/>
    <w:rsid w:val="00AC2910"/>
    <w:rsid w:val="00AC5877"/>
    <w:rsid w:val="00AC65DB"/>
    <w:rsid w:val="00AC66D5"/>
    <w:rsid w:val="00AC6B2D"/>
    <w:rsid w:val="00AC6D77"/>
    <w:rsid w:val="00AD06A2"/>
    <w:rsid w:val="00AD1331"/>
    <w:rsid w:val="00AD1EEA"/>
    <w:rsid w:val="00AD5AB9"/>
    <w:rsid w:val="00AD5EC9"/>
    <w:rsid w:val="00AD64ED"/>
    <w:rsid w:val="00AD6C03"/>
    <w:rsid w:val="00AE10A9"/>
    <w:rsid w:val="00AE246C"/>
    <w:rsid w:val="00AE2D43"/>
    <w:rsid w:val="00AF03A9"/>
    <w:rsid w:val="00AF0946"/>
    <w:rsid w:val="00AF0C3D"/>
    <w:rsid w:val="00AF14AC"/>
    <w:rsid w:val="00AF274F"/>
    <w:rsid w:val="00AF3982"/>
    <w:rsid w:val="00AF61EA"/>
    <w:rsid w:val="00AF6D24"/>
    <w:rsid w:val="00AF6DFD"/>
    <w:rsid w:val="00AF7AB8"/>
    <w:rsid w:val="00B00508"/>
    <w:rsid w:val="00B00624"/>
    <w:rsid w:val="00B008A7"/>
    <w:rsid w:val="00B0155A"/>
    <w:rsid w:val="00B02945"/>
    <w:rsid w:val="00B0395F"/>
    <w:rsid w:val="00B04952"/>
    <w:rsid w:val="00B050DD"/>
    <w:rsid w:val="00B05D5B"/>
    <w:rsid w:val="00B06DA6"/>
    <w:rsid w:val="00B0722A"/>
    <w:rsid w:val="00B07408"/>
    <w:rsid w:val="00B10490"/>
    <w:rsid w:val="00B11899"/>
    <w:rsid w:val="00B1199F"/>
    <w:rsid w:val="00B1200B"/>
    <w:rsid w:val="00B1225A"/>
    <w:rsid w:val="00B12552"/>
    <w:rsid w:val="00B13F00"/>
    <w:rsid w:val="00B145AA"/>
    <w:rsid w:val="00B14A2B"/>
    <w:rsid w:val="00B14A9D"/>
    <w:rsid w:val="00B16F08"/>
    <w:rsid w:val="00B1723F"/>
    <w:rsid w:val="00B207FF"/>
    <w:rsid w:val="00B20F89"/>
    <w:rsid w:val="00B210F5"/>
    <w:rsid w:val="00B22147"/>
    <w:rsid w:val="00B236CF"/>
    <w:rsid w:val="00B23766"/>
    <w:rsid w:val="00B23797"/>
    <w:rsid w:val="00B25959"/>
    <w:rsid w:val="00B267BF"/>
    <w:rsid w:val="00B26E91"/>
    <w:rsid w:val="00B31481"/>
    <w:rsid w:val="00B318AD"/>
    <w:rsid w:val="00B33B6D"/>
    <w:rsid w:val="00B342A0"/>
    <w:rsid w:val="00B41503"/>
    <w:rsid w:val="00B41A3B"/>
    <w:rsid w:val="00B41CAA"/>
    <w:rsid w:val="00B433AA"/>
    <w:rsid w:val="00B43479"/>
    <w:rsid w:val="00B43481"/>
    <w:rsid w:val="00B43ADA"/>
    <w:rsid w:val="00B44620"/>
    <w:rsid w:val="00B45929"/>
    <w:rsid w:val="00B474A4"/>
    <w:rsid w:val="00B47821"/>
    <w:rsid w:val="00B479B9"/>
    <w:rsid w:val="00B5081A"/>
    <w:rsid w:val="00B5105C"/>
    <w:rsid w:val="00B5106E"/>
    <w:rsid w:val="00B52D71"/>
    <w:rsid w:val="00B55855"/>
    <w:rsid w:val="00B55B2C"/>
    <w:rsid w:val="00B55D3A"/>
    <w:rsid w:val="00B57247"/>
    <w:rsid w:val="00B57A64"/>
    <w:rsid w:val="00B57C45"/>
    <w:rsid w:val="00B60D8A"/>
    <w:rsid w:val="00B62109"/>
    <w:rsid w:val="00B624AC"/>
    <w:rsid w:val="00B635DD"/>
    <w:rsid w:val="00B6418C"/>
    <w:rsid w:val="00B64B9D"/>
    <w:rsid w:val="00B65964"/>
    <w:rsid w:val="00B6613E"/>
    <w:rsid w:val="00B661B9"/>
    <w:rsid w:val="00B661F6"/>
    <w:rsid w:val="00B6625D"/>
    <w:rsid w:val="00B66BFE"/>
    <w:rsid w:val="00B67C36"/>
    <w:rsid w:val="00B67CA6"/>
    <w:rsid w:val="00B70621"/>
    <w:rsid w:val="00B7068A"/>
    <w:rsid w:val="00B7100A"/>
    <w:rsid w:val="00B71A78"/>
    <w:rsid w:val="00B71AAD"/>
    <w:rsid w:val="00B71B8B"/>
    <w:rsid w:val="00B72C81"/>
    <w:rsid w:val="00B74379"/>
    <w:rsid w:val="00B7516C"/>
    <w:rsid w:val="00B761EC"/>
    <w:rsid w:val="00B774D1"/>
    <w:rsid w:val="00B81A41"/>
    <w:rsid w:val="00B81EC6"/>
    <w:rsid w:val="00B83B33"/>
    <w:rsid w:val="00B8403F"/>
    <w:rsid w:val="00B84B87"/>
    <w:rsid w:val="00B85295"/>
    <w:rsid w:val="00B85C03"/>
    <w:rsid w:val="00B8699D"/>
    <w:rsid w:val="00B87CD2"/>
    <w:rsid w:val="00B9099A"/>
    <w:rsid w:val="00B90ADB"/>
    <w:rsid w:val="00B91A0C"/>
    <w:rsid w:val="00B9243A"/>
    <w:rsid w:val="00B9317E"/>
    <w:rsid w:val="00B934B5"/>
    <w:rsid w:val="00B94CED"/>
    <w:rsid w:val="00B95662"/>
    <w:rsid w:val="00B9578B"/>
    <w:rsid w:val="00B95FB0"/>
    <w:rsid w:val="00B9702F"/>
    <w:rsid w:val="00B97629"/>
    <w:rsid w:val="00B97791"/>
    <w:rsid w:val="00B97BD5"/>
    <w:rsid w:val="00BA0788"/>
    <w:rsid w:val="00BA0B87"/>
    <w:rsid w:val="00BA2144"/>
    <w:rsid w:val="00BA3F95"/>
    <w:rsid w:val="00BA4682"/>
    <w:rsid w:val="00BA5AA4"/>
    <w:rsid w:val="00BA6369"/>
    <w:rsid w:val="00BA69A4"/>
    <w:rsid w:val="00BA6DA1"/>
    <w:rsid w:val="00BA6E91"/>
    <w:rsid w:val="00BA7A29"/>
    <w:rsid w:val="00BB1016"/>
    <w:rsid w:val="00BB14D1"/>
    <w:rsid w:val="00BB4246"/>
    <w:rsid w:val="00BB617B"/>
    <w:rsid w:val="00BB76A8"/>
    <w:rsid w:val="00BB7D36"/>
    <w:rsid w:val="00BC0788"/>
    <w:rsid w:val="00BC0AEC"/>
    <w:rsid w:val="00BC2346"/>
    <w:rsid w:val="00BC3D25"/>
    <w:rsid w:val="00BC7AE6"/>
    <w:rsid w:val="00BC7D6B"/>
    <w:rsid w:val="00BD0552"/>
    <w:rsid w:val="00BD152A"/>
    <w:rsid w:val="00BD152E"/>
    <w:rsid w:val="00BD3029"/>
    <w:rsid w:val="00BD38B3"/>
    <w:rsid w:val="00BD38F9"/>
    <w:rsid w:val="00BD5039"/>
    <w:rsid w:val="00BD534A"/>
    <w:rsid w:val="00BD5969"/>
    <w:rsid w:val="00BD6787"/>
    <w:rsid w:val="00BD68FC"/>
    <w:rsid w:val="00BD76EC"/>
    <w:rsid w:val="00BE03E0"/>
    <w:rsid w:val="00BE06F9"/>
    <w:rsid w:val="00BE07B4"/>
    <w:rsid w:val="00BE1B6B"/>
    <w:rsid w:val="00BE1C45"/>
    <w:rsid w:val="00BE3BEF"/>
    <w:rsid w:val="00BE3DCD"/>
    <w:rsid w:val="00BE536A"/>
    <w:rsid w:val="00BE53AB"/>
    <w:rsid w:val="00BE61CF"/>
    <w:rsid w:val="00BE63D6"/>
    <w:rsid w:val="00BE6D9B"/>
    <w:rsid w:val="00BE7060"/>
    <w:rsid w:val="00BE71AE"/>
    <w:rsid w:val="00BF09A5"/>
    <w:rsid w:val="00BF0BA5"/>
    <w:rsid w:val="00BF0F39"/>
    <w:rsid w:val="00BF173A"/>
    <w:rsid w:val="00BF203C"/>
    <w:rsid w:val="00BF3F68"/>
    <w:rsid w:val="00BF5E48"/>
    <w:rsid w:val="00BF5F34"/>
    <w:rsid w:val="00BF66F4"/>
    <w:rsid w:val="00BF6F2A"/>
    <w:rsid w:val="00BF7205"/>
    <w:rsid w:val="00C0031F"/>
    <w:rsid w:val="00C005C7"/>
    <w:rsid w:val="00C00632"/>
    <w:rsid w:val="00C009C8"/>
    <w:rsid w:val="00C01E88"/>
    <w:rsid w:val="00C0261B"/>
    <w:rsid w:val="00C028CF"/>
    <w:rsid w:val="00C03A1D"/>
    <w:rsid w:val="00C051A3"/>
    <w:rsid w:val="00C055F0"/>
    <w:rsid w:val="00C057E8"/>
    <w:rsid w:val="00C05D28"/>
    <w:rsid w:val="00C06B8B"/>
    <w:rsid w:val="00C06E75"/>
    <w:rsid w:val="00C07558"/>
    <w:rsid w:val="00C115E0"/>
    <w:rsid w:val="00C11ABA"/>
    <w:rsid w:val="00C12310"/>
    <w:rsid w:val="00C1369C"/>
    <w:rsid w:val="00C14A7D"/>
    <w:rsid w:val="00C1570D"/>
    <w:rsid w:val="00C15A4C"/>
    <w:rsid w:val="00C15E6E"/>
    <w:rsid w:val="00C1765F"/>
    <w:rsid w:val="00C17EAD"/>
    <w:rsid w:val="00C203B4"/>
    <w:rsid w:val="00C203EC"/>
    <w:rsid w:val="00C22CB0"/>
    <w:rsid w:val="00C22DF5"/>
    <w:rsid w:val="00C23F8A"/>
    <w:rsid w:val="00C24289"/>
    <w:rsid w:val="00C25E62"/>
    <w:rsid w:val="00C269EB"/>
    <w:rsid w:val="00C2706D"/>
    <w:rsid w:val="00C27209"/>
    <w:rsid w:val="00C30CE2"/>
    <w:rsid w:val="00C3136E"/>
    <w:rsid w:val="00C31912"/>
    <w:rsid w:val="00C32362"/>
    <w:rsid w:val="00C33740"/>
    <w:rsid w:val="00C33D8F"/>
    <w:rsid w:val="00C34259"/>
    <w:rsid w:val="00C34C08"/>
    <w:rsid w:val="00C35622"/>
    <w:rsid w:val="00C35EBA"/>
    <w:rsid w:val="00C37E61"/>
    <w:rsid w:val="00C40875"/>
    <w:rsid w:val="00C40A84"/>
    <w:rsid w:val="00C4168D"/>
    <w:rsid w:val="00C416FA"/>
    <w:rsid w:val="00C42879"/>
    <w:rsid w:val="00C43A30"/>
    <w:rsid w:val="00C43C27"/>
    <w:rsid w:val="00C45F07"/>
    <w:rsid w:val="00C46DE1"/>
    <w:rsid w:val="00C4753E"/>
    <w:rsid w:val="00C506F4"/>
    <w:rsid w:val="00C50EE3"/>
    <w:rsid w:val="00C516F6"/>
    <w:rsid w:val="00C525F3"/>
    <w:rsid w:val="00C5703E"/>
    <w:rsid w:val="00C609E0"/>
    <w:rsid w:val="00C6304B"/>
    <w:rsid w:val="00C641D1"/>
    <w:rsid w:val="00C66091"/>
    <w:rsid w:val="00C66145"/>
    <w:rsid w:val="00C667BB"/>
    <w:rsid w:val="00C66F3A"/>
    <w:rsid w:val="00C670D2"/>
    <w:rsid w:val="00C673EE"/>
    <w:rsid w:val="00C70B2F"/>
    <w:rsid w:val="00C70C45"/>
    <w:rsid w:val="00C72071"/>
    <w:rsid w:val="00C73073"/>
    <w:rsid w:val="00C74931"/>
    <w:rsid w:val="00C75138"/>
    <w:rsid w:val="00C759BD"/>
    <w:rsid w:val="00C75D36"/>
    <w:rsid w:val="00C761FD"/>
    <w:rsid w:val="00C76A02"/>
    <w:rsid w:val="00C77789"/>
    <w:rsid w:val="00C827EA"/>
    <w:rsid w:val="00C82D87"/>
    <w:rsid w:val="00C82E39"/>
    <w:rsid w:val="00C84008"/>
    <w:rsid w:val="00C85060"/>
    <w:rsid w:val="00C85740"/>
    <w:rsid w:val="00C8655A"/>
    <w:rsid w:val="00C86DDB"/>
    <w:rsid w:val="00C90693"/>
    <w:rsid w:val="00C90B80"/>
    <w:rsid w:val="00C91A09"/>
    <w:rsid w:val="00C91ABE"/>
    <w:rsid w:val="00C91E97"/>
    <w:rsid w:val="00C94E2C"/>
    <w:rsid w:val="00C959F7"/>
    <w:rsid w:val="00C968E0"/>
    <w:rsid w:val="00C96BDF"/>
    <w:rsid w:val="00C9713B"/>
    <w:rsid w:val="00C97C00"/>
    <w:rsid w:val="00CA13A4"/>
    <w:rsid w:val="00CA13F0"/>
    <w:rsid w:val="00CA1F36"/>
    <w:rsid w:val="00CA28DE"/>
    <w:rsid w:val="00CA3404"/>
    <w:rsid w:val="00CA3D5B"/>
    <w:rsid w:val="00CA443D"/>
    <w:rsid w:val="00CA57DD"/>
    <w:rsid w:val="00CA79F0"/>
    <w:rsid w:val="00CA7BFD"/>
    <w:rsid w:val="00CB15E9"/>
    <w:rsid w:val="00CB2317"/>
    <w:rsid w:val="00CB32CE"/>
    <w:rsid w:val="00CB363D"/>
    <w:rsid w:val="00CB4358"/>
    <w:rsid w:val="00CB4EA7"/>
    <w:rsid w:val="00CB5E38"/>
    <w:rsid w:val="00CB66AB"/>
    <w:rsid w:val="00CB744A"/>
    <w:rsid w:val="00CB75D7"/>
    <w:rsid w:val="00CC1122"/>
    <w:rsid w:val="00CC12BF"/>
    <w:rsid w:val="00CC1D71"/>
    <w:rsid w:val="00CC248A"/>
    <w:rsid w:val="00CC2AA0"/>
    <w:rsid w:val="00CC42F6"/>
    <w:rsid w:val="00CC4BD4"/>
    <w:rsid w:val="00CC5139"/>
    <w:rsid w:val="00CD05FE"/>
    <w:rsid w:val="00CD11EC"/>
    <w:rsid w:val="00CD17A2"/>
    <w:rsid w:val="00CD406F"/>
    <w:rsid w:val="00CD42DE"/>
    <w:rsid w:val="00CD4316"/>
    <w:rsid w:val="00CD44BE"/>
    <w:rsid w:val="00CD45A2"/>
    <w:rsid w:val="00CD4C66"/>
    <w:rsid w:val="00CD5337"/>
    <w:rsid w:val="00CD7E69"/>
    <w:rsid w:val="00CD7FA0"/>
    <w:rsid w:val="00CE0A4B"/>
    <w:rsid w:val="00CE0F94"/>
    <w:rsid w:val="00CE2ABB"/>
    <w:rsid w:val="00CE3091"/>
    <w:rsid w:val="00CE31D0"/>
    <w:rsid w:val="00CE3F61"/>
    <w:rsid w:val="00CE69C1"/>
    <w:rsid w:val="00CE6B92"/>
    <w:rsid w:val="00CE77CD"/>
    <w:rsid w:val="00CF4D91"/>
    <w:rsid w:val="00CF4ECE"/>
    <w:rsid w:val="00CF73F1"/>
    <w:rsid w:val="00D01D16"/>
    <w:rsid w:val="00D03264"/>
    <w:rsid w:val="00D03CFD"/>
    <w:rsid w:val="00D042D9"/>
    <w:rsid w:val="00D044BC"/>
    <w:rsid w:val="00D04B4F"/>
    <w:rsid w:val="00D05292"/>
    <w:rsid w:val="00D056EA"/>
    <w:rsid w:val="00D07D48"/>
    <w:rsid w:val="00D1008D"/>
    <w:rsid w:val="00D100E4"/>
    <w:rsid w:val="00D102F1"/>
    <w:rsid w:val="00D10912"/>
    <w:rsid w:val="00D10E30"/>
    <w:rsid w:val="00D12487"/>
    <w:rsid w:val="00D13BE5"/>
    <w:rsid w:val="00D147B8"/>
    <w:rsid w:val="00D152D5"/>
    <w:rsid w:val="00D15957"/>
    <w:rsid w:val="00D17995"/>
    <w:rsid w:val="00D21EE0"/>
    <w:rsid w:val="00D238F7"/>
    <w:rsid w:val="00D24326"/>
    <w:rsid w:val="00D246AD"/>
    <w:rsid w:val="00D255E0"/>
    <w:rsid w:val="00D25719"/>
    <w:rsid w:val="00D25B79"/>
    <w:rsid w:val="00D25DD8"/>
    <w:rsid w:val="00D2669C"/>
    <w:rsid w:val="00D26767"/>
    <w:rsid w:val="00D273D7"/>
    <w:rsid w:val="00D279D5"/>
    <w:rsid w:val="00D27BDB"/>
    <w:rsid w:val="00D27DC6"/>
    <w:rsid w:val="00D312B2"/>
    <w:rsid w:val="00D3164E"/>
    <w:rsid w:val="00D31688"/>
    <w:rsid w:val="00D316C1"/>
    <w:rsid w:val="00D31F9D"/>
    <w:rsid w:val="00D3308C"/>
    <w:rsid w:val="00D33107"/>
    <w:rsid w:val="00D335A9"/>
    <w:rsid w:val="00D335F4"/>
    <w:rsid w:val="00D3492B"/>
    <w:rsid w:val="00D34B83"/>
    <w:rsid w:val="00D36D81"/>
    <w:rsid w:val="00D40EBE"/>
    <w:rsid w:val="00D42BCA"/>
    <w:rsid w:val="00D43F78"/>
    <w:rsid w:val="00D44027"/>
    <w:rsid w:val="00D4430F"/>
    <w:rsid w:val="00D4446B"/>
    <w:rsid w:val="00D45236"/>
    <w:rsid w:val="00D46F4A"/>
    <w:rsid w:val="00D47072"/>
    <w:rsid w:val="00D50558"/>
    <w:rsid w:val="00D50C63"/>
    <w:rsid w:val="00D51F45"/>
    <w:rsid w:val="00D52356"/>
    <w:rsid w:val="00D5279B"/>
    <w:rsid w:val="00D528D2"/>
    <w:rsid w:val="00D52C32"/>
    <w:rsid w:val="00D535DB"/>
    <w:rsid w:val="00D54918"/>
    <w:rsid w:val="00D55060"/>
    <w:rsid w:val="00D55081"/>
    <w:rsid w:val="00D565D9"/>
    <w:rsid w:val="00D610E4"/>
    <w:rsid w:val="00D63DDD"/>
    <w:rsid w:val="00D64B1A"/>
    <w:rsid w:val="00D6532C"/>
    <w:rsid w:val="00D65501"/>
    <w:rsid w:val="00D656BF"/>
    <w:rsid w:val="00D65B93"/>
    <w:rsid w:val="00D66BC5"/>
    <w:rsid w:val="00D67764"/>
    <w:rsid w:val="00D70728"/>
    <w:rsid w:val="00D711EA"/>
    <w:rsid w:val="00D71614"/>
    <w:rsid w:val="00D721FD"/>
    <w:rsid w:val="00D72800"/>
    <w:rsid w:val="00D7287E"/>
    <w:rsid w:val="00D72EC3"/>
    <w:rsid w:val="00D7300A"/>
    <w:rsid w:val="00D73177"/>
    <w:rsid w:val="00D7357A"/>
    <w:rsid w:val="00D73D38"/>
    <w:rsid w:val="00D74A33"/>
    <w:rsid w:val="00D753C4"/>
    <w:rsid w:val="00D75E67"/>
    <w:rsid w:val="00D75FAC"/>
    <w:rsid w:val="00D760D4"/>
    <w:rsid w:val="00D7686A"/>
    <w:rsid w:val="00D7706F"/>
    <w:rsid w:val="00D77AC9"/>
    <w:rsid w:val="00D80440"/>
    <w:rsid w:val="00D81AFB"/>
    <w:rsid w:val="00D81B52"/>
    <w:rsid w:val="00D82261"/>
    <w:rsid w:val="00D82CDE"/>
    <w:rsid w:val="00D83396"/>
    <w:rsid w:val="00D83EB4"/>
    <w:rsid w:val="00D85180"/>
    <w:rsid w:val="00D851A0"/>
    <w:rsid w:val="00D851B1"/>
    <w:rsid w:val="00D852AF"/>
    <w:rsid w:val="00D8612F"/>
    <w:rsid w:val="00D8683A"/>
    <w:rsid w:val="00D87A56"/>
    <w:rsid w:val="00D87A8F"/>
    <w:rsid w:val="00D87AA7"/>
    <w:rsid w:val="00D87EA8"/>
    <w:rsid w:val="00D91331"/>
    <w:rsid w:val="00D91C8E"/>
    <w:rsid w:val="00D921A9"/>
    <w:rsid w:val="00D92480"/>
    <w:rsid w:val="00D9259D"/>
    <w:rsid w:val="00D9410B"/>
    <w:rsid w:val="00D94387"/>
    <w:rsid w:val="00D947D1"/>
    <w:rsid w:val="00D94926"/>
    <w:rsid w:val="00D95E01"/>
    <w:rsid w:val="00D97BBA"/>
    <w:rsid w:val="00DA075D"/>
    <w:rsid w:val="00DA135A"/>
    <w:rsid w:val="00DA1660"/>
    <w:rsid w:val="00DA17D3"/>
    <w:rsid w:val="00DA1ACA"/>
    <w:rsid w:val="00DA1D25"/>
    <w:rsid w:val="00DA2075"/>
    <w:rsid w:val="00DA2D6D"/>
    <w:rsid w:val="00DA43D1"/>
    <w:rsid w:val="00DA52AF"/>
    <w:rsid w:val="00DA6750"/>
    <w:rsid w:val="00DA67E4"/>
    <w:rsid w:val="00DA7095"/>
    <w:rsid w:val="00DB021C"/>
    <w:rsid w:val="00DB0565"/>
    <w:rsid w:val="00DB0B65"/>
    <w:rsid w:val="00DB0BC5"/>
    <w:rsid w:val="00DB1D45"/>
    <w:rsid w:val="00DB31AC"/>
    <w:rsid w:val="00DB3D59"/>
    <w:rsid w:val="00DB43BB"/>
    <w:rsid w:val="00DB49BC"/>
    <w:rsid w:val="00DB6188"/>
    <w:rsid w:val="00DB62CF"/>
    <w:rsid w:val="00DB6662"/>
    <w:rsid w:val="00DB6665"/>
    <w:rsid w:val="00DB67B7"/>
    <w:rsid w:val="00DB6962"/>
    <w:rsid w:val="00DB6BBB"/>
    <w:rsid w:val="00DC06C4"/>
    <w:rsid w:val="00DC1712"/>
    <w:rsid w:val="00DC1C6B"/>
    <w:rsid w:val="00DC1CA1"/>
    <w:rsid w:val="00DC20DE"/>
    <w:rsid w:val="00DC4E9A"/>
    <w:rsid w:val="00DC76A3"/>
    <w:rsid w:val="00DD0939"/>
    <w:rsid w:val="00DD0944"/>
    <w:rsid w:val="00DD1912"/>
    <w:rsid w:val="00DD1F5B"/>
    <w:rsid w:val="00DD2F45"/>
    <w:rsid w:val="00DD2FE6"/>
    <w:rsid w:val="00DD3423"/>
    <w:rsid w:val="00DD373A"/>
    <w:rsid w:val="00DD3FFC"/>
    <w:rsid w:val="00DD401F"/>
    <w:rsid w:val="00DD45FE"/>
    <w:rsid w:val="00DD4C41"/>
    <w:rsid w:val="00DD6696"/>
    <w:rsid w:val="00DD7233"/>
    <w:rsid w:val="00DE019C"/>
    <w:rsid w:val="00DE106E"/>
    <w:rsid w:val="00DE14D1"/>
    <w:rsid w:val="00DE24DD"/>
    <w:rsid w:val="00DE4253"/>
    <w:rsid w:val="00DE4C15"/>
    <w:rsid w:val="00DE5071"/>
    <w:rsid w:val="00DE5C23"/>
    <w:rsid w:val="00DF06F2"/>
    <w:rsid w:val="00DF1AE9"/>
    <w:rsid w:val="00DF1F37"/>
    <w:rsid w:val="00DF2012"/>
    <w:rsid w:val="00DF3BA6"/>
    <w:rsid w:val="00DF4078"/>
    <w:rsid w:val="00DF4FEE"/>
    <w:rsid w:val="00DF63F6"/>
    <w:rsid w:val="00DF686D"/>
    <w:rsid w:val="00DF6E64"/>
    <w:rsid w:val="00DF6F92"/>
    <w:rsid w:val="00DF6FDB"/>
    <w:rsid w:val="00E00954"/>
    <w:rsid w:val="00E00A8D"/>
    <w:rsid w:val="00E017C0"/>
    <w:rsid w:val="00E027C8"/>
    <w:rsid w:val="00E050ED"/>
    <w:rsid w:val="00E07215"/>
    <w:rsid w:val="00E1100F"/>
    <w:rsid w:val="00E13098"/>
    <w:rsid w:val="00E133C5"/>
    <w:rsid w:val="00E14593"/>
    <w:rsid w:val="00E146EE"/>
    <w:rsid w:val="00E15C47"/>
    <w:rsid w:val="00E160D4"/>
    <w:rsid w:val="00E168AF"/>
    <w:rsid w:val="00E1691F"/>
    <w:rsid w:val="00E16D57"/>
    <w:rsid w:val="00E202B4"/>
    <w:rsid w:val="00E203FF"/>
    <w:rsid w:val="00E20973"/>
    <w:rsid w:val="00E20F89"/>
    <w:rsid w:val="00E21C53"/>
    <w:rsid w:val="00E22565"/>
    <w:rsid w:val="00E23AD0"/>
    <w:rsid w:val="00E25E51"/>
    <w:rsid w:val="00E302E8"/>
    <w:rsid w:val="00E3034C"/>
    <w:rsid w:val="00E328CB"/>
    <w:rsid w:val="00E336BE"/>
    <w:rsid w:val="00E33908"/>
    <w:rsid w:val="00E35060"/>
    <w:rsid w:val="00E351CC"/>
    <w:rsid w:val="00E369E7"/>
    <w:rsid w:val="00E36A4D"/>
    <w:rsid w:val="00E41304"/>
    <w:rsid w:val="00E4210E"/>
    <w:rsid w:val="00E42B05"/>
    <w:rsid w:val="00E42B57"/>
    <w:rsid w:val="00E47F19"/>
    <w:rsid w:val="00E507E5"/>
    <w:rsid w:val="00E517D8"/>
    <w:rsid w:val="00E55060"/>
    <w:rsid w:val="00E55A54"/>
    <w:rsid w:val="00E55A5C"/>
    <w:rsid w:val="00E55ADD"/>
    <w:rsid w:val="00E566E8"/>
    <w:rsid w:val="00E571C1"/>
    <w:rsid w:val="00E57F4C"/>
    <w:rsid w:val="00E606F0"/>
    <w:rsid w:val="00E60C35"/>
    <w:rsid w:val="00E61E9A"/>
    <w:rsid w:val="00E6203A"/>
    <w:rsid w:val="00E63D0C"/>
    <w:rsid w:val="00E6442A"/>
    <w:rsid w:val="00E64595"/>
    <w:rsid w:val="00E64787"/>
    <w:rsid w:val="00E6566E"/>
    <w:rsid w:val="00E66189"/>
    <w:rsid w:val="00E66804"/>
    <w:rsid w:val="00E66FDA"/>
    <w:rsid w:val="00E67F22"/>
    <w:rsid w:val="00E701D5"/>
    <w:rsid w:val="00E70A60"/>
    <w:rsid w:val="00E71B04"/>
    <w:rsid w:val="00E71C53"/>
    <w:rsid w:val="00E71E89"/>
    <w:rsid w:val="00E73F2C"/>
    <w:rsid w:val="00E7453F"/>
    <w:rsid w:val="00E75A0A"/>
    <w:rsid w:val="00E75F70"/>
    <w:rsid w:val="00E7793C"/>
    <w:rsid w:val="00E803FB"/>
    <w:rsid w:val="00E810D7"/>
    <w:rsid w:val="00E816FC"/>
    <w:rsid w:val="00E820F4"/>
    <w:rsid w:val="00E83213"/>
    <w:rsid w:val="00E84770"/>
    <w:rsid w:val="00E84E65"/>
    <w:rsid w:val="00E85649"/>
    <w:rsid w:val="00E90E92"/>
    <w:rsid w:val="00E916B7"/>
    <w:rsid w:val="00E91F7E"/>
    <w:rsid w:val="00E92087"/>
    <w:rsid w:val="00E92F08"/>
    <w:rsid w:val="00E932A1"/>
    <w:rsid w:val="00E932F7"/>
    <w:rsid w:val="00E963E4"/>
    <w:rsid w:val="00E96A5B"/>
    <w:rsid w:val="00E96C66"/>
    <w:rsid w:val="00E974C8"/>
    <w:rsid w:val="00E974F2"/>
    <w:rsid w:val="00E9792D"/>
    <w:rsid w:val="00EA1392"/>
    <w:rsid w:val="00EA246D"/>
    <w:rsid w:val="00EA2534"/>
    <w:rsid w:val="00EA275F"/>
    <w:rsid w:val="00EA2AC5"/>
    <w:rsid w:val="00EA3E6A"/>
    <w:rsid w:val="00EA4DED"/>
    <w:rsid w:val="00EA583C"/>
    <w:rsid w:val="00EA79BA"/>
    <w:rsid w:val="00EA7C00"/>
    <w:rsid w:val="00EB12F2"/>
    <w:rsid w:val="00EB17E9"/>
    <w:rsid w:val="00EB1C48"/>
    <w:rsid w:val="00EB2478"/>
    <w:rsid w:val="00EB2C80"/>
    <w:rsid w:val="00EB34AB"/>
    <w:rsid w:val="00EB396F"/>
    <w:rsid w:val="00EB5ED2"/>
    <w:rsid w:val="00EB7DDE"/>
    <w:rsid w:val="00EC0254"/>
    <w:rsid w:val="00EC0AEB"/>
    <w:rsid w:val="00EC393A"/>
    <w:rsid w:val="00EC50FC"/>
    <w:rsid w:val="00EC539E"/>
    <w:rsid w:val="00EC6BE7"/>
    <w:rsid w:val="00EC6CFA"/>
    <w:rsid w:val="00EC7024"/>
    <w:rsid w:val="00EC77E8"/>
    <w:rsid w:val="00ED0501"/>
    <w:rsid w:val="00ED084D"/>
    <w:rsid w:val="00ED0B01"/>
    <w:rsid w:val="00ED175A"/>
    <w:rsid w:val="00ED3A6E"/>
    <w:rsid w:val="00ED3FAD"/>
    <w:rsid w:val="00ED40BC"/>
    <w:rsid w:val="00ED45A0"/>
    <w:rsid w:val="00ED67F1"/>
    <w:rsid w:val="00ED7B9A"/>
    <w:rsid w:val="00ED7D67"/>
    <w:rsid w:val="00EE0859"/>
    <w:rsid w:val="00EE0864"/>
    <w:rsid w:val="00EE0E59"/>
    <w:rsid w:val="00EE1FE6"/>
    <w:rsid w:val="00EE2D4C"/>
    <w:rsid w:val="00EE3CF7"/>
    <w:rsid w:val="00EE480D"/>
    <w:rsid w:val="00EE6BED"/>
    <w:rsid w:val="00EE74BB"/>
    <w:rsid w:val="00EE787C"/>
    <w:rsid w:val="00EE7B66"/>
    <w:rsid w:val="00EE7DF1"/>
    <w:rsid w:val="00EF0917"/>
    <w:rsid w:val="00EF0A81"/>
    <w:rsid w:val="00EF1773"/>
    <w:rsid w:val="00EF1964"/>
    <w:rsid w:val="00EF21D7"/>
    <w:rsid w:val="00EF2B62"/>
    <w:rsid w:val="00EF30C7"/>
    <w:rsid w:val="00EF32B5"/>
    <w:rsid w:val="00EF3A0A"/>
    <w:rsid w:val="00EF4ABD"/>
    <w:rsid w:val="00EF54BF"/>
    <w:rsid w:val="00EF5892"/>
    <w:rsid w:val="00EF5EDF"/>
    <w:rsid w:val="00EF67A3"/>
    <w:rsid w:val="00F00832"/>
    <w:rsid w:val="00F00A25"/>
    <w:rsid w:val="00F00DEE"/>
    <w:rsid w:val="00F01A9A"/>
    <w:rsid w:val="00F02164"/>
    <w:rsid w:val="00F02F6F"/>
    <w:rsid w:val="00F03818"/>
    <w:rsid w:val="00F03E57"/>
    <w:rsid w:val="00F03F44"/>
    <w:rsid w:val="00F042D0"/>
    <w:rsid w:val="00F04531"/>
    <w:rsid w:val="00F0458E"/>
    <w:rsid w:val="00F04F9E"/>
    <w:rsid w:val="00F051C7"/>
    <w:rsid w:val="00F0596B"/>
    <w:rsid w:val="00F06C43"/>
    <w:rsid w:val="00F06E22"/>
    <w:rsid w:val="00F10C87"/>
    <w:rsid w:val="00F11072"/>
    <w:rsid w:val="00F113CC"/>
    <w:rsid w:val="00F127F0"/>
    <w:rsid w:val="00F12FEE"/>
    <w:rsid w:val="00F1397B"/>
    <w:rsid w:val="00F13DC4"/>
    <w:rsid w:val="00F14B63"/>
    <w:rsid w:val="00F16C8C"/>
    <w:rsid w:val="00F16DFF"/>
    <w:rsid w:val="00F17576"/>
    <w:rsid w:val="00F2069F"/>
    <w:rsid w:val="00F21009"/>
    <w:rsid w:val="00F241DB"/>
    <w:rsid w:val="00F24DC3"/>
    <w:rsid w:val="00F25893"/>
    <w:rsid w:val="00F318DC"/>
    <w:rsid w:val="00F31DCD"/>
    <w:rsid w:val="00F328E4"/>
    <w:rsid w:val="00F32DCD"/>
    <w:rsid w:val="00F335B1"/>
    <w:rsid w:val="00F3430D"/>
    <w:rsid w:val="00F36222"/>
    <w:rsid w:val="00F3730B"/>
    <w:rsid w:val="00F37D5F"/>
    <w:rsid w:val="00F4022F"/>
    <w:rsid w:val="00F41FD6"/>
    <w:rsid w:val="00F42170"/>
    <w:rsid w:val="00F44739"/>
    <w:rsid w:val="00F45711"/>
    <w:rsid w:val="00F46EF3"/>
    <w:rsid w:val="00F47847"/>
    <w:rsid w:val="00F47CF0"/>
    <w:rsid w:val="00F504B8"/>
    <w:rsid w:val="00F50F62"/>
    <w:rsid w:val="00F50FA5"/>
    <w:rsid w:val="00F51266"/>
    <w:rsid w:val="00F52914"/>
    <w:rsid w:val="00F54CB6"/>
    <w:rsid w:val="00F5537E"/>
    <w:rsid w:val="00F55A2F"/>
    <w:rsid w:val="00F609F5"/>
    <w:rsid w:val="00F61281"/>
    <w:rsid w:val="00F63231"/>
    <w:rsid w:val="00F633CD"/>
    <w:rsid w:val="00F63A6C"/>
    <w:rsid w:val="00F63FD1"/>
    <w:rsid w:val="00F64411"/>
    <w:rsid w:val="00F653D6"/>
    <w:rsid w:val="00F657A9"/>
    <w:rsid w:val="00F659BC"/>
    <w:rsid w:val="00F65CFF"/>
    <w:rsid w:val="00F70364"/>
    <w:rsid w:val="00F704AD"/>
    <w:rsid w:val="00F705BB"/>
    <w:rsid w:val="00F70AE0"/>
    <w:rsid w:val="00F71861"/>
    <w:rsid w:val="00F732DC"/>
    <w:rsid w:val="00F75837"/>
    <w:rsid w:val="00F75904"/>
    <w:rsid w:val="00F76ABE"/>
    <w:rsid w:val="00F81146"/>
    <w:rsid w:val="00F813AD"/>
    <w:rsid w:val="00F833A8"/>
    <w:rsid w:val="00F83C9B"/>
    <w:rsid w:val="00F83F84"/>
    <w:rsid w:val="00F8492D"/>
    <w:rsid w:val="00F85572"/>
    <w:rsid w:val="00F873C8"/>
    <w:rsid w:val="00F907A2"/>
    <w:rsid w:val="00F90C78"/>
    <w:rsid w:val="00F9144D"/>
    <w:rsid w:val="00F92191"/>
    <w:rsid w:val="00F9273E"/>
    <w:rsid w:val="00F92CA7"/>
    <w:rsid w:val="00F93D25"/>
    <w:rsid w:val="00F95197"/>
    <w:rsid w:val="00F9531D"/>
    <w:rsid w:val="00F95905"/>
    <w:rsid w:val="00F95D5D"/>
    <w:rsid w:val="00F96125"/>
    <w:rsid w:val="00FA034B"/>
    <w:rsid w:val="00FA0DC1"/>
    <w:rsid w:val="00FA1545"/>
    <w:rsid w:val="00FA154F"/>
    <w:rsid w:val="00FA198C"/>
    <w:rsid w:val="00FA2584"/>
    <w:rsid w:val="00FA2F59"/>
    <w:rsid w:val="00FA3BA4"/>
    <w:rsid w:val="00FA3CE2"/>
    <w:rsid w:val="00FA434B"/>
    <w:rsid w:val="00FA4752"/>
    <w:rsid w:val="00FA6A8B"/>
    <w:rsid w:val="00FA7185"/>
    <w:rsid w:val="00FB034E"/>
    <w:rsid w:val="00FB0C9B"/>
    <w:rsid w:val="00FB1DAE"/>
    <w:rsid w:val="00FB1F11"/>
    <w:rsid w:val="00FB24A4"/>
    <w:rsid w:val="00FB386D"/>
    <w:rsid w:val="00FB420E"/>
    <w:rsid w:val="00FB45F3"/>
    <w:rsid w:val="00FB56E7"/>
    <w:rsid w:val="00FB5B53"/>
    <w:rsid w:val="00FB6780"/>
    <w:rsid w:val="00FB6A23"/>
    <w:rsid w:val="00FB6CEF"/>
    <w:rsid w:val="00FB704B"/>
    <w:rsid w:val="00FC1303"/>
    <w:rsid w:val="00FC30E9"/>
    <w:rsid w:val="00FC313D"/>
    <w:rsid w:val="00FC3FFB"/>
    <w:rsid w:val="00FC4C37"/>
    <w:rsid w:val="00FC6FB2"/>
    <w:rsid w:val="00FC7181"/>
    <w:rsid w:val="00FD1E7B"/>
    <w:rsid w:val="00FD2082"/>
    <w:rsid w:val="00FD233F"/>
    <w:rsid w:val="00FD29BD"/>
    <w:rsid w:val="00FD3307"/>
    <w:rsid w:val="00FD33B7"/>
    <w:rsid w:val="00FD3602"/>
    <w:rsid w:val="00FD47FE"/>
    <w:rsid w:val="00FD49B4"/>
    <w:rsid w:val="00FD5296"/>
    <w:rsid w:val="00FD6962"/>
    <w:rsid w:val="00FD7132"/>
    <w:rsid w:val="00FD716D"/>
    <w:rsid w:val="00FD7941"/>
    <w:rsid w:val="00FE09B3"/>
    <w:rsid w:val="00FE1447"/>
    <w:rsid w:val="00FE4AC1"/>
    <w:rsid w:val="00FE4EBD"/>
    <w:rsid w:val="00FE5960"/>
    <w:rsid w:val="00FE5B1F"/>
    <w:rsid w:val="00FF0523"/>
    <w:rsid w:val="00FF1A04"/>
    <w:rsid w:val="00FF3A02"/>
    <w:rsid w:val="00FF3A8A"/>
    <w:rsid w:val="00FF56B1"/>
    <w:rsid w:val="00FF5E76"/>
    <w:rsid w:val="00FF629A"/>
    <w:rsid w:val="00FF7FF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27F6"/>
  <w15:chartTrackingRefBased/>
  <w15:docId w15:val="{A2E73A92-0ADF-40B2-A67B-594DFD18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7D84"/>
    <w:pPr>
      <w:spacing w:before="100" w:beforeAutospacing="1" w:after="100" w:afterAutospacing="1"/>
      <w:outlineLvl w:val="0"/>
    </w:pPr>
    <w:rPr>
      <w:rFonts w:ascii="Times New Roman" w:eastAsia="Times New Roman" w:hAnsi="Times New Roman" w:cs="Times New Roman"/>
      <w:b/>
      <w:kern w:val="36"/>
      <w:sz w:val="48"/>
      <w:szCs w:val="48"/>
      <w:lang w:eastAsia="en-CA"/>
    </w:rPr>
  </w:style>
  <w:style w:type="paragraph" w:styleId="Heading2">
    <w:name w:val="heading 2"/>
    <w:basedOn w:val="Normal"/>
    <w:next w:val="Normal"/>
    <w:link w:val="Heading2Char"/>
    <w:uiPriority w:val="9"/>
    <w:unhideWhenUsed/>
    <w:qFormat/>
    <w:rsid w:val="00D655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501"/>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34B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41D9"/>
    <w:pPr>
      <w:spacing w:after="0"/>
    </w:pPr>
    <w:rPr>
      <w:sz w:val="20"/>
      <w:szCs w:val="20"/>
    </w:rPr>
  </w:style>
  <w:style w:type="character" w:customStyle="1" w:styleId="FootnoteTextChar">
    <w:name w:val="Footnote Text Char"/>
    <w:basedOn w:val="DefaultParagraphFont"/>
    <w:link w:val="FootnoteText"/>
    <w:uiPriority w:val="99"/>
    <w:rsid w:val="006241D9"/>
    <w:rPr>
      <w:sz w:val="20"/>
      <w:szCs w:val="20"/>
    </w:rPr>
  </w:style>
  <w:style w:type="character" w:styleId="FootnoteReference">
    <w:name w:val="footnote reference"/>
    <w:basedOn w:val="DefaultParagraphFont"/>
    <w:uiPriority w:val="99"/>
    <w:semiHidden/>
    <w:unhideWhenUsed/>
    <w:rsid w:val="006241D9"/>
    <w:rPr>
      <w:vertAlign w:val="superscript"/>
    </w:rPr>
  </w:style>
  <w:style w:type="paragraph" w:styleId="Header">
    <w:name w:val="header"/>
    <w:basedOn w:val="Normal"/>
    <w:link w:val="HeaderChar"/>
    <w:uiPriority w:val="99"/>
    <w:unhideWhenUsed/>
    <w:rsid w:val="00316D9B"/>
    <w:pPr>
      <w:tabs>
        <w:tab w:val="center" w:pos="4680"/>
        <w:tab w:val="right" w:pos="9360"/>
      </w:tabs>
      <w:spacing w:after="0"/>
    </w:pPr>
  </w:style>
  <w:style w:type="character" w:customStyle="1" w:styleId="HeaderChar">
    <w:name w:val="Header Char"/>
    <w:basedOn w:val="DefaultParagraphFont"/>
    <w:link w:val="Header"/>
    <w:uiPriority w:val="99"/>
    <w:rsid w:val="00316D9B"/>
  </w:style>
  <w:style w:type="paragraph" w:styleId="Footer">
    <w:name w:val="footer"/>
    <w:basedOn w:val="Normal"/>
    <w:link w:val="FooterChar"/>
    <w:uiPriority w:val="99"/>
    <w:unhideWhenUsed/>
    <w:rsid w:val="00316D9B"/>
    <w:pPr>
      <w:tabs>
        <w:tab w:val="center" w:pos="4680"/>
        <w:tab w:val="right" w:pos="9360"/>
      </w:tabs>
      <w:spacing w:after="0"/>
    </w:pPr>
  </w:style>
  <w:style w:type="character" w:customStyle="1" w:styleId="FooterChar">
    <w:name w:val="Footer Char"/>
    <w:basedOn w:val="DefaultParagraphFont"/>
    <w:link w:val="Footer"/>
    <w:uiPriority w:val="99"/>
    <w:rsid w:val="00316D9B"/>
  </w:style>
  <w:style w:type="character" w:customStyle="1" w:styleId="pdf-viewer-line">
    <w:name w:val="pdf-viewer-line"/>
    <w:basedOn w:val="DefaultParagraphFont"/>
    <w:rsid w:val="004A0121"/>
  </w:style>
  <w:style w:type="character" w:customStyle="1" w:styleId="pdf-viewer-word">
    <w:name w:val="pdf-viewer-word"/>
    <w:basedOn w:val="DefaultParagraphFont"/>
    <w:rsid w:val="004A0121"/>
  </w:style>
  <w:style w:type="character" w:styleId="Hyperlink">
    <w:name w:val="Hyperlink"/>
    <w:basedOn w:val="DefaultParagraphFont"/>
    <w:uiPriority w:val="99"/>
    <w:unhideWhenUsed/>
    <w:rsid w:val="00641CF9"/>
    <w:rPr>
      <w:color w:val="0563C1" w:themeColor="hyperlink"/>
      <w:u w:val="single"/>
    </w:rPr>
  </w:style>
  <w:style w:type="character" w:customStyle="1" w:styleId="UnresolvedMention1">
    <w:name w:val="Unresolved Mention1"/>
    <w:basedOn w:val="DefaultParagraphFont"/>
    <w:uiPriority w:val="99"/>
    <w:semiHidden/>
    <w:unhideWhenUsed/>
    <w:rsid w:val="00641CF9"/>
    <w:rPr>
      <w:color w:val="605E5C"/>
      <w:shd w:val="clear" w:color="auto" w:fill="E1DFDD"/>
    </w:rPr>
  </w:style>
  <w:style w:type="character" w:customStyle="1" w:styleId="reflex2-link">
    <w:name w:val="reflex2-link"/>
    <w:basedOn w:val="DefaultParagraphFont"/>
    <w:rsid w:val="007C0078"/>
  </w:style>
  <w:style w:type="character" w:customStyle="1" w:styleId="name">
    <w:name w:val="name"/>
    <w:basedOn w:val="DefaultParagraphFont"/>
    <w:rsid w:val="00C76A02"/>
  </w:style>
  <w:style w:type="character" w:customStyle="1" w:styleId="reference">
    <w:name w:val="reference"/>
    <w:basedOn w:val="DefaultParagraphFont"/>
    <w:rsid w:val="00C76A02"/>
  </w:style>
  <w:style w:type="paragraph" w:customStyle="1" w:styleId="paragnum">
    <w:name w:val="paragnum"/>
    <w:basedOn w:val="Normal"/>
    <w:rsid w:val="00F83C9B"/>
    <w:pPr>
      <w:spacing w:before="100" w:beforeAutospacing="1" w:after="100" w:afterAutospacing="1"/>
    </w:pPr>
    <w:rPr>
      <w:rFonts w:ascii="Times New Roman" w:eastAsia="Times New Roman" w:hAnsi="Times New Roman" w:cs="Times New Roman"/>
      <w:bCs/>
      <w:lang w:eastAsia="en-CA"/>
    </w:rPr>
  </w:style>
  <w:style w:type="character" w:customStyle="1" w:styleId="reflex">
    <w:name w:val="reflex"/>
    <w:basedOn w:val="DefaultParagraphFont"/>
    <w:rsid w:val="00F83C9B"/>
  </w:style>
  <w:style w:type="character" w:customStyle="1" w:styleId="citationcar">
    <w:name w:val="citationcar"/>
    <w:basedOn w:val="DefaultParagraphFont"/>
    <w:rsid w:val="00F83C9B"/>
  </w:style>
  <w:style w:type="character" w:customStyle="1" w:styleId="reflex3-block">
    <w:name w:val="reflex3-block"/>
    <w:basedOn w:val="DefaultParagraphFont"/>
    <w:rsid w:val="00F83C9B"/>
  </w:style>
  <w:style w:type="character" w:customStyle="1" w:styleId="solexhl">
    <w:name w:val="solexhl"/>
    <w:basedOn w:val="DefaultParagraphFont"/>
    <w:rsid w:val="00F83C9B"/>
  </w:style>
  <w:style w:type="paragraph" w:customStyle="1" w:styleId="sccnormaldoublespacing">
    <w:name w:val="sccnormaldoublespacing"/>
    <w:basedOn w:val="Normal"/>
    <w:rsid w:val="00025EF5"/>
    <w:pPr>
      <w:spacing w:before="100" w:beforeAutospacing="1" w:after="100" w:afterAutospacing="1"/>
    </w:pPr>
    <w:rPr>
      <w:rFonts w:ascii="Times New Roman" w:eastAsia="Times New Roman" w:hAnsi="Times New Roman" w:cs="Times New Roman"/>
      <w:bCs/>
      <w:lang w:eastAsia="en-CA"/>
    </w:rPr>
  </w:style>
  <w:style w:type="paragraph" w:styleId="NormalWeb">
    <w:name w:val="Normal (Web)"/>
    <w:basedOn w:val="Normal"/>
    <w:uiPriority w:val="99"/>
    <w:unhideWhenUsed/>
    <w:rsid w:val="005116A5"/>
    <w:pPr>
      <w:spacing w:before="100" w:beforeAutospacing="1" w:after="100" w:afterAutospacing="1"/>
    </w:pPr>
    <w:rPr>
      <w:rFonts w:ascii="Times New Roman" w:eastAsia="Times New Roman" w:hAnsi="Times New Roman" w:cs="Times New Roman"/>
      <w:bCs/>
      <w:lang w:eastAsia="en-CA"/>
    </w:rPr>
  </w:style>
  <w:style w:type="paragraph" w:styleId="ListParagraph">
    <w:name w:val="List Paragraph"/>
    <w:basedOn w:val="Normal"/>
    <w:uiPriority w:val="34"/>
    <w:qFormat/>
    <w:rsid w:val="005116A5"/>
    <w:pPr>
      <w:ind w:left="720"/>
      <w:contextualSpacing/>
    </w:pPr>
  </w:style>
  <w:style w:type="character" w:styleId="Emphasis">
    <w:name w:val="Emphasis"/>
    <w:basedOn w:val="DefaultParagraphFont"/>
    <w:uiPriority w:val="20"/>
    <w:qFormat/>
    <w:rsid w:val="000507AA"/>
    <w:rPr>
      <w:i/>
      <w:iCs/>
    </w:rPr>
  </w:style>
  <w:style w:type="character" w:customStyle="1" w:styleId="nowrap">
    <w:name w:val="nowrap"/>
    <w:basedOn w:val="DefaultParagraphFont"/>
    <w:rsid w:val="00B81EC6"/>
  </w:style>
  <w:style w:type="paragraph" w:styleId="Quote">
    <w:name w:val="Quote"/>
    <w:basedOn w:val="Normal"/>
    <w:link w:val="QuoteChar"/>
    <w:uiPriority w:val="29"/>
    <w:qFormat/>
    <w:rsid w:val="002476F5"/>
    <w:pPr>
      <w:spacing w:before="100" w:beforeAutospacing="1" w:after="100" w:afterAutospacing="1"/>
    </w:pPr>
    <w:rPr>
      <w:rFonts w:ascii="Times New Roman" w:eastAsia="Times New Roman" w:hAnsi="Times New Roman" w:cs="Times New Roman"/>
      <w:bCs/>
      <w:lang w:eastAsia="en-CA"/>
    </w:rPr>
  </w:style>
  <w:style w:type="character" w:customStyle="1" w:styleId="QuoteChar">
    <w:name w:val="Quote Char"/>
    <w:basedOn w:val="DefaultParagraphFont"/>
    <w:link w:val="Quote"/>
    <w:uiPriority w:val="29"/>
    <w:rsid w:val="002476F5"/>
    <w:rPr>
      <w:rFonts w:ascii="Times New Roman" w:eastAsia="Times New Roman" w:hAnsi="Times New Roman" w:cs="Times New Roman"/>
      <w:bCs/>
      <w:lang w:eastAsia="en-CA"/>
    </w:rPr>
  </w:style>
  <w:style w:type="paragraph" w:styleId="IntenseQuote">
    <w:name w:val="Intense Quote"/>
    <w:basedOn w:val="Normal"/>
    <w:link w:val="IntenseQuoteChar"/>
    <w:uiPriority w:val="30"/>
    <w:qFormat/>
    <w:rsid w:val="002476F5"/>
    <w:pPr>
      <w:spacing w:before="100" w:beforeAutospacing="1" w:after="100" w:afterAutospacing="1"/>
    </w:pPr>
    <w:rPr>
      <w:rFonts w:ascii="Times New Roman" w:eastAsia="Times New Roman" w:hAnsi="Times New Roman" w:cs="Times New Roman"/>
      <w:bCs/>
      <w:lang w:eastAsia="en-CA"/>
    </w:rPr>
  </w:style>
  <w:style w:type="character" w:customStyle="1" w:styleId="IntenseQuoteChar">
    <w:name w:val="Intense Quote Char"/>
    <w:basedOn w:val="DefaultParagraphFont"/>
    <w:link w:val="IntenseQuote"/>
    <w:uiPriority w:val="30"/>
    <w:rsid w:val="002476F5"/>
    <w:rPr>
      <w:rFonts w:ascii="Times New Roman" w:eastAsia="Times New Roman" w:hAnsi="Times New Roman" w:cs="Times New Roman"/>
      <w:bCs/>
      <w:lang w:eastAsia="en-CA"/>
    </w:rPr>
  </w:style>
  <w:style w:type="character" w:customStyle="1" w:styleId="colorfulgrid-accent1char">
    <w:name w:val="colorfulgrid-accent1char"/>
    <w:basedOn w:val="DefaultParagraphFont"/>
    <w:rsid w:val="00327B2D"/>
  </w:style>
  <w:style w:type="paragraph" w:customStyle="1" w:styleId="doubleindent-quote">
    <w:name w:val="doubleindent-quote"/>
    <w:basedOn w:val="Normal"/>
    <w:rsid w:val="002E1AA8"/>
    <w:pPr>
      <w:spacing w:before="100" w:beforeAutospacing="1" w:after="100" w:afterAutospacing="1"/>
    </w:pPr>
    <w:rPr>
      <w:rFonts w:ascii="Times New Roman" w:eastAsia="Times New Roman" w:hAnsi="Times New Roman" w:cs="Times New Roman"/>
      <w:bCs/>
      <w:lang w:eastAsia="en-CA"/>
    </w:rPr>
  </w:style>
  <w:style w:type="paragraph" w:customStyle="1" w:styleId="mainparagraph">
    <w:name w:val="mainparagraph"/>
    <w:basedOn w:val="Normal"/>
    <w:rsid w:val="002E1AA8"/>
    <w:pPr>
      <w:spacing w:before="100" w:beforeAutospacing="1" w:after="100" w:afterAutospacing="1"/>
    </w:pPr>
    <w:rPr>
      <w:rFonts w:ascii="Times New Roman" w:eastAsia="Times New Roman" w:hAnsi="Times New Roman" w:cs="Times New Roman"/>
      <w:bCs/>
      <w:lang w:eastAsia="en-CA"/>
    </w:rPr>
  </w:style>
  <w:style w:type="paragraph" w:customStyle="1" w:styleId="scjnumber">
    <w:name w:val="scjnumber"/>
    <w:basedOn w:val="Normal"/>
    <w:rsid w:val="00736804"/>
    <w:pPr>
      <w:spacing w:before="100" w:beforeAutospacing="1" w:after="100" w:afterAutospacing="1"/>
    </w:pPr>
    <w:rPr>
      <w:rFonts w:ascii="Times New Roman" w:eastAsia="Times New Roman" w:hAnsi="Times New Roman" w:cs="Times New Roman"/>
      <w:bCs/>
      <w:lang w:eastAsia="en-CA"/>
    </w:rPr>
  </w:style>
  <w:style w:type="character" w:customStyle="1" w:styleId="Heading1Char">
    <w:name w:val="Heading 1 Char"/>
    <w:basedOn w:val="DefaultParagraphFont"/>
    <w:link w:val="Heading1"/>
    <w:uiPriority w:val="9"/>
    <w:rsid w:val="009F7D84"/>
    <w:rPr>
      <w:rFonts w:ascii="Times New Roman" w:eastAsia="Times New Roman" w:hAnsi="Times New Roman" w:cs="Times New Roman"/>
      <w:b/>
      <w:kern w:val="36"/>
      <w:sz w:val="48"/>
      <w:szCs w:val="48"/>
      <w:lang w:eastAsia="en-CA"/>
    </w:rPr>
  </w:style>
  <w:style w:type="character" w:customStyle="1" w:styleId="Heading2Char">
    <w:name w:val="Heading 2 Char"/>
    <w:basedOn w:val="DefaultParagraphFont"/>
    <w:link w:val="Heading2"/>
    <w:uiPriority w:val="9"/>
    <w:rsid w:val="00D6550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5501"/>
    <w:rPr>
      <w:rFonts w:asciiTheme="majorHAnsi" w:eastAsiaTheme="majorEastAsia" w:hAnsiTheme="majorHAnsi" w:cstheme="majorBidi"/>
      <w:color w:val="1F3763" w:themeColor="accent1" w:themeShade="7F"/>
    </w:rPr>
  </w:style>
  <w:style w:type="character" w:customStyle="1" w:styleId="italic">
    <w:name w:val="italic"/>
    <w:basedOn w:val="DefaultParagraphFont"/>
    <w:rsid w:val="00D65501"/>
  </w:style>
  <w:style w:type="character" w:customStyle="1" w:styleId="ruler">
    <w:name w:val="ruler"/>
    <w:basedOn w:val="DefaultParagraphFont"/>
    <w:rsid w:val="00D65501"/>
  </w:style>
  <w:style w:type="paragraph" w:customStyle="1" w:styleId="paranondepar-altn">
    <w:name w:val="paranondepar-altn"/>
    <w:basedOn w:val="Normal"/>
    <w:rsid w:val="006A7601"/>
    <w:pPr>
      <w:spacing w:before="100" w:beforeAutospacing="1" w:after="100" w:afterAutospacing="1"/>
    </w:pPr>
    <w:rPr>
      <w:rFonts w:ascii="Times New Roman" w:eastAsia="Times New Roman" w:hAnsi="Times New Roman" w:cs="Times New Roman"/>
      <w:bCs/>
      <w:lang w:eastAsia="en-CA"/>
    </w:rPr>
  </w:style>
  <w:style w:type="paragraph" w:customStyle="1" w:styleId="citation-altc">
    <w:name w:val="citation-altc"/>
    <w:basedOn w:val="Normal"/>
    <w:rsid w:val="006A7601"/>
    <w:pPr>
      <w:spacing w:before="100" w:beforeAutospacing="1" w:after="100" w:afterAutospacing="1"/>
    </w:pPr>
    <w:rPr>
      <w:rFonts w:ascii="Times New Roman" w:eastAsia="Times New Roman" w:hAnsi="Times New Roman" w:cs="Times New Roman"/>
      <w:bCs/>
      <w:lang w:eastAsia="en-CA"/>
    </w:rPr>
  </w:style>
  <w:style w:type="paragraph" w:customStyle="1" w:styleId="book-author">
    <w:name w:val="book-author"/>
    <w:basedOn w:val="Normal"/>
    <w:rsid w:val="00B267BF"/>
    <w:pPr>
      <w:spacing w:before="100" w:beforeAutospacing="1" w:after="100" w:afterAutospacing="1"/>
    </w:pPr>
    <w:rPr>
      <w:rFonts w:ascii="Times New Roman" w:eastAsia="Times New Roman" w:hAnsi="Times New Roman" w:cs="Times New Roman"/>
      <w:bCs/>
      <w:lang w:eastAsia="en-CA"/>
    </w:rPr>
  </w:style>
  <w:style w:type="character" w:customStyle="1" w:styleId="first-last">
    <w:name w:val="first-last"/>
    <w:basedOn w:val="DefaultParagraphFont"/>
    <w:rsid w:val="00B267BF"/>
  </w:style>
  <w:style w:type="character" w:customStyle="1" w:styleId="firstname">
    <w:name w:val="firstname"/>
    <w:basedOn w:val="DefaultParagraphFont"/>
    <w:rsid w:val="00B267BF"/>
  </w:style>
  <w:style w:type="character" w:customStyle="1" w:styleId="othername">
    <w:name w:val="othername"/>
    <w:basedOn w:val="DefaultParagraphFont"/>
    <w:rsid w:val="00B267BF"/>
  </w:style>
  <w:style w:type="character" w:customStyle="1" w:styleId="surname">
    <w:name w:val="surname"/>
    <w:basedOn w:val="DefaultParagraphFont"/>
    <w:rsid w:val="00B267BF"/>
  </w:style>
  <w:style w:type="paragraph" w:customStyle="1" w:styleId="book-published-details">
    <w:name w:val="book-published-details"/>
    <w:basedOn w:val="Normal"/>
    <w:rsid w:val="00B267BF"/>
    <w:pPr>
      <w:spacing w:before="100" w:beforeAutospacing="1" w:after="100" w:afterAutospacing="1"/>
    </w:pPr>
    <w:rPr>
      <w:rFonts w:ascii="Times New Roman" w:eastAsia="Times New Roman" w:hAnsi="Times New Roman" w:cs="Times New Roman"/>
      <w:bCs/>
      <w:lang w:eastAsia="en-CA"/>
    </w:rPr>
  </w:style>
  <w:style w:type="character" w:customStyle="1" w:styleId="published-date">
    <w:name w:val="published-date"/>
    <w:basedOn w:val="DefaultParagraphFont"/>
    <w:rsid w:val="00B267BF"/>
  </w:style>
  <w:style w:type="character" w:customStyle="1" w:styleId="highlight">
    <w:name w:val="highlight"/>
    <w:basedOn w:val="DefaultParagraphFont"/>
    <w:rsid w:val="00041539"/>
  </w:style>
  <w:style w:type="character" w:customStyle="1" w:styleId="il">
    <w:name w:val="il"/>
    <w:basedOn w:val="DefaultParagraphFont"/>
    <w:rsid w:val="000B2193"/>
  </w:style>
  <w:style w:type="character" w:styleId="Strong">
    <w:name w:val="Strong"/>
    <w:basedOn w:val="DefaultParagraphFont"/>
    <w:uiPriority w:val="22"/>
    <w:qFormat/>
    <w:rsid w:val="00F37D5F"/>
    <w:rPr>
      <w:b/>
      <w:bCs/>
    </w:rPr>
  </w:style>
  <w:style w:type="paragraph" w:customStyle="1" w:styleId="scjquote">
    <w:name w:val="scjquote"/>
    <w:basedOn w:val="Normal"/>
    <w:rsid w:val="00070B23"/>
    <w:pPr>
      <w:spacing w:before="100" w:beforeAutospacing="1" w:after="100" w:afterAutospacing="1"/>
    </w:pPr>
    <w:rPr>
      <w:rFonts w:ascii="Times New Roman" w:eastAsia="Times New Roman" w:hAnsi="Times New Roman" w:cs="Times New Roman"/>
      <w:bCs/>
      <w:lang w:eastAsia="en-CA"/>
    </w:rPr>
  </w:style>
  <w:style w:type="character" w:customStyle="1" w:styleId="canliisection">
    <w:name w:val="canliisection"/>
    <w:basedOn w:val="DefaultParagraphFont"/>
    <w:rsid w:val="00295976"/>
  </w:style>
  <w:style w:type="character" w:customStyle="1" w:styleId="label-section">
    <w:name w:val="label-section"/>
    <w:basedOn w:val="DefaultParagraphFont"/>
    <w:rsid w:val="00295976"/>
  </w:style>
  <w:style w:type="character" w:customStyle="1" w:styleId="texte-courant">
    <w:name w:val="texte-courant"/>
    <w:basedOn w:val="DefaultParagraphFont"/>
    <w:rsid w:val="00295976"/>
  </w:style>
  <w:style w:type="paragraph" w:customStyle="1" w:styleId="felskynumbering12">
    <w:name w:val="felskynumbering12"/>
    <w:basedOn w:val="Normal"/>
    <w:rsid w:val="00A30B18"/>
    <w:pPr>
      <w:spacing w:before="100" w:beforeAutospacing="1" w:after="100" w:afterAutospacing="1"/>
    </w:pPr>
    <w:rPr>
      <w:rFonts w:ascii="Times New Roman" w:eastAsia="Times New Roman" w:hAnsi="Times New Roman" w:cs="Times New Roman"/>
      <w:bCs/>
      <w:lang w:eastAsia="en-CA"/>
    </w:rPr>
  </w:style>
  <w:style w:type="paragraph" w:customStyle="1" w:styleId="quote1st">
    <w:name w:val="quote1st"/>
    <w:basedOn w:val="Normal"/>
    <w:rsid w:val="00A30B18"/>
    <w:pPr>
      <w:spacing w:before="100" w:beforeAutospacing="1" w:after="100" w:afterAutospacing="1"/>
    </w:pPr>
    <w:rPr>
      <w:rFonts w:ascii="Times New Roman" w:eastAsia="Times New Roman" w:hAnsi="Times New Roman" w:cs="Times New Roman"/>
      <w:bCs/>
      <w:lang w:eastAsia="en-CA"/>
    </w:rPr>
  </w:style>
  <w:style w:type="character" w:styleId="FollowedHyperlink">
    <w:name w:val="FollowedHyperlink"/>
    <w:basedOn w:val="DefaultParagraphFont"/>
    <w:uiPriority w:val="99"/>
    <w:semiHidden/>
    <w:unhideWhenUsed/>
    <w:rsid w:val="008C528D"/>
    <w:rPr>
      <w:color w:val="954F72" w:themeColor="followedHyperlink"/>
      <w:u w:val="single"/>
    </w:rPr>
  </w:style>
  <w:style w:type="character" w:customStyle="1" w:styleId="Heading4Char">
    <w:name w:val="Heading 4 Char"/>
    <w:basedOn w:val="DefaultParagraphFont"/>
    <w:link w:val="Heading4"/>
    <w:uiPriority w:val="9"/>
    <w:semiHidden/>
    <w:rsid w:val="00D34B83"/>
    <w:rPr>
      <w:rFonts w:asciiTheme="majorHAnsi" w:eastAsiaTheme="majorEastAsia" w:hAnsiTheme="majorHAnsi" w:cstheme="majorBidi"/>
      <w:i/>
      <w:iCs/>
      <w:color w:val="2F5496" w:themeColor="accent1" w:themeShade="BF"/>
    </w:rPr>
  </w:style>
  <w:style w:type="character" w:customStyle="1" w:styleId="canliisection0">
    <w:name w:val="canlii_section"/>
    <w:basedOn w:val="DefaultParagraphFont"/>
    <w:rsid w:val="00F12FEE"/>
  </w:style>
  <w:style w:type="character" w:customStyle="1" w:styleId="std-header">
    <w:name w:val="std-header"/>
    <w:basedOn w:val="DefaultParagraphFont"/>
    <w:rsid w:val="005F52CC"/>
  </w:style>
  <w:style w:type="paragraph" w:customStyle="1" w:styleId="nav-item">
    <w:name w:val="nav-item"/>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01nameofcourt">
    <w:name w:val="dec01nameofcourt"/>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02citation">
    <w:name w:val="dec02citation"/>
    <w:basedOn w:val="Normal"/>
    <w:rsid w:val="00847A4B"/>
    <w:pPr>
      <w:spacing w:before="100" w:beforeAutospacing="1" w:after="100" w:afterAutospacing="1"/>
    </w:pPr>
    <w:rPr>
      <w:rFonts w:ascii="Times New Roman" w:eastAsia="Times New Roman" w:hAnsi="Times New Roman" w:cs="Times New Roman"/>
      <w:bCs/>
      <w:lang w:eastAsia="en-CA"/>
    </w:rPr>
  </w:style>
  <w:style w:type="character" w:customStyle="1" w:styleId="label">
    <w:name w:val="label"/>
    <w:basedOn w:val="DefaultParagraphFont"/>
    <w:rsid w:val="00847A4B"/>
  </w:style>
  <w:style w:type="character" w:customStyle="1" w:styleId="dec02citationcasename">
    <w:name w:val="dec02citationcasename"/>
    <w:basedOn w:val="DefaultParagraphFont"/>
    <w:rsid w:val="00847A4B"/>
  </w:style>
  <w:style w:type="paragraph" w:customStyle="1" w:styleId="dec03dateofjudgment">
    <w:name w:val="dec03dateofjudgment"/>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04docket">
    <w:name w:val="dec04docket"/>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05registry">
    <w:name w:val="dec05registry"/>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06styleofcausestart">
    <w:name w:val="dec06styleofcausestart"/>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07styleofcauseparty">
    <w:name w:val="dec07styleofcauseparty"/>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09styleofcauserole">
    <w:name w:val="dec09styleofcauserole"/>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08styleofcauseseparator">
    <w:name w:val="dec08styleofcauseseparator"/>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publicationbannotice">
    <w:name w:val="decpublicationbannotice"/>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correctionnotice">
    <w:name w:val="deccorrectionnotice"/>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10nameofjudge">
    <w:name w:val="dec10nameofjudge"/>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11heard">
    <w:name w:val="dec11heard"/>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dec14counsel">
    <w:name w:val="dec14counsel"/>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reasonssubtitle">
    <w:name w:val="reasonssubtitle"/>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reasonsnumberedparagraph">
    <w:name w:val="reasonsnumberedparagraph"/>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reasonsquotelevel1">
    <w:name w:val="reasonsquotelevel1"/>
    <w:basedOn w:val="Normal"/>
    <w:rsid w:val="00847A4B"/>
    <w:pPr>
      <w:spacing w:before="100" w:beforeAutospacing="1" w:after="100" w:afterAutospacing="1"/>
    </w:pPr>
    <w:rPr>
      <w:rFonts w:ascii="Times New Roman" w:eastAsia="Times New Roman" w:hAnsi="Times New Roman" w:cs="Times New Roman"/>
      <w:bCs/>
      <w:lang w:eastAsia="en-CA"/>
    </w:rPr>
  </w:style>
  <w:style w:type="paragraph" w:customStyle="1" w:styleId="reasonsquotelevel2">
    <w:name w:val="reasonsquotelevel2"/>
    <w:basedOn w:val="Normal"/>
    <w:rsid w:val="00847A4B"/>
    <w:pPr>
      <w:spacing w:before="100" w:beforeAutospacing="1" w:after="100" w:afterAutospacing="1"/>
    </w:pPr>
    <w:rPr>
      <w:rFonts w:ascii="Times New Roman" w:eastAsia="Times New Roman" w:hAnsi="Times New Roman" w:cs="Times New Roman"/>
      <w:bCs/>
      <w:lang w:eastAsia="en-CA"/>
    </w:rPr>
  </w:style>
  <w:style w:type="character" w:customStyle="1" w:styleId="c20">
    <w:name w:val="c20"/>
    <w:basedOn w:val="DefaultParagraphFont"/>
    <w:rsid w:val="003017DE"/>
  </w:style>
  <w:style w:type="character" w:customStyle="1" w:styleId="c30">
    <w:name w:val="c30"/>
    <w:basedOn w:val="DefaultParagraphFont"/>
    <w:rsid w:val="003017DE"/>
  </w:style>
  <w:style w:type="character" w:customStyle="1" w:styleId="wb-inv">
    <w:name w:val="wb-inv"/>
    <w:basedOn w:val="DefaultParagraphFont"/>
    <w:rsid w:val="00B55B2C"/>
  </w:style>
  <w:style w:type="character" w:styleId="CommentReference">
    <w:name w:val="annotation reference"/>
    <w:basedOn w:val="DefaultParagraphFont"/>
    <w:uiPriority w:val="99"/>
    <w:semiHidden/>
    <w:unhideWhenUsed/>
    <w:rsid w:val="002834F9"/>
    <w:rPr>
      <w:sz w:val="16"/>
      <w:szCs w:val="16"/>
    </w:rPr>
  </w:style>
  <w:style w:type="paragraph" w:styleId="CommentText">
    <w:name w:val="annotation text"/>
    <w:basedOn w:val="Normal"/>
    <w:link w:val="CommentTextChar"/>
    <w:uiPriority w:val="99"/>
    <w:unhideWhenUsed/>
    <w:rsid w:val="002834F9"/>
    <w:rPr>
      <w:rFonts w:asciiTheme="minorHAnsi" w:hAnsiTheme="minorHAnsi" w:cstheme="minorBidi"/>
      <w:bCs/>
      <w:sz w:val="20"/>
      <w:szCs w:val="20"/>
    </w:rPr>
  </w:style>
  <w:style w:type="character" w:customStyle="1" w:styleId="CommentTextChar">
    <w:name w:val="Comment Text Char"/>
    <w:basedOn w:val="DefaultParagraphFont"/>
    <w:link w:val="CommentText"/>
    <w:uiPriority w:val="99"/>
    <w:rsid w:val="002834F9"/>
    <w:rPr>
      <w:rFonts w:asciiTheme="minorHAnsi" w:hAnsiTheme="minorHAnsi" w:cstheme="minorBidi"/>
      <w:bCs/>
      <w:sz w:val="20"/>
      <w:szCs w:val="20"/>
    </w:rPr>
  </w:style>
  <w:style w:type="paragraph" w:styleId="CommentSubject">
    <w:name w:val="annotation subject"/>
    <w:basedOn w:val="CommentText"/>
    <w:next w:val="CommentText"/>
    <w:link w:val="CommentSubjectChar"/>
    <w:uiPriority w:val="99"/>
    <w:semiHidden/>
    <w:unhideWhenUsed/>
    <w:rsid w:val="007B4F1F"/>
    <w:rPr>
      <w:rFonts w:ascii="Arial" w:hAnsi="Arial" w:cs="Arial"/>
      <w:b/>
      <w:bCs w:val="0"/>
    </w:rPr>
  </w:style>
  <w:style w:type="character" w:customStyle="1" w:styleId="CommentSubjectChar">
    <w:name w:val="Comment Subject Char"/>
    <w:basedOn w:val="CommentTextChar"/>
    <w:link w:val="CommentSubject"/>
    <w:uiPriority w:val="99"/>
    <w:semiHidden/>
    <w:rsid w:val="007B4F1F"/>
    <w:rPr>
      <w:rFonts w:asciiTheme="minorHAnsi" w:hAnsiTheme="minorHAnsi" w:cstheme="minorBidi"/>
      <w:b/>
      <w:bCs w:val="0"/>
      <w:sz w:val="20"/>
      <w:szCs w:val="20"/>
    </w:rPr>
  </w:style>
  <w:style w:type="character" w:customStyle="1" w:styleId="italic1">
    <w:name w:val="italic1"/>
    <w:basedOn w:val="DefaultParagraphFont"/>
    <w:rsid w:val="00021953"/>
  </w:style>
  <w:style w:type="character" w:customStyle="1" w:styleId="gmaildefault">
    <w:name w:val="gmail_default"/>
    <w:basedOn w:val="DefaultParagraphFont"/>
    <w:rsid w:val="003A63BC"/>
  </w:style>
  <w:style w:type="character" w:styleId="HTMLCite">
    <w:name w:val="HTML Cite"/>
    <w:basedOn w:val="DefaultParagraphFont"/>
    <w:uiPriority w:val="99"/>
    <w:semiHidden/>
    <w:unhideWhenUsed/>
    <w:rsid w:val="008F301C"/>
    <w:rPr>
      <w:i/>
      <w:iCs/>
    </w:rPr>
  </w:style>
  <w:style w:type="character" w:customStyle="1" w:styleId="canliisubsection">
    <w:name w:val="canlii_subsection"/>
    <w:basedOn w:val="DefaultParagraphFont"/>
    <w:rsid w:val="003863E4"/>
  </w:style>
  <w:style w:type="character" w:customStyle="1" w:styleId="hgkelc">
    <w:name w:val="hgkelc"/>
    <w:basedOn w:val="DefaultParagraphFont"/>
    <w:rsid w:val="00867D4A"/>
  </w:style>
  <w:style w:type="paragraph" w:customStyle="1" w:styleId="cquote">
    <w:name w:val="cquote"/>
    <w:basedOn w:val="Normal"/>
    <w:rsid w:val="00B55855"/>
    <w:pPr>
      <w:spacing w:before="100" w:beforeAutospacing="1" w:after="100" w:afterAutospacing="1"/>
    </w:pPr>
    <w:rPr>
      <w:rFonts w:ascii="Times New Roman" w:eastAsia="Times New Roman" w:hAnsi="Times New Roman" w:cs="Times New Roman"/>
      <w:bCs/>
      <w:lang w:eastAsia="en-CA"/>
    </w:rPr>
  </w:style>
  <w:style w:type="paragraph" w:customStyle="1" w:styleId="aparanumbering">
    <w:name w:val="aparanumbering"/>
    <w:basedOn w:val="Normal"/>
    <w:rsid w:val="00B55855"/>
    <w:pPr>
      <w:spacing w:before="100" w:beforeAutospacing="1" w:after="100" w:afterAutospacing="1"/>
    </w:pPr>
    <w:rPr>
      <w:rFonts w:ascii="Times New Roman" w:eastAsia="Times New Roman" w:hAnsi="Times New Roman" w:cs="Times New Roman"/>
      <w:bCs/>
      <w:lang w:eastAsia="en-CA"/>
    </w:rPr>
  </w:style>
  <w:style w:type="paragraph" w:styleId="Revision">
    <w:name w:val="Revision"/>
    <w:hidden/>
    <w:uiPriority w:val="99"/>
    <w:semiHidden/>
    <w:rsid w:val="00AA139E"/>
    <w:pPr>
      <w:spacing w:after="0"/>
    </w:pPr>
  </w:style>
  <w:style w:type="paragraph" w:customStyle="1" w:styleId="Quote1">
    <w:name w:val="Quote1"/>
    <w:basedOn w:val="Normal"/>
    <w:rsid w:val="00474F8E"/>
    <w:pPr>
      <w:spacing w:before="100" w:beforeAutospacing="1" w:after="100" w:afterAutospacing="1"/>
    </w:pPr>
    <w:rPr>
      <w:rFonts w:ascii="Times New Roman" w:eastAsia="Times New Roman" w:hAnsi="Times New Roman" w:cs="Times New Roman"/>
      <w:bCs/>
      <w:lang w:eastAsia="en-CA"/>
    </w:rPr>
  </w:style>
  <w:style w:type="character" w:customStyle="1" w:styleId="sectionnumber">
    <w:name w:val="sectionnumber"/>
    <w:basedOn w:val="DefaultParagraphFont"/>
    <w:rsid w:val="00B81A41"/>
  </w:style>
  <w:style w:type="character" w:customStyle="1" w:styleId="canliisectionwithsubsection">
    <w:name w:val="canlii_section_with_subsection"/>
    <w:basedOn w:val="DefaultParagraphFont"/>
    <w:rsid w:val="00B81A41"/>
  </w:style>
  <w:style w:type="character" w:customStyle="1" w:styleId="secnumholder">
    <w:name w:val="secnumholder"/>
    <w:basedOn w:val="DefaultParagraphFont"/>
    <w:rsid w:val="00892F23"/>
  </w:style>
  <w:style w:type="paragraph" w:customStyle="1" w:styleId="section">
    <w:name w:val="section"/>
    <w:basedOn w:val="Normal"/>
    <w:rsid w:val="00045085"/>
    <w:pPr>
      <w:spacing w:before="100" w:beforeAutospacing="1" w:after="100" w:afterAutospacing="1"/>
    </w:pPr>
    <w:rPr>
      <w:rFonts w:ascii="Times New Roman" w:eastAsia="Times New Roman" w:hAnsi="Times New Roman" w:cs="Times New Roman"/>
      <w:bCs/>
      <w:lang w:eastAsia="en-CA"/>
    </w:rPr>
  </w:style>
  <w:style w:type="paragraph" w:customStyle="1" w:styleId="paragraph">
    <w:name w:val="paragraph"/>
    <w:basedOn w:val="Normal"/>
    <w:rsid w:val="00045085"/>
    <w:pPr>
      <w:spacing w:before="100" w:beforeAutospacing="1" w:after="100" w:afterAutospacing="1"/>
    </w:pPr>
    <w:rPr>
      <w:rFonts w:ascii="Times New Roman" w:eastAsia="Times New Roman" w:hAnsi="Times New Roman" w:cs="Times New Roman"/>
      <w:bCs/>
      <w:lang w:eastAsia="en-CA"/>
    </w:rPr>
  </w:style>
  <w:style w:type="character" w:customStyle="1" w:styleId="lawlabel">
    <w:name w:val="lawlabel"/>
    <w:basedOn w:val="DefaultParagraphFont"/>
    <w:rsid w:val="00045085"/>
  </w:style>
  <w:style w:type="character" w:customStyle="1" w:styleId="apa">
    <w:name w:val="apa"/>
    <w:basedOn w:val="DefaultParagraphFont"/>
    <w:rsid w:val="00E91F7E"/>
  </w:style>
  <w:style w:type="table" w:styleId="TableGrid">
    <w:name w:val="Table Grid"/>
    <w:basedOn w:val="TableNormal"/>
    <w:uiPriority w:val="39"/>
    <w:rsid w:val="00D921A9"/>
    <w:pPr>
      <w:spacing w:after="0"/>
    </w:pPr>
    <w:rPr>
      <w:rFonts w:ascii="Calibri" w:hAnsi="Calibri" w:cs="Times New Roman (Body CS)"/>
      <w:bCs/>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ltcitationcount">
    <w:name w:val="resultcitationcount"/>
    <w:basedOn w:val="DefaultParagraphFont"/>
    <w:rsid w:val="00655044"/>
  </w:style>
  <w:style w:type="character" w:customStyle="1" w:styleId="markedcontent">
    <w:name w:val="markedcontent"/>
    <w:basedOn w:val="DefaultParagraphFont"/>
    <w:rsid w:val="0055491E"/>
  </w:style>
  <w:style w:type="paragraph" w:customStyle="1" w:styleId="1stquote">
    <w:name w:val="1stquote"/>
    <w:basedOn w:val="Normal"/>
    <w:rsid w:val="00656085"/>
    <w:pPr>
      <w:spacing w:before="100" w:beforeAutospacing="1" w:after="100" w:afterAutospacing="1"/>
    </w:pPr>
    <w:rPr>
      <w:rFonts w:ascii="Times New Roman" w:eastAsia="Times New Roman" w:hAnsi="Times New Roman" w:cs="Times New Roman"/>
      <w:bCs/>
      <w:lang w:eastAsia="en-CA"/>
    </w:rPr>
  </w:style>
  <w:style w:type="paragraph" w:customStyle="1" w:styleId="2ndquote">
    <w:name w:val="2ndquote"/>
    <w:basedOn w:val="Normal"/>
    <w:rsid w:val="00656085"/>
    <w:pPr>
      <w:spacing w:before="100" w:beforeAutospacing="1" w:after="100" w:afterAutospacing="1"/>
    </w:pPr>
    <w:rPr>
      <w:rFonts w:ascii="Times New Roman" w:eastAsia="Times New Roman" w:hAnsi="Times New Roman" w:cs="Times New Roman"/>
      <w:bCs/>
      <w:lang w:eastAsia="en-CA"/>
    </w:rPr>
  </w:style>
  <w:style w:type="paragraph" w:customStyle="1" w:styleId="indentation">
    <w:name w:val="indentation"/>
    <w:basedOn w:val="Normal"/>
    <w:rsid w:val="00F04F9E"/>
    <w:pPr>
      <w:spacing w:before="100" w:beforeAutospacing="1" w:after="100" w:afterAutospacing="1"/>
    </w:pPr>
    <w:rPr>
      <w:rFonts w:ascii="Times New Roman" w:eastAsia="Times New Roman" w:hAnsi="Times New Roman" w:cs="Times New Roman"/>
      <w:bCs/>
      <w:lang w:eastAsia="en-CA"/>
    </w:rPr>
  </w:style>
  <w:style w:type="paragraph" w:customStyle="1" w:styleId="citation1">
    <w:name w:val="citation1"/>
    <w:basedOn w:val="Normal"/>
    <w:rsid w:val="003F490D"/>
    <w:pPr>
      <w:spacing w:before="100" w:beforeAutospacing="1" w:after="100" w:afterAutospacing="1"/>
    </w:pPr>
    <w:rPr>
      <w:rFonts w:ascii="Times New Roman" w:eastAsia="Times New Roman" w:hAnsi="Times New Roman" w:cs="Times New Roman"/>
      <w:bCs/>
      <w:lang w:eastAsia="en-CA"/>
    </w:rPr>
  </w:style>
  <w:style w:type="paragraph" w:styleId="BalloonText">
    <w:name w:val="Balloon Text"/>
    <w:basedOn w:val="Normal"/>
    <w:link w:val="BalloonTextChar"/>
    <w:uiPriority w:val="99"/>
    <w:semiHidden/>
    <w:unhideWhenUsed/>
    <w:rsid w:val="00BB61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7B"/>
    <w:rPr>
      <w:rFonts w:ascii="Segoe UI" w:hAnsi="Segoe UI" w:cs="Segoe UI"/>
      <w:sz w:val="18"/>
      <w:szCs w:val="18"/>
    </w:rPr>
  </w:style>
  <w:style w:type="character" w:customStyle="1" w:styleId="Hyperlink1">
    <w:name w:val="Hyperlink1"/>
    <w:basedOn w:val="DefaultParagraphFont"/>
    <w:uiPriority w:val="99"/>
    <w:unhideWhenUsed/>
    <w:rsid w:val="00C22DF5"/>
    <w:rPr>
      <w:color w:val="0563C1"/>
      <w:u w:val="single"/>
    </w:rPr>
  </w:style>
  <w:style w:type="character" w:customStyle="1" w:styleId="UnresolvedMention2">
    <w:name w:val="Unresolved Mention2"/>
    <w:basedOn w:val="DefaultParagraphFont"/>
    <w:uiPriority w:val="99"/>
    <w:semiHidden/>
    <w:unhideWhenUsed/>
    <w:rsid w:val="00383579"/>
    <w:rPr>
      <w:color w:val="605E5C"/>
      <w:shd w:val="clear" w:color="auto" w:fill="E1DFDD"/>
    </w:rPr>
  </w:style>
  <w:style w:type="character" w:customStyle="1" w:styleId="cosearchterm">
    <w:name w:val="co_searchterm"/>
    <w:basedOn w:val="DefaultParagraphFont"/>
    <w:rsid w:val="00041346"/>
  </w:style>
  <w:style w:type="character" w:customStyle="1" w:styleId="UnresolvedMention3">
    <w:name w:val="Unresolved Mention3"/>
    <w:basedOn w:val="DefaultParagraphFont"/>
    <w:uiPriority w:val="99"/>
    <w:semiHidden/>
    <w:unhideWhenUsed/>
    <w:rsid w:val="00E73F2C"/>
    <w:rPr>
      <w:color w:val="605E5C"/>
      <w:shd w:val="clear" w:color="auto" w:fill="E1DFDD"/>
    </w:rPr>
  </w:style>
  <w:style w:type="paragraph" w:customStyle="1" w:styleId="cjcparagr01">
    <w:name w:val="cjcparagr01"/>
    <w:basedOn w:val="Normal"/>
    <w:rsid w:val="00CA3D5B"/>
    <w:pPr>
      <w:spacing w:before="100" w:beforeAutospacing="1" w:after="100" w:afterAutospacing="1"/>
    </w:pPr>
    <w:rPr>
      <w:rFonts w:ascii="Times New Roman" w:eastAsia="Times New Roman" w:hAnsi="Times New Roman" w:cs="Times New Roman"/>
      <w:lang w:eastAsia="en-CA" w:bidi="he-IL"/>
    </w:rPr>
  </w:style>
  <w:style w:type="character" w:customStyle="1" w:styleId="c3">
    <w:name w:val="c3"/>
    <w:basedOn w:val="DefaultParagraphFont"/>
    <w:rsid w:val="00CA3D5B"/>
  </w:style>
  <w:style w:type="character" w:customStyle="1" w:styleId="UnresolvedMention4">
    <w:name w:val="Unresolved Mention4"/>
    <w:basedOn w:val="DefaultParagraphFont"/>
    <w:uiPriority w:val="99"/>
    <w:semiHidden/>
    <w:unhideWhenUsed/>
    <w:rsid w:val="00E14593"/>
    <w:rPr>
      <w:color w:val="605E5C"/>
      <w:shd w:val="clear" w:color="auto" w:fill="E1DFDD"/>
    </w:rPr>
  </w:style>
  <w:style w:type="table" w:styleId="GridTable1Light">
    <w:name w:val="Grid Table 1 Light"/>
    <w:basedOn w:val="TableNormal"/>
    <w:uiPriority w:val="46"/>
    <w:rsid w:val="0011220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580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526">
      <w:bodyDiv w:val="1"/>
      <w:marLeft w:val="0"/>
      <w:marRight w:val="0"/>
      <w:marTop w:val="0"/>
      <w:marBottom w:val="0"/>
      <w:divBdr>
        <w:top w:val="none" w:sz="0" w:space="0" w:color="auto"/>
        <w:left w:val="none" w:sz="0" w:space="0" w:color="auto"/>
        <w:bottom w:val="none" w:sz="0" w:space="0" w:color="auto"/>
        <w:right w:val="none" w:sz="0" w:space="0" w:color="auto"/>
      </w:divBdr>
    </w:div>
    <w:div w:id="9767804">
      <w:bodyDiv w:val="1"/>
      <w:marLeft w:val="0"/>
      <w:marRight w:val="0"/>
      <w:marTop w:val="0"/>
      <w:marBottom w:val="0"/>
      <w:divBdr>
        <w:top w:val="none" w:sz="0" w:space="0" w:color="auto"/>
        <w:left w:val="none" w:sz="0" w:space="0" w:color="auto"/>
        <w:bottom w:val="none" w:sz="0" w:space="0" w:color="auto"/>
        <w:right w:val="none" w:sz="0" w:space="0" w:color="auto"/>
      </w:divBdr>
    </w:div>
    <w:div w:id="14773827">
      <w:bodyDiv w:val="1"/>
      <w:marLeft w:val="0"/>
      <w:marRight w:val="0"/>
      <w:marTop w:val="0"/>
      <w:marBottom w:val="0"/>
      <w:divBdr>
        <w:top w:val="none" w:sz="0" w:space="0" w:color="auto"/>
        <w:left w:val="none" w:sz="0" w:space="0" w:color="auto"/>
        <w:bottom w:val="none" w:sz="0" w:space="0" w:color="auto"/>
        <w:right w:val="none" w:sz="0" w:space="0" w:color="auto"/>
      </w:divBdr>
      <w:divsChild>
        <w:div w:id="2075541271">
          <w:marLeft w:val="0"/>
          <w:marRight w:val="0"/>
          <w:marTop w:val="0"/>
          <w:marBottom w:val="0"/>
          <w:divBdr>
            <w:top w:val="none" w:sz="0" w:space="0" w:color="auto"/>
            <w:left w:val="none" w:sz="0" w:space="0" w:color="auto"/>
            <w:bottom w:val="none" w:sz="0" w:space="0" w:color="auto"/>
            <w:right w:val="none" w:sz="0" w:space="0" w:color="auto"/>
          </w:divBdr>
        </w:div>
      </w:divsChild>
    </w:div>
    <w:div w:id="40834926">
      <w:bodyDiv w:val="1"/>
      <w:marLeft w:val="0"/>
      <w:marRight w:val="0"/>
      <w:marTop w:val="0"/>
      <w:marBottom w:val="0"/>
      <w:divBdr>
        <w:top w:val="none" w:sz="0" w:space="0" w:color="auto"/>
        <w:left w:val="none" w:sz="0" w:space="0" w:color="auto"/>
        <w:bottom w:val="none" w:sz="0" w:space="0" w:color="auto"/>
        <w:right w:val="none" w:sz="0" w:space="0" w:color="auto"/>
      </w:divBdr>
      <w:divsChild>
        <w:div w:id="1080829091">
          <w:marLeft w:val="0"/>
          <w:marRight w:val="0"/>
          <w:marTop w:val="0"/>
          <w:marBottom w:val="0"/>
          <w:divBdr>
            <w:top w:val="none" w:sz="0" w:space="0" w:color="auto"/>
            <w:left w:val="none" w:sz="0" w:space="0" w:color="auto"/>
            <w:bottom w:val="none" w:sz="0" w:space="0" w:color="auto"/>
            <w:right w:val="none" w:sz="0" w:space="0" w:color="auto"/>
          </w:divBdr>
          <w:divsChild>
            <w:div w:id="378668688">
              <w:marLeft w:val="0"/>
              <w:marRight w:val="0"/>
              <w:marTop w:val="0"/>
              <w:marBottom w:val="0"/>
              <w:divBdr>
                <w:top w:val="none" w:sz="0" w:space="0" w:color="auto"/>
                <w:left w:val="none" w:sz="0" w:space="0" w:color="auto"/>
                <w:bottom w:val="none" w:sz="0" w:space="0" w:color="auto"/>
                <w:right w:val="none" w:sz="0" w:space="0" w:color="auto"/>
              </w:divBdr>
              <w:divsChild>
                <w:div w:id="789207530">
                  <w:marLeft w:val="0"/>
                  <w:marRight w:val="0"/>
                  <w:marTop w:val="0"/>
                  <w:marBottom w:val="0"/>
                  <w:divBdr>
                    <w:top w:val="none" w:sz="0" w:space="0" w:color="auto"/>
                    <w:left w:val="none" w:sz="0" w:space="0" w:color="auto"/>
                    <w:bottom w:val="none" w:sz="0" w:space="0" w:color="auto"/>
                    <w:right w:val="none" w:sz="0" w:space="0" w:color="auto"/>
                  </w:divBdr>
                  <w:divsChild>
                    <w:div w:id="674650803">
                      <w:marLeft w:val="0"/>
                      <w:marRight w:val="0"/>
                      <w:marTop w:val="0"/>
                      <w:marBottom w:val="0"/>
                      <w:divBdr>
                        <w:top w:val="none" w:sz="0" w:space="0" w:color="auto"/>
                        <w:left w:val="none" w:sz="0" w:space="0" w:color="auto"/>
                        <w:bottom w:val="none" w:sz="0" w:space="0" w:color="auto"/>
                        <w:right w:val="none" w:sz="0" w:space="0" w:color="auto"/>
                      </w:divBdr>
                      <w:divsChild>
                        <w:div w:id="1858159455">
                          <w:marLeft w:val="0"/>
                          <w:marRight w:val="0"/>
                          <w:marTop w:val="0"/>
                          <w:marBottom w:val="0"/>
                          <w:divBdr>
                            <w:top w:val="none" w:sz="0" w:space="0" w:color="auto"/>
                            <w:left w:val="none" w:sz="0" w:space="0" w:color="auto"/>
                            <w:bottom w:val="none" w:sz="0" w:space="0" w:color="auto"/>
                            <w:right w:val="none" w:sz="0" w:space="0" w:color="auto"/>
                          </w:divBdr>
                          <w:divsChild>
                            <w:div w:id="13638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5988">
      <w:bodyDiv w:val="1"/>
      <w:marLeft w:val="0"/>
      <w:marRight w:val="0"/>
      <w:marTop w:val="0"/>
      <w:marBottom w:val="0"/>
      <w:divBdr>
        <w:top w:val="none" w:sz="0" w:space="0" w:color="auto"/>
        <w:left w:val="none" w:sz="0" w:space="0" w:color="auto"/>
        <w:bottom w:val="none" w:sz="0" w:space="0" w:color="auto"/>
        <w:right w:val="none" w:sz="0" w:space="0" w:color="auto"/>
      </w:divBdr>
      <w:divsChild>
        <w:div w:id="122814970">
          <w:marLeft w:val="0"/>
          <w:marRight w:val="0"/>
          <w:marTop w:val="0"/>
          <w:marBottom w:val="0"/>
          <w:divBdr>
            <w:top w:val="none" w:sz="0" w:space="0" w:color="auto"/>
            <w:left w:val="none" w:sz="0" w:space="0" w:color="auto"/>
            <w:bottom w:val="none" w:sz="0" w:space="0" w:color="auto"/>
            <w:right w:val="none" w:sz="0" w:space="0" w:color="auto"/>
          </w:divBdr>
        </w:div>
        <w:div w:id="1428117989">
          <w:marLeft w:val="0"/>
          <w:marRight w:val="0"/>
          <w:marTop w:val="0"/>
          <w:marBottom w:val="0"/>
          <w:divBdr>
            <w:top w:val="none" w:sz="0" w:space="0" w:color="auto"/>
            <w:left w:val="none" w:sz="0" w:space="0" w:color="auto"/>
            <w:bottom w:val="none" w:sz="0" w:space="0" w:color="auto"/>
            <w:right w:val="none" w:sz="0" w:space="0" w:color="auto"/>
          </w:divBdr>
        </w:div>
        <w:div w:id="1064525785">
          <w:marLeft w:val="0"/>
          <w:marRight w:val="0"/>
          <w:marTop w:val="0"/>
          <w:marBottom w:val="0"/>
          <w:divBdr>
            <w:top w:val="none" w:sz="0" w:space="0" w:color="auto"/>
            <w:left w:val="none" w:sz="0" w:space="0" w:color="auto"/>
            <w:bottom w:val="none" w:sz="0" w:space="0" w:color="auto"/>
            <w:right w:val="none" w:sz="0" w:space="0" w:color="auto"/>
          </w:divBdr>
        </w:div>
        <w:div w:id="993333166">
          <w:marLeft w:val="0"/>
          <w:marRight w:val="0"/>
          <w:marTop w:val="0"/>
          <w:marBottom w:val="0"/>
          <w:divBdr>
            <w:top w:val="none" w:sz="0" w:space="0" w:color="auto"/>
            <w:left w:val="none" w:sz="0" w:space="0" w:color="auto"/>
            <w:bottom w:val="none" w:sz="0" w:space="0" w:color="auto"/>
            <w:right w:val="none" w:sz="0" w:space="0" w:color="auto"/>
          </w:divBdr>
        </w:div>
        <w:div w:id="26100825">
          <w:marLeft w:val="0"/>
          <w:marRight w:val="0"/>
          <w:marTop w:val="0"/>
          <w:marBottom w:val="0"/>
          <w:divBdr>
            <w:top w:val="none" w:sz="0" w:space="0" w:color="auto"/>
            <w:left w:val="none" w:sz="0" w:space="0" w:color="auto"/>
            <w:bottom w:val="none" w:sz="0" w:space="0" w:color="auto"/>
            <w:right w:val="none" w:sz="0" w:space="0" w:color="auto"/>
          </w:divBdr>
        </w:div>
        <w:div w:id="823356801">
          <w:marLeft w:val="0"/>
          <w:marRight w:val="0"/>
          <w:marTop w:val="0"/>
          <w:marBottom w:val="0"/>
          <w:divBdr>
            <w:top w:val="none" w:sz="0" w:space="0" w:color="auto"/>
            <w:left w:val="none" w:sz="0" w:space="0" w:color="auto"/>
            <w:bottom w:val="none" w:sz="0" w:space="0" w:color="auto"/>
            <w:right w:val="none" w:sz="0" w:space="0" w:color="auto"/>
          </w:divBdr>
        </w:div>
        <w:div w:id="470832172">
          <w:marLeft w:val="0"/>
          <w:marRight w:val="0"/>
          <w:marTop w:val="0"/>
          <w:marBottom w:val="0"/>
          <w:divBdr>
            <w:top w:val="none" w:sz="0" w:space="0" w:color="auto"/>
            <w:left w:val="none" w:sz="0" w:space="0" w:color="auto"/>
            <w:bottom w:val="none" w:sz="0" w:space="0" w:color="auto"/>
            <w:right w:val="none" w:sz="0" w:space="0" w:color="auto"/>
          </w:divBdr>
        </w:div>
        <w:div w:id="852692566">
          <w:marLeft w:val="0"/>
          <w:marRight w:val="0"/>
          <w:marTop w:val="0"/>
          <w:marBottom w:val="0"/>
          <w:divBdr>
            <w:top w:val="none" w:sz="0" w:space="0" w:color="auto"/>
            <w:left w:val="none" w:sz="0" w:space="0" w:color="auto"/>
            <w:bottom w:val="none" w:sz="0" w:space="0" w:color="auto"/>
            <w:right w:val="none" w:sz="0" w:space="0" w:color="auto"/>
          </w:divBdr>
        </w:div>
        <w:div w:id="303587883">
          <w:marLeft w:val="0"/>
          <w:marRight w:val="0"/>
          <w:marTop w:val="0"/>
          <w:marBottom w:val="0"/>
          <w:divBdr>
            <w:top w:val="none" w:sz="0" w:space="0" w:color="auto"/>
            <w:left w:val="none" w:sz="0" w:space="0" w:color="auto"/>
            <w:bottom w:val="none" w:sz="0" w:space="0" w:color="auto"/>
            <w:right w:val="none" w:sz="0" w:space="0" w:color="auto"/>
          </w:divBdr>
        </w:div>
        <w:div w:id="703872116">
          <w:marLeft w:val="0"/>
          <w:marRight w:val="0"/>
          <w:marTop w:val="0"/>
          <w:marBottom w:val="0"/>
          <w:divBdr>
            <w:top w:val="none" w:sz="0" w:space="0" w:color="auto"/>
            <w:left w:val="none" w:sz="0" w:space="0" w:color="auto"/>
            <w:bottom w:val="none" w:sz="0" w:space="0" w:color="auto"/>
            <w:right w:val="none" w:sz="0" w:space="0" w:color="auto"/>
          </w:divBdr>
        </w:div>
        <w:div w:id="1184780161">
          <w:marLeft w:val="0"/>
          <w:marRight w:val="0"/>
          <w:marTop w:val="0"/>
          <w:marBottom w:val="0"/>
          <w:divBdr>
            <w:top w:val="none" w:sz="0" w:space="0" w:color="auto"/>
            <w:left w:val="none" w:sz="0" w:space="0" w:color="auto"/>
            <w:bottom w:val="none" w:sz="0" w:space="0" w:color="auto"/>
            <w:right w:val="none" w:sz="0" w:space="0" w:color="auto"/>
          </w:divBdr>
        </w:div>
        <w:div w:id="451630399">
          <w:marLeft w:val="0"/>
          <w:marRight w:val="0"/>
          <w:marTop w:val="0"/>
          <w:marBottom w:val="0"/>
          <w:divBdr>
            <w:top w:val="none" w:sz="0" w:space="0" w:color="auto"/>
            <w:left w:val="none" w:sz="0" w:space="0" w:color="auto"/>
            <w:bottom w:val="none" w:sz="0" w:space="0" w:color="auto"/>
            <w:right w:val="none" w:sz="0" w:space="0" w:color="auto"/>
          </w:divBdr>
        </w:div>
      </w:divsChild>
    </w:div>
    <w:div w:id="85344374">
      <w:bodyDiv w:val="1"/>
      <w:marLeft w:val="0"/>
      <w:marRight w:val="0"/>
      <w:marTop w:val="0"/>
      <w:marBottom w:val="0"/>
      <w:divBdr>
        <w:top w:val="none" w:sz="0" w:space="0" w:color="auto"/>
        <w:left w:val="none" w:sz="0" w:space="0" w:color="auto"/>
        <w:bottom w:val="none" w:sz="0" w:space="0" w:color="auto"/>
        <w:right w:val="none" w:sz="0" w:space="0" w:color="auto"/>
      </w:divBdr>
      <w:divsChild>
        <w:div w:id="803932554">
          <w:marLeft w:val="0"/>
          <w:marRight w:val="0"/>
          <w:marTop w:val="0"/>
          <w:marBottom w:val="0"/>
          <w:divBdr>
            <w:top w:val="none" w:sz="0" w:space="0" w:color="auto"/>
            <w:left w:val="none" w:sz="0" w:space="0" w:color="auto"/>
            <w:bottom w:val="none" w:sz="0" w:space="0" w:color="auto"/>
            <w:right w:val="none" w:sz="0" w:space="0" w:color="auto"/>
          </w:divBdr>
        </w:div>
      </w:divsChild>
    </w:div>
    <w:div w:id="86002655">
      <w:bodyDiv w:val="1"/>
      <w:marLeft w:val="0"/>
      <w:marRight w:val="0"/>
      <w:marTop w:val="0"/>
      <w:marBottom w:val="0"/>
      <w:divBdr>
        <w:top w:val="none" w:sz="0" w:space="0" w:color="auto"/>
        <w:left w:val="none" w:sz="0" w:space="0" w:color="auto"/>
        <w:bottom w:val="none" w:sz="0" w:space="0" w:color="auto"/>
        <w:right w:val="none" w:sz="0" w:space="0" w:color="auto"/>
      </w:divBdr>
      <w:divsChild>
        <w:div w:id="426510305">
          <w:marLeft w:val="0"/>
          <w:marRight w:val="0"/>
          <w:marTop w:val="60"/>
          <w:marBottom w:val="0"/>
          <w:divBdr>
            <w:top w:val="none" w:sz="0" w:space="0" w:color="auto"/>
            <w:left w:val="none" w:sz="0" w:space="0" w:color="auto"/>
            <w:bottom w:val="none" w:sz="0" w:space="0" w:color="auto"/>
            <w:right w:val="none" w:sz="0" w:space="0" w:color="auto"/>
          </w:divBdr>
        </w:div>
        <w:div w:id="1053966911">
          <w:marLeft w:val="240"/>
          <w:marRight w:val="0"/>
          <w:marTop w:val="0"/>
          <w:marBottom w:val="0"/>
          <w:divBdr>
            <w:top w:val="none" w:sz="0" w:space="0" w:color="auto"/>
            <w:left w:val="none" w:sz="0" w:space="0" w:color="auto"/>
            <w:bottom w:val="none" w:sz="0" w:space="0" w:color="auto"/>
            <w:right w:val="none" w:sz="0" w:space="0" w:color="auto"/>
          </w:divBdr>
          <w:divsChild>
            <w:div w:id="109794782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95181132">
      <w:bodyDiv w:val="1"/>
      <w:marLeft w:val="0"/>
      <w:marRight w:val="0"/>
      <w:marTop w:val="0"/>
      <w:marBottom w:val="0"/>
      <w:divBdr>
        <w:top w:val="none" w:sz="0" w:space="0" w:color="auto"/>
        <w:left w:val="none" w:sz="0" w:space="0" w:color="auto"/>
        <w:bottom w:val="none" w:sz="0" w:space="0" w:color="auto"/>
        <w:right w:val="none" w:sz="0" w:space="0" w:color="auto"/>
      </w:divBdr>
      <w:divsChild>
        <w:div w:id="1488666249">
          <w:marLeft w:val="0"/>
          <w:marRight w:val="0"/>
          <w:marTop w:val="0"/>
          <w:marBottom w:val="0"/>
          <w:divBdr>
            <w:top w:val="none" w:sz="0" w:space="0" w:color="auto"/>
            <w:left w:val="none" w:sz="0" w:space="0" w:color="auto"/>
            <w:bottom w:val="none" w:sz="0" w:space="0" w:color="auto"/>
            <w:right w:val="none" w:sz="0" w:space="0" w:color="auto"/>
          </w:divBdr>
        </w:div>
      </w:divsChild>
    </w:div>
    <w:div w:id="108941983">
      <w:bodyDiv w:val="1"/>
      <w:marLeft w:val="0"/>
      <w:marRight w:val="0"/>
      <w:marTop w:val="0"/>
      <w:marBottom w:val="0"/>
      <w:divBdr>
        <w:top w:val="none" w:sz="0" w:space="0" w:color="auto"/>
        <w:left w:val="none" w:sz="0" w:space="0" w:color="auto"/>
        <w:bottom w:val="none" w:sz="0" w:space="0" w:color="auto"/>
        <w:right w:val="none" w:sz="0" w:space="0" w:color="auto"/>
      </w:divBdr>
    </w:div>
    <w:div w:id="112604979">
      <w:bodyDiv w:val="1"/>
      <w:marLeft w:val="0"/>
      <w:marRight w:val="0"/>
      <w:marTop w:val="0"/>
      <w:marBottom w:val="0"/>
      <w:divBdr>
        <w:top w:val="none" w:sz="0" w:space="0" w:color="auto"/>
        <w:left w:val="none" w:sz="0" w:space="0" w:color="auto"/>
        <w:bottom w:val="none" w:sz="0" w:space="0" w:color="auto"/>
        <w:right w:val="none" w:sz="0" w:space="0" w:color="auto"/>
      </w:divBdr>
    </w:div>
    <w:div w:id="113066531">
      <w:bodyDiv w:val="1"/>
      <w:marLeft w:val="0"/>
      <w:marRight w:val="0"/>
      <w:marTop w:val="0"/>
      <w:marBottom w:val="0"/>
      <w:divBdr>
        <w:top w:val="none" w:sz="0" w:space="0" w:color="auto"/>
        <w:left w:val="none" w:sz="0" w:space="0" w:color="auto"/>
        <w:bottom w:val="none" w:sz="0" w:space="0" w:color="auto"/>
        <w:right w:val="none" w:sz="0" w:space="0" w:color="auto"/>
      </w:divBdr>
      <w:divsChild>
        <w:div w:id="982541170">
          <w:marLeft w:val="0"/>
          <w:marRight w:val="0"/>
          <w:marTop w:val="260"/>
          <w:marBottom w:val="0"/>
          <w:divBdr>
            <w:top w:val="none" w:sz="0" w:space="0" w:color="auto"/>
            <w:left w:val="none" w:sz="0" w:space="0" w:color="auto"/>
            <w:bottom w:val="none" w:sz="0" w:space="0" w:color="auto"/>
            <w:right w:val="none" w:sz="0" w:space="0" w:color="auto"/>
          </w:divBdr>
          <w:divsChild>
            <w:div w:id="368917516">
              <w:marLeft w:val="0"/>
              <w:marRight w:val="0"/>
              <w:marTop w:val="0"/>
              <w:marBottom w:val="0"/>
              <w:divBdr>
                <w:top w:val="none" w:sz="0" w:space="0" w:color="auto"/>
                <w:left w:val="none" w:sz="0" w:space="0" w:color="auto"/>
                <w:bottom w:val="none" w:sz="0" w:space="0" w:color="auto"/>
                <w:right w:val="none" w:sz="0" w:space="0" w:color="auto"/>
              </w:divBdr>
              <w:divsChild>
                <w:div w:id="2118985478">
                  <w:marLeft w:val="0"/>
                  <w:marRight w:val="0"/>
                  <w:marTop w:val="0"/>
                  <w:marBottom w:val="0"/>
                  <w:divBdr>
                    <w:top w:val="none" w:sz="0" w:space="0" w:color="auto"/>
                    <w:left w:val="none" w:sz="0" w:space="0" w:color="auto"/>
                    <w:bottom w:val="none" w:sz="0" w:space="0" w:color="auto"/>
                    <w:right w:val="none" w:sz="0" w:space="0" w:color="auto"/>
                  </w:divBdr>
                  <w:divsChild>
                    <w:div w:id="541676626">
                      <w:marLeft w:val="0"/>
                      <w:marRight w:val="0"/>
                      <w:marTop w:val="0"/>
                      <w:marBottom w:val="0"/>
                      <w:divBdr>
                        <w:top w:val="none" w:sz="0" w:space="0" w:color="auto"/>
                        <w:left w:val="none" w:sz="0" w:space="0" w:color="auto"/>
                        <w:bottom w:val="none" w:sz="0" w:space="0" w:color="auto"/>
                        <w:right w:val="none" w:sz="0" w:space="0" w:color="auto"/>
                      </w:divBdr>
                      <w:divsChild>
                        <w:div w:id="8169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70282">
          <w:marLeft w:val="0"/>
          <w:marRight w:val="0"/>
          <w:marTop w:val="60"/>
          <w:marBottom w:val="0"/>
          <w:divBdr>
            <w:top w:val="none" w:sz="0" w:space="0" w:color="auto"/>
            <w:left w:val="none" w:sz="0" w:space="0" w:color="auto"/>
            <w:bottom w:val="none" w:sz="0" w:space="0" w:color="auto"/>
            <w:right w:val="none" w:sz="0" w:space="0" w:color="auto"/>
          </w:divBdr>
          <w:divsChild>
            <w:div w:id="1171599264">
              <w:marLeft w:val="0"/>
              <w:marRight w:val="0"/>
              <w:marTop w:val="0"/>
              <w:marBottom w:val="0"/>
              <w:divBdr>
                <w:top w:val="none" w:sz="0" w:space="0" w:color="auto"/>
                <w:left w:val="none" w:sz="0" w:space="0" w:color="auto"/>
                <w:bottom w:val="none" w:sz="0" w:space="0" w:color="auto"/>
                <w:right w:val="none" w:sz="0" w:space="0" w:color="auto"/>
              </w:divBdr>
              <w:divsChild>
                <w:div w:id="173765975">
                  <w:marLeft w:val="0"/>
                  <w:marRight w:val="0"/>
                  <w:marTop w:val="0"/>
                  <w:marBottom w:val="0"/>
                  <w:divBdr>
                    <w:top w:val="none" w:sz="0" w:space="0" w:color="auto"/>
                    <w:left w:val="none" w:sz="0" w:space="0" w:color="auto"/>
                    <w:bottom w:val="none" w:sz="0" w:space="0" w:color="auto"/>
                    <w:right w:val="none" w:sz="0" w:space="0" w:color="auto"/>
                  </w:divBdr>
                  <w:divsChild>
                    <w:div w:id="1347712652">
                      <w:marLeft w:val="0"/>
                      <w:marRight w:val="0"/>
                      <w:marTop w:val="0"/>
                      <w:marBottom w:val="0"/>
                      <w:divBdr>
                        <w:top w:val="none" w:sz="0" w:space="0" w:color="auto"/>
                        <w:left w:val="none" w:sz="0" w:space="0" w:color="auto"/>
                        <w:bottom w:val="none" w:sz="0" w:space="0" w:color="auto"/>
                        <w:right w:val="none" w:sz="0" w:space="0" w:color="auto"/>
                      </w:divBdr>
                      <w:divsChild>
                        <w:div w:id="8435925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0564">
      <w:bodyDiv w:val="1"/>
      <w:marLeft w:val="0"/>
      <w:marRight w:val="0"/>
      <w:marTop w:val="0"/>
      <w:marBottom w:val="0"/>
      <w:divBdr>
        <w:top w:val="none" w:sz="0" w:space="0" w:color="auto"/>
        <w:left w:val="none" w:sz="0" w:space="0" w:color="auto"/>
        <w:bottom w:val="none" w:sz="0" w:space="0" w:color="auto"/>
        <w:right w:val="none" w:sz="0" w:space="0" w:color="auto"/>
      </w:divBdr>
      <w:divsChild>
        <w:div w:id="1719472856">
          <w:marLeft w:val="0"/>
          <w:marRight w:val="0"/>
          <w:marTop w:val="0"/>
          <w:marBottom w:val="0"/>
          <w:divBdr>
            <w:top w:val="none" w:sz="0" w:space="0" w:color="auto"/>
            <w:left w:val="none" w:sz="0" w:space="0" w:color="auto"/>
            <w:bottom w:val="none" w:sz="0" w:space="0" w:color="auto"/>
            <w:right w:val="none" w:sz="0" w:space="0" w:color="auto"/>
          </w:divBdr>
        </w:div>
      </w:divsChild>
    </w:div>
    <w:div w:id="122385199">
      <w:bodyDiv w:val="1"/>
      <w:marLeft w:val="0"/>
      <w:marRight w:val="0"/>
      <w:marTop w:val="0"/>
      <w:marBottom w:val="0"/>
      <w:divBdr>
        <w:top w:val="none" w:sz="0" w:space="0" w:color="auto"/>
        <w:left w:val="none" w:sz="0" w:space="0" w:color="auto"/>
        <w:bottom w:val="none" w:sz="0" w:space="0" w:color="auto"/>
        <w:right w:val="none" w:sz="0" w:space="0" w:color="auto"/>
      </w:divBdr>
      <w:divsChild>
        <w:div w:id="728305855">
          <w:marLeft w:val="0"/>
          <w:marRight w:val="0"/>
          <w:marTop w:val="0"/>
          <w:marBottom w:val="0"/>
          <w:divBdr>
            <w:top w:val="none" w:sz="0" w:space="0" w:color="auto"/>
            <w:left w:val="none" w:sz="0" w:space="0" w:color="auto"/>
            <w:bottom w:val="none" w:sz="0" w:space="0" w:color="auto"/>
            <w:right w:val="none" w:sz="0" w:space="0" w:color="auto"/>
          </w:divBdr>
          <w:divsChild>
            <w:div w:id="1440032586">
              <w:marLeft w:val="0"/>
              <w:marRight w:val="0"/>
              <w:marTop w:val="0"/>
              <w:marBottom w:val="0"/>
              <w:divBdr>
                <w:top w:val="none" w:sz="0" w:space="0" w:color="auto"/>
                <w:left w:val="none" w:sz="0" w:space="0" w:color="auto"/>
                <w:bottom w:val="none" w:sz="0" w:space="0" w:color="auto"/>
                <w:right w:val="none" w:sz="0" w:space="0" w:color="auto"/>
              </w:divBdr>
              <w:divsChild>
                <w:div w:id="427165909">
                  <w:marLeft w:val="0"/>
                  <w:marRight w:val="0"/>
                  <w:marTop w:val="0"/>
                  <w:marBottom w:val="0"/>
                  <w:divBdr>
                    <w:top w:val="none" w:sz="0" w:space="0" w:color="auto"/>
                    <w:left w:val="none" w:sz="0" w:space="0" w:color="auto"/>
                    <w:bottom w:val="none" w:sz="0" w:space="0" w:color="auto"/>
                    <w:right w:val="none" w:sz="0" w:space="0" w:color="auto"/>
                  </w:divBdr>
                </w:div>
              </w:divsChild>
            </w:div>
            <w:div w:id="1129470783">
              <w:marLeft w:val="0"/>
              <w:marRight w:val="0"/>
              <w:marTop w:val="0"/>
              <w:marBottom w:val="0"/>
              <w:divBdr>
                <w:top w:val="none" w:sz="0" w:space="0" w:color="auto"/>
                <w:left w:val="none" w:sz="0" w:space="0" w:color="auto"/>
                <w:bottom w:val="none" w:sz="0" w:space="0" w:color="auto"/>
                <w:right w:val="none" w:sz="0" w:space="0" w:color="auto"/>
              </w:divBdr>
            </w:div>
            <w:div w:id="645740117">
              <w:marLeft w:val="0"/>
              <w:marRight w:val="0"/>
              <w:marTop w:val="0"/>
              <w:marBottom w:val="0"/>
              <w:divBdr>
                <w:top w:val="none" w:sz="0" w:space="0" w:color="auto"/>
                <w:left w:val="none" w:sz="0" w:space="0" w:color="auto"/>
                <w:bottom w:val="none" w:sz="0" w:space="0" w:color="auto"/>
                <w:right w:val="none" w:sz="0" w:space="0" w:color="auto"/>
              </w:divBdr>
            </w:div>
            <w:div w:id="1682927622">
              <w:marLeft w:val="0"/>
              <w:marRight w:val="0"/>
              <w:marTop w:val="0"/>
              <w:marBottom w:val="0"/>
              <w:divBdr>
                <w:top w:val="none" w:sz="0" w:space="0" w:color="auto"/>
                <w:left w:val="none" w:sz="0" w:space="0" w:color="auto"/>
                <w:bottom w:val="none" w:sz="0" w:space="0" w:color="auto"/>
                <w:right w:val="none" w:sz="0" w:space="0" w:color="auto"/>
              </w:divBdr>
            </w:div>
            <w:div w:id="7781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0302">
      <w:bodyDiv w:val="1"/>
      <w:marLeft w:val="0"/>
      <w:marRight w:val="0"/>
      <w:marTop w:val="0"/>
      <w:marBottom w:val="0"/>
      <w:divBdr>
        <w:top w:val="none" w:sz="0" w:space="0" w:color="auto"/>
        <w:left w:val="none" w:sz="0" w:space="0" w:color="auto"/>
        <w:bottom w:val="none" w:sz="0" w:space="0" w:color="auto"/>
        <w:right w:val="none" w:sz="0" w:space="0" w:color="auto"/>
      </w:divBdr>
    </w:div>
    <w:div w:id="132258253">
      <w:bodyDiv w:val="1"/>
      <w:marLeft w:val="0"/>
      <w:marRight w:val="0"/>
      <w:marTop w:val="0"/>
      <w:marBottom w:val="0"/>
      <w:divBdr>
        <w:top w:val="none" w:sz="0" w:space="0" w:color="auto"/>
        <w:left w:val="none" w:sz="0" w:space="0" w:color="auto"/>
        <w:bottom w:val="none" w:sz="0" w:space="0" w:color="auto"/>
        <w:right w:val="none" w:sz="0" w:space="0" w:color="auto"/>
      </w:divBdr>
      <w:divsChild>
        <w:div w:id="1391346186">
          <w:marLeft w:val="0"/>
          <w:marRight w:val="0"/>
          <w:marTop w:val="0"/>
          <w:marBottom w:val="0"/>
          <w:divBdr>
            <w:top w:val="none" w:sz="0" w:space="0" w:color="auto"/>
            <w:left w:val="none" w:sz="0" w:space="0" w:color="auto"/>
            <w:bottom w:val="none" w:sz="0" w:space="0" w:color="auto"/>
            <w:right w:val="none" w:sz="0" w:space="0" w:color="auto"/>
          </w:divBdr>
          <w:divsChild>
            <w:div w:id="797845792">
              <w:marLeft w:val="0"/>
              <w:marRight w:val="0"/>
              <w:marTop w:val="0"/>
              <w:marBottom w:val="0"/>
              <w:divBdr>
                <w:top w:val="none" w:sz="0" w:space="0" w:color="auto"/>
                <w:left w:val="none" w:sz="0" w:space="0" w:color="auto"/>
                <w:bottom w:val="none" w:sz="0" w:space="0" w:color="auto"/>
                <w:right w:val="none" w:sz="0" w:space="0" w:color="auto"/>
              </w:divBdr>
              <w:divsChild>
                <w:div w:id="9873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6452">
      <w:bodyDiv w:val="1"/>
      <w:marLeft w:val="0"/>
      <w:marRight w:val="0"/>
      <w:marTop w:val="0"/>
      <w:marBottom w:val="0"/>
      <w:divBdr>
        <w:top w:val="none" w:sz="0" w:space="0" w:color="auto"/>
        <w:left w:val="none" w:sz="0" w:space="0" w:color="auto"/>
        <w:bottom w:val="none" w:sz="0" w:space="0" w:color="auto"/>
        <w:right w:val="none" w:sz="0" w:space="0" w:color="auto"/>
      </w:divBdr>
      <w:divsChild>
        <w:div w:id="530995767">
          <w:marLeft w:val="0"/>
          <w:marRight w:val="0"/>
          <w:marTop w:val="0"/>
          <w:marBottom w:val="0"/>
          <w:divBdr>
            <w:top w:val="none" w:sz="0" w:space="0" w:color="auto"/>
            <w:left w:val="none" w:sz="0" w:space="0" w:color="auto"/>
            <w:bottom w:val="none" w:sz="0" w:space="0" w:color="auto"/>
            <w:right w:val="none" w:sz="0" w:space="0" w:color="auto"/>
          </w:divBdr>
        </w:div>
      </w:divsChild>
    </w:div>
    <w:div w:id="153686478">
      <w:bodyDiv w:val="1"/>
      <w:marLeft w:val="0"/>
      <w:marRight w:val="0"/>
      <w:marTop w:val="0"/>
      <w:marBottom w:val="0"/>
      <w:divBdr>
        <w:top w:val="none" w:sz="0" w:space="0" w:color="auto"/>
        <w:left w:val="none" w:sz="0" w:space="0" w:color="auto"/>
        <w:bottom w:val="none" w:sz="0" w:space="0" w:color="auto"/>
        <w:right w:val="none" w:sz="0" w:space="0" w:color="auto"/>
      </w:divBdr>
    </w:div>
    <w:div w:id="158035875">
      <w:bodyDiv w:val="1"/>
      <w:marLeft w:val="0"/>
      <w:marRight w:val="0"/>
      <w:marTop w:val="0"/>
      <w:marBottom w:val="0"/>
      <w:divBdr>
        <w:top w:val="none" w:sz="0" w:space="0" w:color="auto"/>
        <w:left w:val="none" w:sz="0" w:space="0" w:color="auto"/>
        <w:bottom w:val="none" w:sz="0" w:space="0" w:color="auto"/>
        <w:right w:val="none" w:sz="0" w:space="0" w:color="auto"/>
      </w:divBdr>
    </w:div>
    <w:div w:id="179903203">
      <w:bodyDiv w:val="1"/>
      <w:marLeft w:val="0"/>
      <w:marRight w:val="0"/>
      <w:marTop w:val="0"/>
      <w:marBottom w:val="0"/>
      <w:divBdr>
        <w:top w:val="none" w:sz="0" w:space="0" w:color="auto"/>
        <w:left w:val="none" w:sz="0" w:space="0" w:color="auto"/>
        <w:bottom w:val="none" w:sz="0" w:space="0" w:color="auto"/>
        <w:right w:val="none" w:sz="0" w:space="0" w:color="auto"/>
      </w:divBdr>
      <w:divsChild>
        <w:div w:id="1740902795">
          <w:marLeft w:val="0"/>
          <w:marRight w:val="0"/>
          <w:marTop w:val="0"/>
          <w:marBottom w:val="0"/>
          <w:divBdr>
            <w:top w:val="none" w:sz="0" w:space="0" w:color="auto"/>
            <w:left w:val="none" w:sz="0" w:space="0" w:color="auto"/>
            <w:bottom w:val="none" w:sz="0" w:space="0" w:color="auto"/>
            <w:right w:val="none" w:sz="0" w:space="0" w:color="auto"/>
          </w:divBdr>
        </w:div>
      </w:divsChild>
    </w:div>
    <w:div w:id="184563366">
      <w:bodyDiv w:val="1"/>
      <w:marLeft w:val="0"/>
      <w:marRight w:val="0"/>
      <w:marTop w:val="0"/>
      <w:marBottom w:val="0"/>
      <w:divBdr>
        <w:top w:val="none" w:sz="0" w:space="0" w:color="auto"/>
        <w:left w:val="none" w:sz="0" w:space="0" w:color="auto"/>
        <w:bottom w:val="none" w:sz="0" w:space="0" w:color="auto"/>
        <w:right w:val="none" w:sz="0" w:space="0" w:color="auto"/>
      </w:divBdr>
    </w:div>
    <w:div w:id="191573517">
      <w:bodyDiv w:val="1"/>
      <w:marLeft w:val="0"/>
      <w:marRight w:val="0"/>
      <w:marTop w:val="0"/>
      <w:marBottom w:val="0"/>
      <w:divBdr>
        <w:top w:val="none" w:sz="0" w:space="0" w:color="auto"/>
        <w:left w:val="none" w:sz="0" w:space="0" w:color="auto"/>
        <w:bottom w:val="none" w:sz="0" w:space="0" w:color="auto"/>
        <w:right w:val="none" w:sz="0" w:space="0" w:color="auto"/>
      </w:divBdr>
      <w:divsChild>
        <w:div w:id="1684016486">
          <w:marLeft w:val="0"/>
          <w:marRight w:val="0"/>
          <w:marTop w:val="0"/>
          <w:marBottom w:val="0"/>
          <w:divBdr>
            <w:top w:val="none" w:sz="0" w:space="0" w:color="auto"/>
            <w:left w:val="none" w:sz="0" w:space="0" w:color="auto"/>
            <w:bottom w:val="none" w:sz="0" w:space="0" w:color="auto"/>
            <w:right w:val="none" w:sz="0" w:space="0" w:color="auto"/>
          </w:divBdr>
        </w:div>
        <w:div w:id="312954719">
          <w:marLeft w:val="0"/>
          <w:marRight w:val="0"/>
          <w:marTop w:val="0"/>
          <w:marBottom w:val="0"/>
          <w:divBdr>
            <w:top w:val="none" w:sz="0" w:space="0" w:color="auto"/>
            <w:left w:val="none" w:sz="0" w:space="0" w:color="auto"/>
            <w:bottom w:val="none" w:sz="0" w:space="0" w:color="auto"/>
            <w:right w:val="none" w:sz="0" w:space="0" w:color="auto"/>
          </w:divBdr>
        </w:div>
      </w:divsChild>
    </w:div>
    <w:div w:id="217673459">
      <w:bodyDiv w:val="1"/>
      <w:marLeft w:val="0"/>
      <w:marRight w:val="0"/>
      <w:marTop w:val="0"/>
      <w:marBottom w:val="0"/>
      <w:divBdr>
        <w:top w:val="none" w:sz="0" w:space="0" w:color="auto"/>
        <w:left w:val="none" w:sz="0" w:space="0" w:color="auto"/>
        <w:bottom w:val="none" w:sz="0" w:space="0" w:color="auto"/>
        <w:right w:val="none" w:sz="0" w:space="0" w:color="auto"/>
      </w:divBdr>
    </w:div>
    <w:div w:id="226038035">
      <w:bodyDiv w:val="1"/>
      <w:marLeft w:val="0"/>
      <w:marRight w:val="0"/>
      <w:marTop w:val="0"/>
      <w:marBottom w:val="0"/>
      <w:divBdr>
        <w:top w:val="none" w:sz="0" w:space="0" w:color="auto"/>
        <w:left w:val="none" w:sz="0" w:space="0" w:color="auto"/>
        <w:bottom w:val="none" w:sz="0" w:space="0" w:color="auto"/>
        <w:right w:val="none" w:sz="0" w:space="0" w:color="auto"/>
      </w:divBdr>
    </w:div>
    <w:div w:id="267277921">
      <w:bodyDiv w:val="1"/>
      <w:marLeft w:val="0"/>
      <w:marRight w:val="0"/>
      <w:marTop w:val="0"/>
      <w:marBottom w:val="0"/>
      <w:divBdr>
        <w:top w:val="none" w:sz="0" w:space="0" w:color="auto"/>
        <w:left w:val="none" w:sz="0" w:space="0" w:color="auto"/>
        <w:bottom w:val="none" w:sz="0" w:space="0" w:color="auto"/>
        <w:right w:val="none" w:sz="0" w:space="0" w:color="auto"/>
      </w:divBdr>
      <w:divsChild>
        <w:div w:id="565074827">
          <w:marLeft w:val="0"/>
          <w:marRight w:val="0"/>
          <w:marTop w:val="0"/>
          <w:marBottom w:val="0"/>
          <w:divBdr>
            <w:top w:val="none" w:sz="0" w:space="0" w:color="auto"/>
            <w:left w:val="none" w:sz="0" w:space="0" w:color="auto"/>
            <w:bottom w:val="none" w:sz="0" w:space="0" w:color="auto"/>
            <w:right w:val="none" w:sz="0" w:space="0" w:color="auto"/>
          </w:divBdr>
        </w:div>
        <w:div w:id="648944573">
          <w:marLeft w:val="0"/>
          <w:marRight w:val="0"/>
          <w:marTop w:val="0"/>
          <w:marBottom w:val="0"/>
          <w:divBdr>
            <w:top w:val="none" w:sz="0" w:space="0" w:color="auto"/>
            <w:left w:val="none" w:sz="0" w:space="0" w:color="auto"/>
            <w:bottom w:val="none" w:sz="0" w:space="0" w:color="auto"/>
            <w:right w:val="none" w:sz="0" w:space="0" w:color="auto"/>
          </w:divBdr>
        </w:div>
      </w:divsChild>
    </w:div>
    <w:div w:id="280722729">
      <w:bodyDiv w:val="1"/>
      <w:marLeft w:val="0"/>
      <w:marRight w:val="0"/>
      <w:marTop w:val="0"/>
      <w:marBottom w:val="0"/>
      <w:divBdr>
        <w:top w:val="none" w:sz="0" w:space="0" w:color="auto"/>
        <w:left w:val="none" w:sz="0" w:space="0" w:color="auto"/>
        <w:bottom w:val="none" w:sz="0" w:space="0" w:color="auto"/>
        <w:right w:val="none" w:sz="0" w:space="0" w:color="auto"/>
      </w:divBdr>
    </w:div>
    <w:div w:id="290482151">
      <w:bodyDiv w:val="1"/>
      <w:marLeft w:val="0"/>
      <w:marRight w:val="0"/>
      <w:marTop w:val="0"/>
      <w:marBottom w:val="0"/>
      <w:divBdr>
        <w:top w:val="none" w:sz="0" w:space="0" w:color="auto"/>
        <w:left w:val="none" w:sz="0" w:space="0" w:color="auto"/>
        <w:bottom w:val="none" w:sz="0" w:space="0" w:color="auto"/>
        <w:right w:val="none" w:sz="0" w:space="0" w:color="auto"/>
      </w:divBdr>
      <w:divsChild>
        <w:div w:id="24259734">
          <w:marLeft w:val="0"/>
          <w:marRight w:val="0"/>
          <w:marTop w:val="0"/>
          <w:marBottom w:val="0"/>
          <w:divBdr>
            <w:top w:val="none" w:sz="0" w:space="0" w:color="auto"/>
            <w:left w:val="none" w:sz="0" w:space="0" w:color="auto"/>
            <w:bottom w:val="none" w:sz="0" w:space="0" w:color="auto"/>
            <w:right w:val="none" w:sz="0" w:space="0" w:color="auto"/>
          </w:divBdr>
        </w:div>
        <w:div w:id="430976747">
          <w:marLeft w:val="0"/>
          <w:marRight w:val="0"/>
          <w:marTop w:val="0"/>
          <w:marBottom w:val="0"/>
          <w:divBdr>
            <w:top w:val="none" w:sz="0" w:space="0" w:color="auto"/>
            <w:left w:val="none" w:sz="0" w:space="0" w:color="auto"/>
            <w:bottom w:val="none" w:sz="0" w:space="0" w:color="auto"/>
            <w:right w:val="none" w:sz="0" w:space="0" w:color="auto"/>
          </w:divBdr>
        </w:div>
        <w:div w:id="911432421">
          <w:marLeft w:val="0"/>
          <w:marRight w:val="0"/>
          <w:marTop w:val="0"/>
          <w:marBottom w:val="0"/>
          <w:divBdr>
            <w:top w:val="none" w:sz="0" w:space="0" w:color="auto"/>
            <w:left w:val="none" w:sz="0" w:space="0" w:color="auto"/>
            <w:bottom w:val="none" w:sz="0" w:space="0" w:color="auto"/>
            <w:right w:val="none" w:sz="0" w:space="0" w:color="auto"/>
          </w:divBdr>
        </w:div>
        <w:div w:id="2042507649">
          <w:marLeft w:val="0"/>
          <w:marRight w:val="0"/>
          <w:marTop w:val="0"/>
          <w:marBottom w:val="0"/>
          <w:divBdr>
            <w:top w:val="none" w:sz="0" w:space="0" w:color="auto"/>
            <w:left w:val="none" w:sz="0" w:space="0" w:color="auto"/>
            <w:bottom w:val="none" w:sz="0" w:space="0" w:color="auto"/>
            <w:right w:val="none" w:sz="0" w:space="0" w:color="auto"/>
          </w:divBdr>
        </w:div>
      </w:divsChild>
    </w:div>
    <w:div w:id="301009887">
      <w:bodyDiv w:val="1"/>
      <w:marLeft w:val="0"/>
      <w:marRight w:val="0"/>
      <w:marTop w:val="0"/>
      <w:marBottom w:val="0"/>
      <w:divBdr>
        <w:top w:val="none" w:sz="0" w:space="0" w:color="auto"/>
        <w:left w:val="none" w:sz="0" w:space="0" w:color="auto"/>
        <w:bottom w:val="none" w:sz="0" w:space="0" w:color="auto"/>
        <w:right w:val="none" w:sz="0" w:space="0" w:color="auto"/>
      </w:divBdr>
    </w:div>
    <w:div w:id="311639211">
      <w:bodyDiv w:val="1"/>
      <w:marLeft w:val="0"/>
      <w:marRight w:val="0"/>
      <w:marTop w:val="0"/>
      <w:marBottom w:val="0"/>
      <w:divBdr>
        <w:top w:val="none" w:sz="0" w:space="0" w:color="auto"/>
        <w:left w:val="none" w:sz="0" w:space="0" w:color="auto"/>
        <w:bottom w:val="none" w:sz="0" w:space="0" w:color="auto"/>
        <w:right w:val="none" w:sz="0" w:space="0" w:color="auto"/>
      </w:divBdr>
      <w:divsChild>
        <w:div w:id="1681272514">
          <w:marLeft w:val="0"/>
          <w:marRight w:val="0"/>
          <w:marTop w:val="0"/>
          <w:marBottom w:val="0"/>
          <w:divBdr>
            <w:top w:val="none" w:sz="0" w:space="0" w:color="auto"/>
            <w:left w:val="none" w:sz="0" w:space="0" w:color="auto"/>
            <w:bottom w:val="none" w:sz="0" w:space="0" w:color="auto"/>
            <w:right w:val="none" w:sz="0" w:space="0" w:color="auto"/>
          </w:divBdr>
        </w:div>
        <w:div w:id="1534534690">
          <w:marLeft w:val="0"/>
          <w:marRight w:val="0"/>
          <w:marTop w:val="0"/>
          <w:marBottom w:val="0"/>
          <w:divBdr>
            <w:top w:val="none" w:sz="0" w:space="0" w:color="auto"/>
            <w:left w:val="none" w:sz="0" w:space="0" w:color="auto"/>
            <w:bottom w:val="none" w:sz="0" w:space="0" w:color="auto"/>
            <w:right w:val="none" w:sz="0" w:space="0" w:color="auto"/>
          </w:divBdr>
        </w:div>
        <w:div w:id="817695852">
          <w:marLeft w:val="0"/>
          <w:marRight w:val="0"/>
          <w:marTop w:val="0"/>
          <w:marBottom w:val="0"/>
          <w:divBdr>
            <w:top w:val="none" w:sz="0" w:space="0" w:color="auto"/>
            <w:left w:val="none" w:sz="0" w:space="0" w:color="auto"/>
            <w:bottom w:val="none" w:sz="0" w:space="0" w:color="auto"/>
            <w:right w:val="none" w:sz="0" w:space="0" w:color="auto"/>
          </w:divBdr>
        </w:div>
      </w:divsChild>
    </w:div>
    <w:div w:id="312952862">
      <w:bodyDiv w:val="1"/>
      <w:marLeft w:val="0"/>
      <w:marRight w:val="0"/>
      <w:marTop w:val="0"/>
      <w:marBottom w:val="0"/>
      <w:divBdr>
        <w:top w:val="none" w:sz="0" w:space="0" w:color="auto"/>
        <w:left w:val="none" w:sz="0" w:space="0" w:color="auto"/>
        <w:bottom w:val="none" w:sz="0" w:space="0" w:color="auto"/>
        <w:right w:val="none" w:sz="0" w:space="0" w:color="auto"/>
      </w:divBdr>
      <w:divsChild>
        <w:div w:id="1660428614">
          <w:marLeft w:val="0"/>
          <w:marRight w:val="0"/>
          <w:marTop w:val="0"/>
          <w:marBottom w:val="0"/>
          <w:divBdr>
            <w:top w:val="none" w:sz="0" w:space="0" w:color="auto"/>
            <w:left w:val="none" w:sz="0" w:space="0" w:color="auto"/>
            <w:bottom w:val="none" w:sz="0" w:space="0" w:color="auto"/>
            <w:right w:val="none" w:sz="0" w:space="0" w:color="auto"/>
          </w:divBdr>
        </w:div>
      </w:divsChild>
    </w:div>
    <w:div w:id="316956168">
      <w:bodyDiv w:val="1"/>
      <w:marLeft w:val="0"/>
      <w:marRight w:val="0"/>
      <w:marTop w:val="0"/>
      <w:marBottom w:val="0"/>
      <w:divBdr>
        <w:top w:val="none" w:sz="0" w:space="0" w:color="auto"/>
        <w:left w:val="none" w:sz="0" w:space="0" w:color="auto"/>
        <w:bottom w:val="none" w:sz="0" w:space="0" w:color="auto"/>
        <w:right w:val="none" w:sz="0" w:space="0" w:color="auto"/>
      </w:divBdr>
    </w:div>
    <w:div w:id="354186388">
      <w:bodyDiv w:val="1"/>
      <w:marLeft w:val="0"/>
      <w:marRight w:val="0"/>
      <w:marTop w:val="0"/>
      <w:marBottom w:val="0"/>
      <w:divBdr>
        <w:top w:val="none" w:sz="0" w:space="0" w:color="auto"/>
        <w:left w:val="none" w:sz="0" w:space="0" w:color="auto"/>
        <w:bottom w:val="none" w:sz="0" w:space="0" w:color="auto"/>
        <w:right w:val="none" w:sz="0" w:space="0" w:color="auto"/>
      </w:divBdr>
    </w:div>
    <w:div w:id="363406025">
      <w:bodyDiv w:val="1"/>
      <w:marLeft w:val="0"/>
      <w:marRight w:val="0"/>
      <w:marTop w:val="0"/>
      <w:marBottom w:val="0"/>
      <w:divBdr>
        <w:top w:val="none" w:sz="0" w:space="0" w:color="auto"/>
        <w:left w:val="none" w:sz="0" w:space="0" w:color="auto"/>
        <w:bottom w:val="none" w:sz="0" w:space="0" w:color="auto"/>
        <w:right w:val="none" w:sz="0" w:space="0" w:color="auto"/>
      </w:divBdr>
      <w:divsChild>
        <w:div w:id="722023298">
          <w:marLeft w:val="0"/>
          <w:marRight w:val="0"/>
          <w:marTop w:val="0"/>
          <w:marBottom w:val="0"/>
          <w:divBdr>
            <w:top w:val="none" w:sz="0" w:space="0" w:color="auto"/>
            <w:left w:val="none" w:sz="0" w:space="0" w:color="auto"/>
            <w:bottom w:val="none" w:sz="0" w:space="0" w:color="auto"/>
            <w:right w:val="none" w:sz="0" w:space="0" w:color="auto"/>
          </w:divBdr>
          <w:divsChild>
            <w:div w:id="320695608">
              <w:marLeft w:val="0"/>
              <w:marRight w:val="0"/>
              <w:marTop w:val="0"/>
              <w:marBottom w:val="0"/>
              <w:divBdr>
                <w:top w:val="none" w:sz="0" w:space="0" w:color="auto"/>
                <w:left w:val="none" w:sz="0" w:space="0" w:color="auto"/>
                <w:bottom w:val="none" w:sz="0" w:space="0" w:color="auto"/>
                <w:right w:val="none" w:sz="0" w:space="0" w:color="auto"/>
              </w:divBdr>
              <w:divsChild>
                <w:div w:id="113907537">
                  <w:marLeft w:val="0"/>
                  <w:marRight w:val="0"/>
                  <w:marTop w:val="0"/>
                  <w:marBottom w:val="0"/>
                  <w:divBdr>
                    <w:top w:val="none" w:sz="0" w:space="0" w:color="auto"/>
                    <w:left w:val="none" w:sz="0" w:space="0" w:color="auto"/>
                    <w:bottom w:val="none" w:sz="0" w:space="0" w:color="auto"/>
                    <w:right w:val="none" w:sz="0" w:space="0" w:color="auto"/>
                  </w:divBdr>
                </w:div>
              </w:divsChild>
            </w:div>
            <w:div w:id="760566871">
              <w:marLeft w:val="0"/>
              <w:marRight w:val="0"/>
              <w:marTop w:val="0"/>
              <w:marBottom w:val="0"/>
              <w:divBdr>
                <w:top w:val="none" w:sz="0" w:space="0" w:color="auto"/>
                <w:left w:val="none" w:sz="0" w:space="0" w:color="auto"/>
                <w:bottom w:val="none" w:sz="0" w:space="0" w:color="auto"/>
                <w:right w:val="none" w:sz="0" w:space="0" w:color="auto"/>
              </w:divBdr>
            </w:div>
            <w:div w:id="1042359857">
              <w:marLeft w:val="0"/>
              <w:marRight w:val="0"/>
              <w:marTop w:val="0"/>
              <w:marBottom w:val="0"/>
              <w:divBdr>
                <w:top w:val="none" w:sz="0" w:space="0" w:color="auto"/>
                <w:left w:val="none" w:sz="0" w:space="0" w:color="auto"/>
                <w:bottom w:val="none" w:sz="0" w:space="0" w:color="auto"/>
                <w:right w:val="none" w:sz="0" w:space="0" w:color="auto"/>
              </w:divBdr>
            </w:div>
            <w:div w:id="817721893">
              <w:marLeft w:val="0"/>
              <w:marRight w:val="0"/>
              <w:marTop w:val="0"/>
              <w:marBottom w:val="0"/>
              <w:divBdr>
                <w:top w:val="none" w:sz="0" w:space="0" w:color="auto"/>
                <w:left w:val="none" w:sz="0" w:space="0" w:color="auto"/>
                <w:bottom w:val="none" w:sz="0" w:space="0" w:color="auto"/>
                <w:right w:val="none" w:sz="0" w:space="0" w:color="auto"/>
              </w:divBdr>
            </w:div>
            <w:div w:id="7909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3801">
      <w:bodyDiv w:val="1"/>
      <w:marLeft w:val="0"/>
      <w:marRight w:val="0"/>
      <w:marTop w:val="0"/>
      <w:marBottom w:val="0"/>
      <w:divBdr>
        <w:top w:val="none" w:sz="0" w:space="0" w:color="auto"/>
        <w:left w:val="none" w:sz="0" w:space="0" w:color="auto"/>
        <w:bottom w:val="none" w:sz="0" w:space="0" w:color="auto"/>
        <w:right w:val="none" w:sz="0" w:space="0" w:color="auto"/>
      </w:divBdr>
      <w:divsChild>
        <w:div w:id="179009451">
          <w:marLeft w:val="0"/>
          <w:marRight w:val="0"/>
          <w:marTop w:val="60"/>
          <w:marBottom w:val="0"/>
          <w:divBdr>
            <w:top w:val="none" w:sz="0" w:space="0" w:color="auto"/>
            <w:left w:val="none" w:sz="0" w:space="0" w:color="auto"/>
            <w:bottom w:val="none" w:sz="0" w:space="0" w:color="auto"/>
            <w:right w:val="none" w:sz="0" w:space="0" w:color="auto"/>
          </w:divBdr>
          <w:divsChild>
            <w:div w:id="1025054118">
              <w:marLeft w:val="0"/>
              <w:marRight w:val="0"/>
              <w:marTop w:val="0"/>
              <w:marBottom w:val="0"/>
              <w:divBdr>
                <w:top w:val="none" w:sz="0" w:space="0" w:color="auto"/>
                <w:left w:val="none" w:sz="0" w:space="0" w:color="auto"/>
                <w:bottom w:val="none" w:sz="0" w:space="0" w:color="auto"/>
                <w:right w:val="none" w:sz="0" w:space="0" w:color="auto"/>
              </w:divBdr>
              <w:divsChild>
                <w:div w:id="302272356">
                  <w:marLeft w:val="0"/>
                  <w:marRight w:val="0"/>
                  <w:marTop w:val="0"/>
                  <w:marBottom w:val="0"/>
                  <w:divBdr>
                    <w:top w:val="none" w:sz="0" w:space="0" w:color="auto"/>
                    <w:left w:val="none" w:sz="0" w:space="0" w:color="auto"/>
                    <w:bottom w:val="none" w:sz="0" w:space="0" w:color="auto"/>
                    <w:right w:val="none" w:sz="0" w:space="0" w:color="auto"/>
                  </w:divBdr>
                  <w:divsChild>
                    <w:div w:id="1199590809">
                      <w:marLeft w:val="0"/>
                      <w:marRight w:val="0"/>
                      <w:marTop w:val="0"/>
                      <w:marBottom w:val="0"/>
                      <w:divBdr>
                        <w:top w:val="none" w:sz="0" w:space="0" w:color="auto"/>
                        <w:left w:val="none" w:sz="0" w:space="0" w:color="auto"/>
                        <w:bottom w:val="none" w:sz="0" w:space="0" w:color="auto"/>
                        <w:right w:val="none" w:sz="0" w:space="0" w:color="auto"/>
                      </w:divBdr>
                      <w:divsChild>
                        <w:div w:id="11499088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05424">
      <w:bodyDiv w:val="1"/>
      <w:marLeft w:val="0"/>
      <w:marRight w:val="0"/>
      <w:marTop w:val="0"/>
      <w:marBottom w:val="0"/>
      <w:divBdr>
        <w:top w:val="none" w:sz="0" w:space="0" w:color="auto"/>
        <w:left w:val="none" w:sz="0" w:space="0" w:color="auto"/>
        <w:bottom w:val="none" w:sz="0" w:space="0" w:color="auto"/>
        <w:right w:val="none" w:sz="0" w:space="0" w:color="auto"/>
      </w:divBdr>
    </w:div>
    <w:div w:id="393620642">
      <w:bodyDiv w:val="1"/>
      <w:marLeft w:val="0"/>
      <w:marRight w:val="0"/>
      <w:marTop w:val="0"/>
      <w:marBottom w:val="0"/>
      <w:divBdr>
        <w:top w:val="none" w:sz="0" w:space="0" w:color="auto"/>
        <w:left w:val="none" w:sz="0" w:space="0" w:color="auto"/>
        <w:bottom w:val="none" w:sz="0" w:space="0" w:color="auto"/>
        <w:right w:val="none" w:sz="0" w:space="0" w:color="auto"/>
      </w:divBdr>
      <w:divsChild>
        <w:div w:id="323506923">
          <w:marLeft w:val="0"/>
          <w:marRight w:val="0"/>
          <w:marTop w:val="0"/>
          <w:marBottom w:val="0"/>
          <w:divBdr>
            <w:top w:val="none" w:sz="0" w:space="0" w:color="auto"/>
            <w:left w:val="none" w:sz="0" w:space="0" w:color="auto"/>
            <w:bottom w:val="none" w:sz="0" w:space="0" w:color="auto"/>
            <w:right w:val="none" w:sz="0" w:space="0" w:color="auto"/>
          </w:divBdr>
          <w:divsChild>
            <w:div w:id="1511022062">
              <w:marLeft w:val="0"/>
              <w:marRight w:val="0"/>
              <w:marTop w:val="0"/>
              <w:marBottom w:val="0"/>
              <w:divBdr>
                <w:top w:val="none" w:sz="0" w:space="0" w:color="auto"/>
                <w:left w:val="none" w:sz="0" w:space="0" w:color="auto"/>
                <w:bottom w:val="none" w:sz="0" w:space="0" w:color="auto"/>
                <w:right w:val="none" w:sz="0" w:space="0" w:color="auto"/>
              </w:divBdr>
              <w:divsChild>
                <w:div w:id="3353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5814">
      <w:bodyDiv w:val="1"/>
      <w:marLeft w:val="0"/>
      <w:marRight w:val="0"/>
      <w:marTop w:val="0"/>
      <w:marBottom w:val="0"/>
      <w:divBdr>
        <w:top w:val="none" w:sz="0" w:space="0" w:color="auto"/>
        <w:left w:val="none" w:sz="0" w:space="0" w:color="auto"/>
        <w:bottom w:val="none" w:sz="0" w:space="0" w:color="auto"/>
        <w:right w:val="none" w:sz="0" w:space="0" w:color="auto"/>
      </w:divBdr>
      <w:divsChild>
        <w:div w:id="637565194">
          <w:marLeft w:val="0"/>
          <w:marRight w:val="0"/>
          <w:marTop w:val="0"/>
          <w:marBottom w:val="0"/>
          <w:divBdr>
            <w:top w:val="none" w:sz="0" w:space="0" w:color="auto"/>
            <w:left w:val="none" w:sz="0" w:space="0" w:color="auto"/>
            <w:bottom w:val="none" w:sz="0" w:space="0" w:color="auto"/>
            <w:right w:val="none" w:sz="0" w:space="0" w:color="auto"/>
          </w:divBdr>
          <w:divsChild>
            <w:div w:id="2074115670">
              <w:marLeft w:val="0"/>
              <w:marRight w:val="0"/>
              <w:marTop w:val="0"/>
              <w:marBottom w:val="0"/>
              <w:divBdr>
                <w:top w:val="none" w:sz="0" w:space="0" w:color="auto"/>
                <w:left w:val="none" w:sz="0" w:space="0" w:color="auto"/>
                <w:bottom w:val="none" w:sz="0" w:space="0" w:color="auto"/>
                <w:right w:val="none" w:sz="0" w:space="0" w:color="auto"/>
              </w:divBdr>
              <w:divsChild>
                <w:div w:id="1173842427">
                  <w:marLeft w:val="0"/>
                  <w:marRight w:val="0"/>
                  <w:marTop w:val="0"/>
                  <w:marBottom w:val="0"/>
                  <w:divBdr>
                    <w:top w:val="none" w:sz="0" w:space="0" w:color="auto"/>
                    <w:left w:val="none" w:sz="0" w:space="0" w:color="auto"/>
                    <w:bottom w:val="none" w:sz="0" w:space="0" w:color="auto"/>
                    <w:right w:val="none" w:sz="0" w:space="0" w:color="auto"/>
                  </w:divBdr>
                </w:div>
              </w:divsChild>
            </w:div>
            <w:div w:id="1630016457">
              <w:marLeft w:val="0"/>
              <w:marRight w:val="0"/>
              <w:marTop w:val="0"/>
              <w:marBottom w:val="0"/>
              <w:divBdr>
                <w:top w:val="none" w:sz="0" w:space="0" w:color="auto"/>
                <w:left w:val="none" w:sz="0" w:space="0" w:color="auto"/>
                <w:bottom w:val="none" w:sz="0" w:space="0" w:color="auto"/>
                <w:right w:val="none" w:sz="0" w:space="0" w:color="auto"/>
              </w:divBdr>
            </w:div>
            <w:div w:id="542060190">
              <w:marLeft w:val="0"/>
              <w:marRight w:val="0"/>
              <w:marTop w:val="0"/>
              <w:marBottom w:val="0"/>
              <w:divBdr>
                <w:top w:val="none" w:sz="0" w:space="0" w:color="auto"/>
                <w:left w:val="none" w:sz="0" w:space="0" w:color="auto"/>
                <w:bottom w:val="none" w:sz="0" w:space="0" w:color="auto"/>
                <w:right w:val="none" w:sz="0" w:space="0" w:color="auto"/>
              </w:divBdr>
            </w:div>
            <w:div w:id="1804957853">
              <w:marLeft w:val="0"/>
              <w:marRight w:val="0"/>
              <w:marTop w:val="0"/>
              <w:marBottom w:val="0"/>
              <w:divBdr>
                <w:top w:val="none" w:sz="0" w:space="0" w:color="auto"/>
                <w:left w:val="none" w:sz="0" w:space="0" w:color="auto"/>
                <w:bottom w:val="none" w:sz="0" w:space="0" w:color="auto"/>
                <w:right w:val="none" w:sz="0" w:space="0" w:color="auto"/>
              </w:divBdr>
            </w:div>
            <w:div w:id="13837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0050">
      <w:bodyDiv w:val="1"/>
      <w:marLeft w:val="0"/>
      <w:marRight w:val="0"/>
      <w:marTop w:val="0"/>
      <w:marBottom w:val="0"/>
      <w:divBdr>
        <w:top w:val="none" w:sz="0" w:space="0" w:color="auto"/>
        <w:left w:val="none" w:sz="0" w:space="0" w:color="auto"/>
        <w:bottom w:val="none" w:sz="0" w:space="0" w:color="auto"/>
        <w:right w:val="none" w:sz="0" w:space="0" w:color="auto"/>
      </w:divBdr>
    </w:div>
    <w:div w:id="449010602">
      <w:bodyDiv w:val="1"/>
      <w:marLeft w:val="0"/>
      <w:marRight w:val="0"/>
      <w:marTop w:val="0"/>
      <w:marBottom w:val="0"/>
      <w:divBdr>
        <w:top w:val="none" w:sz="0" w:space="0" w:color="auto"/>
        <w:left w:val="none" w:sz="0" w:space="0" w:color="auto"/>
        <w:bottom w:val="none" w:sz="0" w:space="0" w:color="auto"/>
        <w:right w:val="none" w:sz="0" w:space="0" w:color="auto"/>
      </w:divBdr>
      <w:divsChild>
        <w:div w:id="705373791">
          <w:marLeft w:val="0"/>
          <w:marRight w:val="0"/>
          <w:marTop w:val="0"/>
          <w:marBottom w:val="0"/>
          <w:divBdr>
            <w:top w:val="none" w:sz="0" w:space="0" w:color="auto"/>
            <w:left w:val="none" w:sz="0" w:space="0" w:color="auto"/>
            <w:bottom w:val="none" w:sz="0" w:space="0" w:color="auto"/>
            <w:right w:val="none" w:sz="0" w:space="0" w:color="auto"/>
          </w:divBdr>
        </w:div>
        <w:div w:id="204372881">
          <w:marLeft w:val="0"/>
          <w:marRight w:val="0"/>
          <w:marTop w:val="0"/>
          <w:marBottom w:val="0"/>
          <w:divBdr>
            <w:top w:val="none" w:sz="0" w:space="0" w:color="auto"/>
            <w:left w:val="none" w:sz="0" w:space="0" w:color="auto"/>
            <w:bottom w:val="none" w:sz="0" w:space="0" w:color="auto"/>
            <w:right w:val="none" w:sz="0" w:space="0" w:color="auto"/>
          </w:divBdr>
        </w:div>
      </w:divsChild>
    </w:div>
    <w:div w:id="450053641">
      <w:bodyDiv w:val="1"/>
      <w:marLeft w:val="0"/>
      <w:marRight w:val="0"/>
      <w:marTop w:val="0"/>
      <w:marBottom w:val="0"/>
      <w:divBdr>
        <w:top w:val="none" w:sz="0" w:space="0" w:color="auto"/>
        <w:left w:val="none" w:sz="0" w:space="0" w:color="auto"/>
        <w:bottom w:val="none" w:sz="0" w:space="0" w:color="auto"/>
        <w:right w:val="none" w:sz="0" w:space="0" w:color="auto"/>
      </w:divBdr>
      <w:divsChild>
        <w:div w:id="2121408591">
          <w:marLeft w:val="0"/>
          <w:marRight w:val="0"/>
          <w:marTop w:val="0"/>
          <w:marBottom w:val="0"/>
          <w:divBdr>
            <w:top w:val="none" w:sz="0" w:space="0" w:color="auto"/>
            <w:left w:val="none" w:sz="0" w:space="0" w:color="auto"/>
            <w:bottom w:val="none" w:sz="0" w:space="0" w:color="auto"/>
            <w:right w:val="none" w:sz="0" w:space="0" w:color="auto"/>
          </w:divBdr>
        </w:div>
        <w:div w:id="271936874">
          <w:marLeft w:val="0"/>
          <w:marRight w:val="0"/>
          <w:marTop w:val="0"/>
          <w:marBottom w:val="0"/>
          <w:divBdr>
            <w:top w:val="none" w:sz="0" w:space="0" w:color="auto"/>
            <w:left w:val="none" w:sz="0" w:space="0" w:color="auto"/>
            <w:bottom w:val="none" w:sz="0" w:space="0" w:color="auto"/>
            <w:right w:val="none" w:sz="0" w:space="0" w:color="auto"/>
          </w:divBdr>
        </w:div>
      </w:divsChild>
    </w:div>
    <w:div w:id="475991183">
      <w:bodyDiv w:val="1"/>
      <w:marLeft w:val="0"/>
      <w:marRight w:val="0"/>
      <w:marTop w:val="0"/>
      <w:marBottom w:val="0"/>
      <w:divBdr>
        <w:top w:val="none" w:sz="0" w:space="0" w:color="auto"/>
        <w:left w:val="none" w:sz="0" w:space="0" w:color="auto"/>
        <w:bottom w:val="none" w:sz="0" w:space="0" w:color="auto"/>
        <w:right w:val="none" w:sz="0" w:space="0" w:color="auto"/>
      </w:divBdr>
    </w:div>
    <w:div w:id="498889387">
      <w:bodyDiv w:val="1"/>
      <w:marLeft w:val="0"/>
      <w:marRight w:val="0"/>
      <w:marTop w:val="0"/>
      <w:marBottom w:val="0"/>
      <w:divBdr>
        <w:top w:val="none" w:sz="0" w:space="0" w:color="auto"/>
        <w:left w:val="none" w:sz="0" w:space="0" w:color="auto"/>
        <w:bottom w:val="none" w:sz="0" w:space="0" w:color="auto"/>
        <w:right w:val="none" w:sz="0" w:space="0" w:color="auto"/>
      </w:divBdr>
      <w:divsChild>
        <w:div w:id="332494156">
          <w:marLeft w:val="0"/>
          <w:marRight w:val="0"/>
          <w:marTop w:val="0"/>
          <w:marBottom w:val="0"/>
          <w:divBdr>
            <w:top w:val="none" w:sz="0" w:space="0" w:color="auto"/>
            <w:left w:val="none" w:sz="0" w:space="0" w:color="auto"/>
            <w:bottom w:val="none" w:sz="0" w:space="0" w:color="auto"/>
            <w:right w:val="none" w:sz="0" w:space="0" w:color="auto"/>
          </w:divBdr>
        </w:div>
      </w:divsChild>
    </w:div>
    <w:div w:id="504440200">
      <w:bodyDiv w:val="1"/>
      <w:marLeft w:val="0"/>
      <w:marRight w:val="0"/>
      <w:marTop w:val="0"/>
      <w:marBottom w:val="0"/>
      <w:divBdr>
        <w:top w:val="none" w:sz="0" w:space="0" w:color="auto"/>
        <w:left w:val="none" w:sz="0" w:space="0" w:color="auto"/>
        <w:bottom w:val="none" w:sz="0" w:space="0" w:color="auto"/>
        <w:right w:val="none" w:sz="0" w:space="0" w:color="auto"/>
      </w:divBdr>
      <w:divsChild>
        <w:div w:id="1194345588">
          <w:marLeft w:val="0"/>
          <w:marRight w:val="0"/>
          <w:marTop w:val="0"/>
          <w:marBottom w:val="0"/>
          <w:divBdr>
            <w:top w:val="none" w:sz="0" w:space="0" w:color="auto"/>
            <w:left w:val="none" w:sz="0" w:space="0" w:color="auto"/>
            <w:bottom w:val="none" w:sz="0" w:space="0" w:color="auto"/>
            <w:right w:val="none" w:sz="0" w:space="0" w:color="auto"/>
          </w:divBdr>
        </w:div>
        <w:div w:id="853500939">
          <w:marLeft w:val="0"/>
          <w:marRight w:val="0"/>
          <w:marTop w:val="0"/>
          <w:marBottom w:val="0"/>
          <w:divBdr>
            <w:top w:val="none" w:sz="0" w:space="0" w:color="auto"/>
            <w:left w:val="none" w:sz="0" w:space="0" w:color="auto"/>
            <w:bottom w:val="none" w:sz="0" w:space="0" w:color="auto"/>
            <w:right w:val="none" w:sz="0" w:space="0" w:color="auto"/>
          </w:divBdr>
        </w:div>
        <w:div w:id="656375225">
          <w:marLeft w:val="0"/>
          <w:marRight w:val="0"/>
          <w:marTop w:val="0"/>
          <w:marBottom w:val="0"/>
          <w:divBdr>
            <w:top w:val="none" w:sz="0" w:space="0" w:color="auto"/>
            <w:left w:val="none" w:sz="0" w:space="0" w:color="auto"/>
            <w:bottom w:val="none" w:sz="0" w:space="0" w:color="auto"/>
            <w:right w:val="none" w:sz="0" w:space="0" w:color="auto"/>
          </w:divBdr>
        </w:div>
        <w:div w:id="1496991499">
          <w:marLeft w:val="0"/>
          <w:marRight w:val="0"/>
          <w:marTop w:val="0"/>
          <w:marBottom w:val="0"/>
          <w:divBdr>
            <w:top w:val="none" w:sz="0" w:space="0" w:color="auto"/>
            <w:left w:val="none" w:sz="0" w:space="0" w:color="auto"/>
            <w:bottom w:val="none" w:sz="0" w:space="0" w:color="auto"/>
            <w:right w:val="none" w:sz="0" w:space="0" w:color="auto"/>
          </w:divBdr>
        </w:div>
        <w:div w:id="2127694109">
          <w:marLeft w:val="0"/>
          <w:marRight w:val="0"/>
          <w:marTop w:val="0"/>
          <w:marBottom w:val="0"/>
          <w:divBdr>
            <w:top w:val="none" w:sz="0" w:space="0" w:color="auto"/>
            <w:left w:val="none" w:sz="0" w:space="0" w:color="auto"/>
            <w:bottom w:val="none" w:sz="0" w:space="0" w:color="auto"/>
            <w:right w:val="none" w:sz="0" w:space="0" w:color="auto"/>
          </w:divBdr>
        </w:div>
      </w:divsChild>
    </w:div>
    <w:div w:id="516042440">
      <w:bodyDiv w:val="1"/>
      <w:marLeft w:val="0"/>
      <w:marRight w:val="0"/>
      <w:marTop w:val="0"/>
      <w:marBottom w:val="0"/>
      <w:divBdr>
        <w:top w:val="none" w:sz="0" w:space="0" w:color="auto"/>
        <w:left w:val="none" w:sz="0" w:space="0" w:color="auto"/>
        <w:bottom w:val="none" w:sz="0" w:space="0" w:color="auto"/>
        <w:right w:val="none" w:sz="0" w:space="0" w:color="auto"/>
      </w:divBdr>
      <w:divsChild>
        <w:div w:id="181667776">
          <w:marLeft w:val="0"/>
          <w:marRight w:val="0"/>
          <w:marTop w:val="0"/>
          <w:marBottom w:val="0"/>
          <w:divBdr>
            <w:top w:val="none" w:sz="0" w:space="0" w:color="auto"/>
            <w:left w:val="none" w:sz="0" w:space="0" w:color="auto"/>
            <w:bottom w:val="none" w:sz="0" w:space="0" w:color="auto"/>
            <w:right w:val="none" w:sz="0" w:space="0" w:color="auto"/>
          </w:divBdr>
        </w:div>
        <w:div w:id="1781222540">
          <w:marLeft w:val="0"/>
          <w:marRight w:val="0"/>
          <w:marTop w:val="0"/>
          <w:marBottom w:val="0"/>
          <w:divBdr>
            <w:top w:val="none" w:sz="0" w:space="0" w:color="auto"/>
            <w:left w:val="none" w:sz="0" w:space="0" w:color="auto"/>
            <w:bottom w:val="none" w:sz="0" w:space="0" w:color="auto"/>
            <w:right w:val="none" w:sz="0" w:space="0" w:color="auto"/>
          </w:divBdr>
        </w:div>
        <w:div w:id="946809500">
          <w:marLeft w:val="0"/>
          <w:marRight w:val="0"/>
          <w:marTop w:val="0"/>
          <w:marBottom w:val="0"/>
          <w:divBdr>
            <w:top w:val="none" w:sz="0" w:space="0" w:color="auto"/>
            <w:left w:val="none" w:sz="0" w:space="0" w:color="auto"/>
            <w:bottom w:val="none" w:sz="0" w:space="0" w:color="auto"/>
            <w:right w:val="none" w:sz="0" w:space="0" w:color="auto"/>
          </w:divBdr>
        </w:div>
        <w:div w:id="952056760">
          <w:marLeft w:val="0"/>
          <w:marRight w:val="0"/>
          <w:marTop w:val="0"/>
          <w:marBottom w:val="0"/>
          <w:divBdr>
            <w:top w:val="none" w:sz="0" w:space="0" w:color="auto"/>
            <w:left w:val="none" w:sz="0" w:space="0" w:color="auto"/>
            <w:bottom w:val="none" w:sz="0" w:space="0" w:color="auto"/>
            <w:right w:val="none" w:sz="0" w:space="0" w:color="auto"/>
          </w:divBdr>
        </w:div>
      </w:divsChild>
    </w:div>
    <w:div w:id="521167189">
      <w:bodyDiv w:val="1"/>
      <w:marLeft w:val="0"/>
      <w:marRight w:val="0"/>
      <w:marTop w:val="0"/>
      <w:marBottom w:val="0"/>
      <w:divBdr>
        <w:top w:val="none" w:sz="0" w:space="0" w:color="auto"/>
        <w:left w:val="none" w:sz="0" w:space="0" w:color="auto"/>
        <w:bottom w:val="none" w:sz="0" w:space="0" w:color="auto"/>
        <w:right w:val="none" w:sz="0" w:space="0" w:color="auto"/>
      </w:divBdr>
      <w:divsChild>
        <w:div w:id="1879200536">
          <w:marLeft w:val="0"/>
          <w:marRight w:val="0"/>
          <w:marTop w:val="0"/>
          <w:marBottom w:val="0"/>
          <w:divBdr>
            <w:top w:val="none" w:sz="0" w:space="0" w:color="auto"/>
            <w:left w:val="none" w:sz="0" w:space="0" w:color="auto"/>
            <w:bottom w:val="none" w:sz="0" w:space="0" w:color="auto"/>
            <w:right w:val="none" w:sz="0" w:space="0" w:color="auto"/>
          </w:divBdr>
        </w:div>
      </w:divsChild>
    </w:div>
    <w:div w:id="521817420">
      <w:bodyDiv w:val="1"/>
      <w:marLeft w:val="0"/>
      <w:marRight w:val="0"/>
      <w:marTop w:val="0"/>
      <w:marBottom w:val="0"/>
      <w:divBdr>
        <w:top w:val="none" w:sz="0" w:space="0" w:color="auto"/>
        <w:left w:val="none" w:sz="0" w:space="0" w:color="auto"/>
        <w:bottom w:val="none" w:sz="0" w:space="0" w:color="auto"/>
        <w:right w:val="none" w:sz="0" w:space="0" w:color="auto"/>
      </w:divBdr>
      <w:divsChild>
        <w:div w:id="869027453">
          <w:marLeft w:val="0"/>
          <w:marRight w:val="0"/>
          <w:marTop w:val="0"/>
          <w:marBottom w:val="0"/>
          <w:divBdr>
            <w:top w:val="none" w:sz="0" w:space="0" w:color="auto"/>
            <w:left w:val="none" w:sz="0" w:space="0" w:color="auto"/>
            <w:bottom w:val="none" w:sz="0" w:space="0" w:color="auto"/>
            <w:right w:val="none" w:sz="0" w:space="0" w:color="auto"/>
          </w:divBdr>
        </w:div>
      </w:divsChild>
    </w:div>
    <w:div w:id="561402833">
      <w:bodyDiv w:val="1"/>
      <w:marLeft w:val="0"/>
      <w:marRight w:val="0"/>
      <w:marTop w:val="0"/>
      <w:marBottom w:val="0"/>
      <w:divBdr>
        <w:top w:val="none" w:sz="0" w:space="0" w:color="auto"/>
        <w:left w:val="none" w:sz="0" w:space="0" w:color="auto"/>
        <w:bottom w:val="none" w:sz="0" w:space="0" w:color="auto"/>
        <w:right w:val="none" w:sz="0" w:space="0" w:color="auto"/>
      </w:divBdr>
    </w:div>
    <w:div w:id="567884562">
      <w:bodyDiv w:val="1"/>
      <w:marLeft w:val="0"/>
      <w:marRight w:val="0"/>
      <w:marTop w:val="0"/>
      <w:marBottom w:val="0"/>
      <w:divBdr>
        <w:top w:val="none" w:sz="0" w:space="0" w:color="auto"/>
        <w:left w:val="none" w:sz="0" w:space="0" w:color="auto"/>
        <w:bottom w:val="none" w:sz="0" w:space="0" w:color="auto"/>
        <w:right w:val="none" w:sz="0" w:space="0" w:color="auto"/>
      </w:divBdr>
    </w:div>
    <w:div w:id="573786235">
      <w:bodyDiv w:val="1"/>
      <w:marLeft w:val="0"/>
      <w:marRight w:val="0"/>
      <w:marTop w:val="0"/>
      <w:marBottom w:val="0"/>
      <w:divBdr>
        <w:top w:val="none" w:sz="0" w:space="0" w:color="auto"/>
        <w:left w:val="none" w:sz="0" w:space="0" w:color="auto"/>
        <w:bottom w:val="none" w:sz="0" w:space="0" w:color="auto"/>
        <w:right w:val="none" w:sz="0" w:space="0" w:color="auto"/>
      </w:divBdr>
      <w:divsChild>
        <w:div w:id="2052269256">
          <w:marLeft w:val="0"/>
          <w:marRight w:val="0"/>
          <w:marTop w:val="0"/>
          <w:marBottom w:val="0"/>
          <w:divBdr>
            <w:top w:val="none" w:sz="0" w:space="0" w:color="auto"/>
            <w:left w:val="none" w:sz="0" w:space="0" w:color="auto"/>
            <w:bottom w:val="none" w:sz="0" w:space="0" w:color="auto"/>
            <w:right w:val="none" w:sz="0" w:space="0" w:color="auto"/>
          </w:divBdr>
        </w:div>
      </w:divsChild>
    </w:div>
    <w:div w:id="576210464">
      <w:bodyDiv w:val="1"/>
      <w:marLeft w:val="0"/>
      <w:marRight w:val="0"/>
      <w:marTop w:val="0"/>
      <w:marBottom w:val="0"/>
      <w:divBdr>
        <w:top w:val="none" w:sz="0" w:space="0" w:color="auto"/>
        <w:left w:val="none" w:sz="0" w:space="0" w:color="auto"/>
        <w:bottom w:val="none" w:sz="0" w:space="0" w:color="auto"/>
        <w:right w:val="none" w:sz="0" w:space="0" w:color="auto"/>
      </w:divBdr>
    </w:div>
    <w:div w:id="588390381">
      <w:bodyDiv w:val="1"/>
      <w:marLeft w:val="0"/>
      <w:marRight w:val="0"/>
      <w:marTop w:val="0"/>
      <w:marBottom w:val="0"/>
      <w:divBdr>
        <w:top w:val="none" w:sz="0" w:space="0" w:color="auto"/>
        <w:left w:val="none" w:sz="0" w:space="0" w:color="auto"/>
        <w:bottom w:val="none" w:sz="0" w:space="0" w:color="auto"/>
        <w:right w:val="none" w:sz="0" w:space="0" w:color="auto"/>
      </w:divBdr>
      <w:divsChild>
        <w:div w:id="173616889">
          <w:marLeft w:val="0"/>
          <w:marRight w:val="0"/>
          <w:marTop w:val="0"/>
          <w:marBottom w:val="0"/>
          <w:divBdr>
            <w:top w:val="none" w:sz="0" w:space="0" w:color="auto"/>
            <w:left w:val="none" w:sz="0" w:space="0" w:color="auto"/>
            <w:bottom w:val="none" w:sz="0" w:space="0" w:color="auto"/>
            <w:right w:val="none" w:sz="0" w:space="0" w:color="auto"/>
          </w:divBdr>
          <w:divsChild>
            <w:div w:id="1767264049">
              <w:marLeft w:val="0"/>
              <w:marRight w:val="0"/>
              <w:marTop w:val="0"/>
              <w:marBottom w:val="0"/>
              <w:divBdr>
                <w:top w:val="none" w:sz="0" w:space="0" w:color="auto"/>
                <w:left w:val="none" w:sz="0" w:space="0" w:color="auto"/>
                <w:bottom w:val="none" w:sz="0" w:space="0" w:color="auto"/>
                <w:right w:val="none" w:sz="0" w:space="0" w:color="auto"/>
              </w:divBdr>
              <w:divsChild>
                <w:div w:id="470053085">
                  <w:marLeft w:val="0"/>
                  <w:marRight w:val="0"/>
                  <w:marTop w:val="0"/>
                  <w:marBottom w:val="0"/>
                  <w:divBdr>
                    <w:top w:val="none" w:sz="0" w:space="0" w:color="auto"/>
                    <w:left w:val="none" w:sz="0" w:space="0" w:color="auto"/>
                    <w:bottom w:val="none" w:sz="0" w:space="0" w:color="auto"/>
                    <w:right w:val="none" w:sz="0" w:space="0" w:color="auto"/>
                  </w:divBdr>
                </w:div>
              </w:divsChild>
            </w:div>
            <w:div w:id="804545048">
              <w:marLeft w:val="0"/>
              <w:marRight w:val="0"/>
              <w:marTop w:val="0"/>
              <w:marBottom w:val="0"/>
              <w:divBdr>
                <w:top w:val="none" w:sz="0" w:space="0" w:color="auto"/>
                <w:left w:val="none" w:sz="0" w:space="0" w:color="auto"/>
                <w:bottom w:val="none" w:sz="0" w:space="0" w:color="auto"/>
                <w:right w:val="none" w:sz="0" w:space="0" w:color="auto"/>
              </w:divBdr>
            </w:div>
            <w:div w:id="1768841065">
              <w:marLeft w:val="0"/>
              <w:marRight w:val="0"/>
              <w:marTop w:val="0"/>
              <w:marBottom w:val="0"/>
              <w:divBdr>
                <w:top w:val="none" w:sz="0" w:space="0" w:color="auto"/>
                <w:left w:val="none" w:sz="0" w:space="0" w:color="auto"/>
                <w:bottom w:val="none" w:sz="0" w:space="0" w:color="auto"/>
                <w:right w:val="none" w:sz="0" w:space="0" w:color="auto"/>
              </w:divBdr>
            </w:div>
            <w:div w:id="1591966835">
              <w:marLeft w:val="0"/>
              <w:marRight w:val="0"/>
              <w:marTop w:val="0"/>
              <w:marBottom w:val="0"/>
              <w:divBdr>
                <w:top w:val="none" w:sz="0" w:space="0" w:color="auto"/>
                <w:left w:val="none" w:sz="0" w:space="0" w:color="auto"/>
                <w:bottom w:val="none" w:sz="0" w:space="0" w:color="auto"/>
                <w:right w:val="none" w:sz="0" w:space="0" w:color="auto"/>
              </w:divBdr>
            </w:div>
            <w:div w:id="550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937">
      <w:bodyDiv w:val="1"/>
      <w:marLeft w:val="0"/>
      <w:marRight w:val="0"/>
      <w:marTop w:val="0"/>
      <w:marBottom w:val="0"/>
      <w:divBdr>
        <w:top w:val="none" w:sz="0" w:space="0" w:color="auto"/>
        <w:left w:val="none" w:sz="0" w:space="0" w:color="auto"/>
        <w:bottom w:val="none" w:sz="0" w:space="0" w:color="auto"/>
        <w:right w:val="none" w:sz="0" w:space="0" w:color="auto"/>
      </w:divBdr>
    </w:div>
    <w:div w:id="610942725">
      <w:bodyDiv w:val="1"/>
      <w:marLeft w:val="0"/>
      <w:marRight w:val="0"/>
      <w:marTop w:val="0"/>
      <w:marBottom w:val="0"/>
      <w:divBdr>
        <w:top w:val="none" w:sz="0" w:space="0" w:color="auto"/>
        <w:left w:val="none" w:sz="0" w:space="0" w:color="auto"/>
        <w:bottom w:val="none" w:sz="0" w:space="0" w:color="auto"/>
        <w:right w:val="none" w:sz="0" w:space="0" w:color="auto"/>
      </w:divBdr>
      <w:divsChild>
        <w:div w:id="270164309">
          <w:marLeft w:val="0"/>
          <w:marRight w:val="0"/>
          <w:marTop w:val="0"/>
          <w:marBottom w:val="0"/>
          <w:divBdr>
            <w:top w:val="none" w:sz="0" w:space="0" w:color="auto"/>
            <w:left w:val="none" w:sz="0" w:space="0" w:color="auto"/>
            <w:bottom w:val="none" w:sz="0" w:space="0" w:color="auto"/>
            <w:right w:val="none" w:sz="0" w:space="0" w:color="auto"/>
          </w:divBdr>
        </w:div>
        <w:div w:id="775176152">
          <w:marLeft w:val="0"/>
          <w:marRight w:val="0"/>
          <w:marTop w:val="0"/>
          <w:marBottom w:val="0"/>
          <w:divBdr>
            <w:top w:val="none" w:sz="0" w:space="0" w:color="auto"/>
            <w:left w:val="none" w:sz="0" w:space="0" w:color="auto"/>
            <w:bottom w:val="none" w:sz="0" w:space="0" w:color="auto"/>
            <w:right w:val="none" w:sz="0" w:space="0" w:color="auto"/>
          </w:divBdr>
        </w:div>
        <w:div w:id="1458453111">
          <w:marLeft w:val="0"/>
          <w:marRight w:val="0"/>
          <w:marTop w:val="0"/>
          <w:marBottom w:val="0"/>
          <w:divBdr>
            <w:top w:val="none" w:sz="0" w:space="0" w:color="auto"/>
            <w:left w:val="none" w:sz="0" w:space="0" w:color="auto"/>
            <w:bottom w:val="none" w:sz="0" w:space="0" w:color="auto"/>
            <w:right w:val="none" w:sz="0" w:space="0" w:color="auto"/>
          </w:divBdr>
        </w:div>
        <w:div w:id="1508983196">
          <w:marLeft w:val="0"/>
          <w:marRight w:val="0"/>
          <w:marTop w:val="0"/>
          <w:marBottom w:val="0"/>
          <w:divBdr>
            <w:top w:val="none" w:sz="0" w:space="0" w:color="auto"/>
            <w:left w:val="none" w:sz="0" w:space="0" w:color="auto"/>
            <w:bottom w:val="none" w:sz="0" w:space="0" w:color="auto"/>
            <w:right w:val="none" w:sz="0" w:space="0" w:color="auto"/>
          </w:divBdr>
        </w:div>
      </w:divsChild>
    </w:div>
    <w:div w:id="6121282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790">
          <w:marLeft w:val="0"/>
          <w:marRight w:val="0"/>
          <w:marTop w:val="0"/>
          <w:marBottom w:val="0"/>
          <w:divBdr>
            <w:top w:val="none" w:sz="0" w:space="0" w:color="auto"/>
            <w:left w:val="none" w:sz="0" w:space="0" w:color="auto"/>
            <w:bottom w:val="none" w:sz="0" w:space="0" w:color="auto"/>
            <w:right w:val="none" w:sz="0" w:space="0" w:color="auto"/>
          </w:divBdr>
        </w:div>
        <w:div w:id="1323269272">
          <w:marLeft w:val="0"/>
          <w:marRight w:val="0"/>
          <w:marTop w:val="0"/>
          <w:marBottom w:val="0"/>
          <w:divBdr>
            <w:top w:val="none" w:sz="0" w:space="0" w:color="auto"/>
            <w:left w:val="none" w:sz="0" w:space="0" w:color="auto"/>
            <w:bottom w:val="none" w:sz="0" w:space="0" w:color="auto"/>
            <w:right w:val="none" w:sz="0" w:space="0" w:color="auto"/>
          </w:divBdr>
        </w:div>
        <w:div w:id="137847267">
          <w:marLeft w:val="0"/>
          <w:marRight w:val="0"/>
          <w:marTop w:val="0"/>
          <w:marBottom w:val="0"/>
          <w:divBdr>
            <w:top w:val="none" w:sz="0" w:space="0" w:color="auto"/>
            <w:left w:val="none" w:sz="0" w:space="0" w:color="auto"/>
            <w:bottom w:val="none" w:sz="0" w:space="0" w:color="auto"/>
            <w:right w:val="none" w:sz="0" w:space="0" w:color="auto"/>
          </w:divBdr>
        </w:div>
        <w:div w:id="1680422739">
          <w:marLeft w:val="0"/>
          <w:marRight w:val="0"/>
          <w:marTop w:val="0"/>
          <w:marBottom w:val="0"/>
          <w:divBdr>
            <w:top w:val="none" w:sz="0" w:space="0" w:color="auto"/>
            <w:left w:val="none" w:sz="0" w:space="0" w:color="auto"/>
            <w:bottom w:val="none" w:sz="0" w:space="0" w:color="auto"/>
            <w:right w:val="none" w:sz="0" w:space="0" w:color="auto"/>
          </w:divBdr>
        </w:div>
        <w:div w:id="208809181">
          <w:marLeft w:val="0"/>
          <w:marRight w:val="0"/>
          <w:marTop w:val="0"/>
          <w:marBottom w:val="0"/>
          <w:divBdr>
            <w:top w:val="none" w:sz="0" w:space="0" w:color="auto"/>
            <w:left w:val="none" w:sz="0" w:space="0" w:color="auto"/>
            <w:bottom w:val="none" w:sz="0" w:space="0" w:color="auto"/>
            <w:right w:val="none" w:sz="0" w:space="0" w:color="auto"/>
          </w:divBdr>
          <w:divsChild>
            <w:div w:id="22557005">
              <w:marLeft w:val="0"/>
              <w:marRight w:val="0"/>
              <w:marTop w:val="0"/>
              <w:marBottom w:val="0"/>
              <w:divBdr>
                <w:top w:val="none" w:sz="0" w:space="0" w:color="auto"/>
                <w:left w:val="none" w:sz="0" w:space="0" w:color="auto"/>
                <w:bottom w:val="none" w:sz="0" w:space="0" w:color="auto"/>
                <w:right w:val="none" w:sz="0" w:space="0" w:color="auto"/>
              </w:divBdr>
            </w:div>
            <w:div w:id="17253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3975">
      <w:bodyDiv w:val="1"/>
      <w:marLeft w:val="0"/>
      <w:marRight w:val="0"/>
      <w:marTop w:val="0"/>
      <w:marBottom w:val="0"/>
      <w:divBdr>
        <w:top w:val="none" w:sz="0" w:space="0" w:color="auto"/>
        <w:left w:val="none" w:sz="0" w:space="0" w:color="auto"/>
        <w:bottom w:val="none" w:sz="0" w:space="0" w:color="auto"/>
        <w:right w:val="none" w:sz="0" w:space="0" w:color="auto"/>
      </w:divBdr>
    </w:div>
    <w:div w:id="617684135">
      <w:bodyDiv w:val="1"/>
      <w:marLeft w:val="0"/>
      <w:marRight w:val="0"/>
      <w:marTop w:val="0"/>
      <w:marBottom w:val="0"/>
      <w:divBdr>
        <w:top w:val="none" w:sz="0" w:space="0" w:color="auto"/>
        <w:left w:val="none" w:sz="0" w:space="0" w:color="auto"/>
        <w:bottom w:val="none" w:sz="0" w:space="0" w:color="auto"/>
        <w:right w:val="none" w:sz="0" w:space="0" w:color="auto"/>
      </w:divBdr>
      <w:divsChild>
        <w:div w:id="352345454">
          <w:marLeft w:val="0"/>
          <w:marRight w:val="0"/>
          <w:marTop w:val="0"/>
          <w:marBottom w:val="0"/>
          <w:divBdr>
            <w:top w:val="none" w:sz="0" w:space="0" w:color="auto"/>
            <w:left w:val="none" w:sz="0" w:space="0" w:color="auto"/>
            <w:bottom w:val="none" w:sz="0" w:space="0" w:color="auto"/>
            <w:right w:val="none" w:sz="0" w:space="0" w:color="auto"/>
          </w:divBdr>
        </w:div>
        <w:div w:id="1630696724">
          <w:marLeft w:val="0"/>
          <w:marRight w:val="0"/>
          <w:marTop w:val="0"/>
          <w:marBottom w:val="0"/>
          <w:divBdr>
            <w:top w:val="none" w:sz="0" w:space="0" w:color="auto"/>
            <w:left w:val="none" w:sz="0" w:space="0" w:color="auto"/>
            <w:bottom w:val="none" w:sz="0" w:space="0" w:color="auto"/>
            <w:right w:val="none" w:sz="0" w:space="0" w:color="auto"/>
          </w:divBdr>
        </w:div>
      </w:divsChild>
    </w:div>
    <w:div w:id="620890254">
      <w:bodyDiv w:val="1"/>
      <w:marLeft w:val="0"/>
      <w:marRight w:val="0"/>
      <w:marTop w:val="0"/>
      <w:marBottom w:val="0"/>
      <w:divBdr>
        <w:top w:val="none" w:sz="0" w:space="0" w:color="auto"/>
        <w:left w:val="none" w:sz="0" w:space="0" w:color="auto"/>
        <w:bottom w:val="none" w:sz="0" w:space="0" w:color="auto"/>
        <w:right w:val="none" w:sz="0" w:space="0" w:color="auto"/>
      </w:divBdr>
    </w:div>
    <w:div w:id="630207550">
      <w:bodyDiv w:val="1"/>
      <w:marLeft w:val="0"/>
      <w:marRight w:val="0"/>
      <w:marTop w:val="0"/>
      <w:marBottom w:val="0"/>
      <w:divBdr>
        <w:top w:val="none" w:sz="0" w:space="0" w:color="auto"/>
        <w:left w:val="none" w:sz="0" w:space="0" w:color="auto"/>
        <w:bottom w:val="none" w:sz="0" w:space="0" w:color="auto"/>
        <w:right w:val="none" w:sz="0" w:space="0" w:color="auto"/>
      </w:divBdr>
    </w:div>
    <w:div w:id="643196185">
      <w:bodyDiv w:val="1"/>
      <w:marLeft w:val="0"/>
      <w:marRight w:val="0"/>
      <w:marTop w:val="0"/>
      <w:marBottom w:val="0"/>
      <w:divBdr>
        <w:top w:val="none" w:sz="0" w:space="0" w:color="auto"/>
        <w:left w:val="none" w:sz="0" w:space="0" w:color="auto"/>
        <w:bottom w:val="none" w:sz="0" w:space="0" w:color="auto"/>
        <w:right w:val="none" w:sz="0" w:space="0" w:color="auto"/>
      </w:divBdr>
    </w:div>
    <w:div w:id="666591142">
      <w:bodyDiv w:val="1"/>
      <w:marLeft w:val="0"/>
      <w:marRight w:val="0"/>
      <w:marTop w:val="0"/>
      <w:marBottom w:val="0"/>
      <w:divBdr>
        <w:top w:val="none" w:sz="0" w:space="0" w:color="auto"/>
        <w:left w:val="none" w:sz="0" w:space="0" w:color="auto"/>
        <w:bottom w:val="none" w:sz="0" w:space="0" w:color="auto"/>
        <w:right w:val="none" w:sz="0" w:space="0" w:color="auto"/>
      </w:divBdr>
      <w:divsChild>
        <w:div w:id="830633730">
          <w:marLeft w:val="0"/>
          <w:marRight w:val="0"/>
          <w:marTop w:val="0"/>
          <w:marBottom w:val="0"/>
          <w:divBdr>
            <w:top w:val="none" w:sz="0" w:space="0" w:color="auto"/>
            <w:left w:val="none" w:sz="0" w:space="0" w:color="auto"/>
            <w:bottom w:val="none" w:sz="0" w:space="0" w:color="auto"/>
            <w:right w:val="none" w:sz="0" w:space="0" w:color="auto"/>
          </w:divBdr>
        </w:div>
      </w:divsChild>
    </w:div>
    <w:div w:id="675964499">
      <w:bodyDiv w:val="1"/>
      <w:marLeft w:val="0"/>
      <w:marRight w:val="0"/>
      <w:marTop w:val="0"/>
      <w:marBottom w:val="0"/>
      <w:divBdr>
        <w:top w:val="none" w:sz="0" w:space="0" w:color="auto"/>
        <w:left w:val="none" w:sz="0" w:space="0" w:color="auto"/>
        <w:bottom w:val="none" w:sz="0" w:space="0" w:color="auto"/>
        <w:right w:val="none" w:sz="0" w:space="0" w:color="auto"/>
      </w:divBdr>
    </w:div>
    <w:div w:id="690837172">
      <w:bodyDiv w:val="1"/>
      <w:marLeft w:val="0"/>
      <w:marRight w:val="0"/>
      <w:marTop w:val="0"/>
      <w:marBottom w:val="0"/>
      <w:divBdr>
        <w:top w:val="none" w:sz="0" w:space="0" w:color="auto"/>
        <w:left w:val="none" w:sz="0" w:space="0" w:color="auto"/>
        <w:bottom w:val="none" w:sz="0" w:space="0" w:color="auto"/>
        <w:right w:val="none" w:sz="0" w:space="0" w:color="auto"/>
      </w:divBdr>
      <w:divsChild>
        <w:div w:id="702943264">
          <w:marLeft w:val="0"/>
          <w:marRight w:val="0"/>
          <w:marTop w:val="0"/>
          <w:marBottom w:val="0"/>
          <w:divBdr>
            <w:top w:val="none" w:sz="0" w:space="0" w:color="auto"/>
            <w:left w:val="none" w:sz="0" w:space="0" w:color="auto"/>
            <w:bottom w:val="none" w:sz="0" w:space="0" w:color="auto"/>
            <w:right w:val="none" w:sz="0" w:space="0" w:color="auto"/>
          </w:divBdr>
        </w:div>
        <w:div w:id="833107779">
          <w:marLeft w:val="0"/>
          <w:marRight w:val="0"/>
          <w:marTop w:val="0"/>
          <w:marBottom w:val="0"/>
          <w:divBdr>
            <w:top w:val="none" w:sz="0" w:space="0" w:color="auto"/>
            <w:left w:val="none" w:sz="0" w:space="0" w:color="auto"/>
            <w:bottom w:val="none" w:sz="0" w:space="0" w:color="auto"/>
            <w:right w:val="none" w:sz="0" w:space="0" w:color="auto"/>
          </w:divBdr>
        </w:div>
      </w:divsChild>
    </w:div>
    <w:div w:id="706026683">
      <w:bodyDiv w:val="1"/>
      <w:marLeft w:val="0"/>
      <w:marRight w:val="0"/>
      <w:marTop w:val="0"/>
      <w:marBottom w:val="0"/>
      <w:divBdr>
        <w:top w:val="none" w:sz="0" w:space="0" w:color="auto"/>
        <w:left w:val="none" w:sz="0" w:space="0" w:color="auto"/>
        <w:bottom w:val="none" w:sz="0" w:space="0" w:color="auto"/>
        <w:right w:val="none" w:sz="0" w:space="0" w:color="auto"/>
      </w:divBdr>
      <w:divsChild>
        <w:div w:id="1184587819">
          <w:marLeft w:val="0"/>
          <w:marRight w:val="0"/>
          <w:marTop w:val="0"/>
          <w:marBottom w:val="0"/>
          <w:divBdr>
            <w:top w:val="none" w:sz="0" w:space="0" w:color="auto"/>
            <w:left w:val="none" w:sz="0" w:space="0" w:color="auto"/>
            <w:bottom w:val="none" w:sz="0" w:space="0" w:color="auto"/>
            <w:right w:val="none" w:sz="0" w:space="0" w:color="auto"/>
          </w:divBdr>
        </w:div>
        <w:div w:id="1832019689">
          <w:marLeft w:val="0"/>
          <w:marRight w:val="0"/>
          <w:marTop w:val="0"/>
          <w:marBottom w:val="0"/>
          <w:divBdr>
            <w:top w:val="none" w:sz="0" w:space="0" w:color="auto"/>
            <w:left w:val="none" w:sz="0" w:space="0" w:color="auto"/>
            <w:bottom w:val="none" w:sz="0" w:space="0" w:color="auto"/>
            <w:right w:val="none" w:sz="0" w:space="0" w:color="auto"/>
          </w:divBdr>
        </w:div>
      </w:divsChild>
    </w:div>
    <w:div w:id="712539428">
      <w:bodyDiv w:val="1"/>
      <w:marLeft w:val="0"/>
      <w:marRight w:val="0"/>
      <w:marTop w:val="0"/>
      <w:marBottom w:val="0"/>
      <w:divBdr>
        <w:top w:val="none" w:sz="0" w:space="0" w:color="auto"/>
        <w:left w:val="none" w:sz="0" w:space="0" w:color="auto"/>
        <w:bottom w:val="none" w:sz="0" w:space="0" w:color="auto"/>
        <w:right w:val="none" w:sz="0" w:space="0" w:color="auto"/>
      </w:divBdr>
    </w:div>
    <w:div w:id="731152204">
      <w:bodyDiv w:val="1"/>
      <w:marLeft w:val="0"/>
      <w:marRight w:val="0"/>
      <w:marTop w:val="0"/>
      <w:marBottom w:val="0"/>
      <w:divBdr>
        <w:top w:val="none" w:sz="0" w:space="0" w:color="auto"/>
        <w:left w:val="none" w:sz="0" w:space="0" w:color="auto"/>
        <w:bottom w:val="none" w:sz="0" w:space="0" w:color="auto"/>
        <w:right w:val="none" w:sz="0" w:space="0" w:color="auto"/>
      </w:divBdr>
      <w:divsChild>
        <w:div w:id="1073238784">
          <w:marLeft w:val="0"/>
          <w:marRight w:val="0"/>
          <w:marTop w:val="0"/>
          <w:marBottom w:val="0"/>
          <w:divBdr>
            <w:top w:val="none" w:sz="0" w:space="0" w:color="auto"/>
            <w:left w:val="none" w:sz="0" w:space="0" w:color="auto"/>
            <w:bottom w:val="none" w:sz="0" w:space="0" w:color="auto"/>
            <w:right w:val="none" w:sz="0" w:space="0" w:color="auto"/>
          </w:divBdr>
        </w:div>
        <w:div w:id="1421217911">
          <w:marLeft w:val="0"/>
          <w:marRight w:val="0"/>
          <w:marTop w:val="0"/>
          <w:marBottom w:val="0"/>
          <w:divBdr>
            <w:top w:val="none" w:sz="0" w:space="0" w:color="auto"/>
            <w:left w:val="none" w:sz="0" w:space="0" w:color="auto"/>
            <w:bottom w:val="none" w:sz="0" w:space="0" w:color="auto"/>
            <w:right w:val="none" w:sz="0" w:space="0" w:color="auto"/>
          </w:divBdr>
        </w:div>
      </w:divsChild>
    </w:div>
    <w:div w:id="752243079">
      <w:bodyDiv w:val="1"/>
      <w:marLeft w:val="0"/>
      <w:marRight w:val="0"/>
      <w:marTop w:val="0"/>
      <w:marBottom w:val="0"/>
      <w:divBdr>
        <w:top w:val="none" w:sz="0" w:space="0" w:color="auto"/>
        <w:left w:val="none" w:sz="0" w:space="0" w:color="auto"/>
        <w:bottom w:val="none" w:sz="0" w:space="0" w:color="auto"/>
        <w:right w:val="none" w:sz="0" w:space="0" w:color="auto"/>
      </w:divBdr>
      <w:divsChild>
        <w:div w:id="1009529374">
          <w:marLeft w:val="0"/>
          <w:marRight w:val="0"/>
          <w:marTop w:val="0"/>
          <w:marBottom w:val="0"/>
          <w:divBdr>
            <w:top w:val="none" w:sz="0" w:space="0" w:color="auto"/>
            <w:left w:val="none" w:sz="0" w:space="0" w:color="auto"/>
            <w:bottom w:val="none" w:sz="0" w:space="0" w:color="auto"/>
            <w:right w:val="none" w:sz="0" w:space="0" w:color="auto"/>
          </w:divBdr>
        </w:div>
      </w:divsChild>
    </w:div>
    <w:div w:id="769275274">
      <w:bodyDiv w:val="1"/>
      <w:marLeft w:val="0"/>
      <w:marRight w:val="0"/>
      <w:marTop w:val="0"/>
      <w:marBottom w:val="0"/>
      <w:divBdr>
        <w:top w:val="none" w:sz="0" w:space="0" w:color="auto"/>
        <w:left w:val="none" w:sz="0" w:space="0" w:color="auto"/>
        <w:bottom w:val="none" w:sz="0" w:space="0" w:color="auto"/>
        <w:right w:val="none" w:sz="0" w:space="0" w:color="auto"/>
      </w:divBdr>
      <w:divsChild>
        <w:div w:id="1853571843">
          <w:marLeft w:val="0"/>
          <w:marRight w:val="0"/>
          <w:marTop w:val="0"/>
          <w:marBottom w:val="0"/>
          <w:divBdr>
            <w:top w:val="none" w:sz="0" w:space="0" w:color="auto"/>
            <w:left w:val="none" w:sz="0" w:space="0" w:color="auto"/>
            <w:bottom w:val="none" w:sz="0" w:space="0" w:color="auto"/>
            <w:right w:val="none" w:sz="0" w:space="0" w:color="auto"/>
          </w:divBdr>
        </w:div>
        <w:div w:id="1508977735">
          <w:marLeft w:val="0"/>
          <w:marRight w:val="0"/>
          <w:marTop w:val="0"/>
          <w:marBottom w:val="0"/>
          <w:divBdr>
            <w:top w:val="none" w:sz="0" w:space="0" w:color="auto"/>
            <w:left w:val="none" w:sz="0" w:space="0" w:color="auto"/>
            <w:bottom w:val="none" w:sz="0" w:space="0" w:color="auto"/>
            <w:right w:val="none" w:sz="0" w:space="0" w:color="auto"/>
          </w:divBdr>
        </w:div>
      </w:divsChild>
    </w:div>
    <w:div w:id="777523717">
      <w:bodyDiv w:val="1"/>
      <w:marLeft w:val="0"/>
      <w:marRight w:val="0"/>
      <w:marTop w:val="0"/>
      <w:marBottom w:val="0"/>
      <w:divBdr>
        <w:top w:val="none" w:sz="0" w:space="0" w:color="auto"/>
        <w:left w:val="none" w:sz="0" w:space="0" w:color="auto"/>
        <w:bottom w:val="none" w:sz="0" w:space="0" w:color="auto"/>
        <w:right w:val="none" w:sz="0" w:space="0" w:color="auto"/>
      </w:divBdr>
      <w:divsChild>
        <w:div w:id="501362008">
          <w:marLeft w:val="0"/>
          <w:marRight w:val="0"/>
          <w:marTop w:val="0"/>
          <w:marBottom w:val="0"/>
          <w:divBdr>
            <w:top w:val="none" w:sz="0" w:space="0" w:color="auto"/>
            <w:left w:val="none" w:sz="0" w:space="0" w:color="auto"/>
            <w:bottom w:val="none" w:sz="0" w:space="0" w:color="auto"/>
            <w:right w:val="none" w:sz="0" w:space="0" w:color="auto"/>
          </w:divBdr>
        </w:div>
      </w:divsChild>
    </w:div>
    <w:div w:id="785078557">
      <w:bodyDiv w:val="1"/>
      <w:marLeft w:val="0"/>
      <w:marRight w:val="0"/>
      <w:marTop w:val="0"/>
      <w:marBottom w:val="0"/>
      <w:divBdr>
        <w:top w:val="none" w:sz="0" w:space="0" w:color="auto"/>
        <w:left w:val="none" w:sz="0" w:space="0" w:color="auto"/>
        <w:bottom w:val="none" w:sz="0" w:space="0" w:color="auto"/>
        <w:right w:val="none" w:sz="0" w:space="0" w:color="auto"/>
      </w:divBdr>
    </w:div>
    <w:div w:id="798307053">
      <w:bodyDiv w:val="1"/>
      <w:marLeft w:val="0"/>
      <w:marRight w:val="0"/>
      <w:marTop w:val="0"/>
      <w:marBottom w:val="0"/>
      <w:divBdr>
        <w:top w:val="none" w:sz="0" w:space="0" w:color="auto"/>
        <w:left w:val="none" w:sz="0" w:space="0" w:color="auto"/>
        <w:bottom w:val="none" w:sz="0" w:space="0" w:color="auto"/>
        <w:right w:val="none" w:sz="0" w:space="0" w:color="auto"/>
      </w:divBdr>
      <w:divsChild>
        <w:div w:id="739137106">
          <w:marLeft w:val="0"/>
          <w:marRight w:val="0"/>
          <w:marTop w:val="0"/>
          <w:marBottom w:val="0"/>
          <w:divBdr>
            <w:top w:val="none" w:sz="0" w:space="0" w:color="auto"/>
            <w:left w:val="none" w:sz="0" w:space="0" w:color="auto"/>
            <w:bottom w:val="none" w:sz="0" w:space="0" w:color="auto"/>
            <w:right w:val="none" w:sz="0" w:space="0" w:color="auto"/>
          </w:divBdr>
        </w:div>
        <w:div w:id="2061174302">
          <w:marLeft w:val="0"/>
          <w:marRight w:val="0"/>
          <w:marTop w:val="0"/>
          <w:marBottom w:val="0"/>
          <w:divBdr>
            <w:top w:val="none" w:sz="0" w:space="0" w:color="auto"/>
            <w:left w:val="none" w:sz="0" w:space="0" w:color="auto"/>
            <w:bottom w:val="none" w:sz="0" w:space="0" w:color="auto"/>
            <w:right w:val="none" w:sz="0" w:space="0" w:color="auto"/>
          </w:divBdr>
          <w:divsChild>
            <w:div w:id="1596858957">
              <w:marLeft w:val="0"/>
              <w:marRight w:val="0"/>
              <w:marTop w:val="0"/>
              <w:marBottom w:val="0"/>
              <w:divBdr>
                <w:top w:val="none" w:sz="0" w:space="0" w:color="auto"/>
                <w:left w:val="none" w:sz="0" w:space="0" w:color="auto"/>
                <w:bottom w:val="none" w:sz="0" w:space="0" w:color="auto"/>
                <w:right w:val="none" w:sz="0" w:space="0" w:color="auto"/>
              </w:divBdr>
              <w:divsChild>
                <w:div w:id="658000263">
                  <w:marLeft w:val="0"/>
                  <w:marRight w:val="0"/>
                  <w:marTop w:val="0"/>
                  <w:marBottom w:val="0"/>
                  <w:divBdr>
                    <w:top w:val="none" w:sz="0" w:space="0" w:color="auto"/>
                    <w:left w:val="none" w:sz="0" w:space="0" w:color="auto"/>
                    <w:bottom w:val="none" w:sz="0" w:space="0" w:color="auto"/>
                    <w:right w:val="none" w:sz="0" w:space="0" w:color="auto"/>
                  </w:divBdr>
                </w:div>
                <w:div w:id="1757165489">
                  <w:marLeft w:val="0"/>
                  <w:marRight w:val="0"/>
                  <w:marTop w:val="0"/>
                  <w:marBottom w:val="0"/>
                  <w:divBdr>
                    <w:top w:val="none" w:sz="0" w:space="0" w:color="auto"/>
                    <w:left w:val="none" w:sz="0" w:space="0" w:color="auto"/>
                    <w:bottom w:val="none" w:sz="0" w:space="0" w:color="auto"/>
                    <w:right w:val="none" w:sz="0" w:space="0" w:color="auto"/>
                  </w:divBdr>
                </w:div>
                <w:div w:id="1761175447">
                  <w:marLeft w:val="0"/>
                  <w:marRight w:val="0"/>
                  <w:marTop w:val="0"/>
                  <w:marBottom w:val="0"/>
                  <w:divBdr>
                    <w:top w:val="none" w:sz="0" w:space="0" w:color="auto"/>
                    <w:left w:val="none" w:sz="0" w:space="0" w:color="auto"/>
                    <w:bottom w:val="none" w:sz="0" w:space="0" w:color="auto"/>
                    <w:right w:val="none" w:sz="0" w:space="0" w:color="auto"/>
                  </w:divBdr>
                  <w:divsChild>
                    <w:div w:id="1366248786">
                      <w:marLeft w:val="0"/>
                      <w:marRight w:val="0"/>
                      <w:marTop w:val="0"/>
                      <w:marBottom w:val="0"/>
                      <w:divBdr>
                        <w:top w:val="none" w:sz="0" w:space="0" w:color="auto"/>
                        <w:left w:val="none" w:sz="0" w:space="0" w:color="auto"/>
                        <w:bottom w:val="none" w:sz="0" w:space="0" w:color="auto"/>
                        <w:right w:val="none" w:sz="0" w:space="0" w:color="auto"/>
                      </w:divBdr>
                      <w:divsChild>
                        <w:div w:id="1166480808">
                          <w:marLeft w:val="0"/>
                          <w:marRight w:val="0"/>
                          <w:marTop w:val="0"/>
                          <w:marBottom w:val="0"/>
                          <w:divBdr>
                            <w:top w:val="none" w:sz="0" w:space="0" w:color="auto"/>
                            <w:left w:val="none" w:sz="0" w:space="0" w:color="auto"/>
                            <w:bottom w:val="none" w:sz="0" w:space="0" w:color="auto"/>
                            <w:right w:val="none" w:sz="0" w:space="0" w:color="auto"/>
                          </w:divBdr>
                          <w:divsChild>
                            <w:div w:id="1924755105">
                              <w:marLeft w:val="0"/>
                              <w:marRight w:val="0"/>
                              <w:marTop w:val="0"/>
                              <w:marBottom w:val="0"/>
                              <w:divBdr>
                                <w:top w:val="none" w:sz="0" w:space="0" w:color="auto"/>
                                <w:left w:val="none" w:sz="0" w:space="0" w:color="auto"/>
                                <w:bottom w:val="none" w:sz="0" w:space="0" w:color="auto"/>
                                <w:right w:val="none" w:sz="0" w:space="0" w:color="auto"/>
                              </w:divBdr>
                              <w:divsChild>
                                <w:div w:id="5680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3427">
                          <w:marLeft w:val="0"/>
                          <w:marRight w:val="0"/>
                          <w:marTop w:val="0"/>
                          <w:marBottom w:val="0"/>
                          <w:divBdr>
                            <w:top w:val="none" w:sz="0" w:space="0" w:color="auto"/>
                            <w:left w:val="none" w:sz="0" w:space="0" w:color="auto"/>
                            <w:bottom w:val="none" w:sz="0" w:space="0" w:color="auto"/>
                            <w:right w:val="none" w:sz="0" w:space="0" w:color="auto"/>
                          </w:divBdr>
                          <w:divsChild>
                            <w:div w:id="2036691472">
                              <w:marLeft w:val="0"/>
                              <w:marRight w:val="0"/>
                              <w:marTop w:val="0"/>
                              <w:marBottom w:val="0"/>
                              <w:divBdr>
                                <w:top w:val="none" w:sz="0" w:space="0" w:color="auto"/>
                                <w:left w:val="none" w:sz="0" w:space="0" w:color="auto"/>
                                <w:bottom w:val="none" w:sz="0" w:space="0" w:color="auto"/>
                                <w:right w:val="none" w:sz="0" w:space="0" w:color="auto"/>
                              </w:divBdr>
                              <w:divsChild>
                                <w:div w:id="156650649">
                                  <w:marLeft w:val="0"/>
                                  <w:marRight w:val="0"/>
                                  <w:marTop w:val="0"/>
                                  <w:marBottom w:val="0"/>
                                  <w:divBdr>
                                    <w:top w:val="none" w:sz="0" w:space="0" w:color="auto"/>
                                    <w:left w:val="none" w:sz="0" w:space="0" w:color="auto"/>
                                    <w:bottom w:val="none" w:sz="0" w:space="0" w:color="auto"/>
                                    <w:right w:val="none" w:sz="0" w:space="0" w:color="auto"/>
                                  </w:divBdr>
                                  <w:divsChild>
                                    <w:div w:id="1505702769">
                                      <w:marLeft w:val="0"/>
                                      <w:marRight w:val="0"/>
                                      <w:marTop w:val="0"/>
                                      <w:marBottom w:val="0"/>
                                      <w:divBdr>
                                        <w:top w:val="none" w:sz="0" w:space="0" w:color="auto"/>
                                        <w:left w:val="none" w:sz="0" w:space="0" w:color="auto"/>
                                        <w:bottom w:val="none" w:sz="0" w:space="0" w:color="auto"/>
                                        <w:right w:val="none" w:sz="0" w:space="0" w:color="auto"/>
                                      </w:divBdr>
                                    </w:div>
                                    <w:div w:id="528643260">
                                      <w:marLeft w:val="0"/>
                                      <w:marRight w:val="0"/>
                                      <w:marTop w:val="0"/>
                                      <w:marBottom w:val="0"/>
                                      <w:divBdr>
                                        <w:top w:val="none" w:sz="0" w:space="0" w:color="auto"/>
                                        <w:left w:val="none" w:sz="0" w:space="0" w:color="auto"/>
                                        <w:bottom w:val="none" w:sz="0" w:space="0" w:color="auto"/>
                                        <w:right w:val="none" w:sz="0" w:space="0" w:color="auto"/>
                                      </w:divBdr>
                                    </w:div>
                                  </w:divsChild>
                                </w:div>
                                <w:div w:id="1211262216">
                                  <w:marLeft w:val="0"/>
                                  <w:marRight w:val="0"/>
                                  <w:marTop w:val="0"/>
                                  <w:marBottom w:val="0"/>
                                  <w:divBdr>
                                    <w:top w:val="none" w:sz="0" w:space="0" w:color="auto"/>
                                    <w:left w:val="none" w:sz="0" w:space="0" w:color="auto"/>
                                    <w:bottom w:val="none" w:sz="0" w:space="0" w:color="auto"/>
                                    <w:right w:val="none" w:sz="0" w:space="0" w:color="auto"/>
                                  </w:divBdr>
                                  <w:divsChild>
                                    <w:div w:id="842209000">
                                      <w:marLeft w:val="0"/>
                                      <w:marRight w:val="0"/>
                                      <w:marTop w:val="0"/>
                                      <w:marBottom w:val="0"/>
                                      <w:divBdr>
                                        <w:top w:val="none" w:sz="0" w:space="0" w:color="auto"/>
                                        <w:left w:val="none" w:sz="0" w:space="0" w:color="auto"/>
                                        <w:bottom w:val="none" w:sz="0" w:space="0" w:color="auto"/>
                                        <w:right w:val="none" w:sz="0" w:space="0" w:color="auto"/>
                                      </w:divBdr>
                                    </w:div>
                                    <w:div w:id="1126192229">
                                      <w:marLeft w:val="0"/>
                                      <w:marRight w:val="0"/>
                                      <w:marTop w:val="0"/>
                                      <w:marBottom w:val="0"/>
                                      <w:divBdr>
                                        <w:top w:val="none" w:sz="0" w:space="0" w:color="auto"/>
                                        <w:left w:val="none" w:sz="0" w:space="0" w:color="auto"/>
                                        <w:bottom w:val="none" w:sz="0" w:space="0" w:color="auto"/>
                                        <w:right w:val="none" w:sz="0" w:space="0" w:color="auto"/>
                                      </w:divBdr>
                                    </w:div>
                                  </w:divsChild>
                                </w:div>
                                <w:div w:id="637537234">
                                  <w:marLeft w:val="0"/>
                                  <w:marRight w:val="0"/>
                                  <w:marTop w:val="0"/>
                                  <w:marBottom w:val="0"/>
                                  <w:divBdr>
                                    <w:top w:val="none" w:sz="0" w:space="0" w:color="auto"/>
                                    <w:left w:val="none" w:sz="0" w:space="0" w:color="auto"/>
                                    <w:bottom w:val="none" w:sz="0" w:space="0" w:color="auto"/>
                                    <w:right w:val="none" w:sz="0" w:space="0" w:color="auto"/>
                                  </w:divBdr>
                                  <w:divsChild>
                                    <w:div w:id="164127061">
                                      <w:marLeft w:val="0"/>
                                      <w:marRight w:val="0"/>
                                      <w:marTop w:val="0"/>
                                      <w:marBottom w:val="0"/>
                                      <w:divBdr>
                                        <w:top w:val="none" w:sz="0" w:space="0" w:color="auto"/>
                                        <w:left w:val="none" w:sz="0" w:space="0" w:color="auto"/>
                                        <w:bottom w:val="none" w:sz="0" w:space="0" w:color="auto"/>
                                        <w:right w:val="none" w:sz="0" w:space="0" w:color="auto"/>
                                      </w:divBdr>
                                    </w:div>
                                    <w:div w:id="2654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446101">
                  <w:marLeft w:val="0"/>
                  <w:marRight w:val="0"/>
                  <w:marTop w:val="0"/>
                  <w:marBottom w:val="0"/>
                  <w:divBdr>
                    <w:top w:val="none" w:sz="0" w:space="0" w:color="auto"/>
                    <w:left w:val="none" w:sz="0" w:space="0" w:color="auto"/>
                    <w:bottom w:val="none" w:sz="0" w:space="0" w:color="auto"/>
                    <w:right w:val="none" w:sz="0" w:space="0" w:color="auto"/>
                  </w:divBdr>
                  <w:divsChild>
                    <w:div w:id="270623276">
                      <w:marLeft w:val="0"/>
                      <w:marRight w:val="0"/>
                      <w:marTop w:val="0"/>
                      <w:marBottom w:val="0"/>
                      <w:divBdr>
                        <w:top w:val="none" w:sz="0" w:space="0" w:color="auto"/>
                        <w:left w:val="none" w:sz="0" w:space="0" w:color="auto"/>
                        <w:bottom w:val="none" w:sz="0" w:space="0" w:color="auto"/>
                        <w:right w:val="none" w:sz="0" w:space="0" w:color="auto"/>
                      </w:divBdr>
                      <w:divsChild>
                        <w:div w:id="60253752">
                          <w:marLeft w:val="0"/>
                          <w:marRight w:val="0"/>
                          <w:marTop w:val="0"/>
                          <w:marBottom w:val="0"/>
                          <w:divBdr>
                            <w:top w:val="none" w:sz="0" w:space="0" w:color="auto"/>
                            <w:left w:val="none" w:sz="0" w:space="0" w:color="auto"/>
                            <w:bottom w:val="none" w:sz="0" w:space="0" w:color="auto"/>
                            <w:right w:val="none" w:sz="0" w:space="0" w:color="auto"/>
                          </w:divBdr>
                          <w:divsChild>
                            <w:div w:id="150340101">
                              <w:marLeft w:val="0"/>
                              <w:marRight w:val="0"/>
                              <w:marTop w:val="0"/>
                              <w:marBottom w:val="0"/>
                              <w:divBdr>
                                <w:top w:val="none" w:sz="0" w:space="0" w:color="auto"/>
                                <w:left w:val="none" w:sz="0" w:space="0" w:color="auto"/>
                                <w:bottom w:val="none" w:sz="0" w:space="0" w:color="auto"/>
                                <w:right w:val="none" w:sz="0" w:space="0" w:color="auto"/>
                              </w:divBdr>
                              <w:divsChild>
                                <w:div w:id="2052341354">
                                  <w:marLeft w:val="0"/>
                                  <w:marRight w:val="0"/>
                                  <w:marTop w:val="0"/>
                                  <w:marBottom w:val="0"/>
                                  <w:divBdr>
                                    <w:top w:val="none" w:sz="0" w:space="0" w:color="auto"/>
                                    <w:left w:val="none" w:sz="0" w:space="0" w:color="auto"/>
                                    <w:bottom w:val="none" w:sz="0" w:space="0" w:color="auto"/>
                                    <w:right w:val="none" w:sz="0" w:space="0" w:color="auto"/>
                                  </w:divBdr>
                                  <w:divsChild>
                                    <w:div w:id="1046099290">
                                      <w:marLeft w:val="0"/>
                                      <w:marRight w:val="0"/>
                                      <w:marTop w:val="0"/>
                                      <w:marBottom w:val="0"/>
                                      <w:divBdr>
                                        <w:top w:val="none" w:sz="0" w:space="0" w:color="auto"/>
                                        <w:left w:val="none" w:sz="0" w:space="0" w:color="auto"/>
                                        <w:bottom w:val="none" w:sz="0" w:space="0" w:color="auto"/>
                                        <w:right w:val="none" w:sz="0" w:space="0" w:color="auto"/>
                                      </w:divBdr>
                                      <w:divsChild>
                                        <w:div w:id="1172647444">
                                          <w:marLeft w:val="0"/>
                                          <w:marRight w:val="0"/>
                                          <w:marTop w:val="0"/>
                                          <w:marBottom w:val="0"/>
                                          <w:divBdr>
                                            <w:top w:val="single" w:sz="8" w:space="1" w:color="auto"/>
                                            <w:left w:val="single" w:sz="8" w:space="4" w:color="auto"/>
                                            <w:bottom w:val="single" w:sz="8" w:space="1" w:color="auto"/>
                                            <w:right w:val="single" w:sz="8" w:space="4" w:color="auto"/>
                                          </w:divBdr>
                                        </w:div>
                                        <w:div w:id="1006321553">
                                          <w:marLeft w:val="0"/>
                                          <w:marRight w:val="0"/>
                                          <w:marTop w:val="0"/>
                                          <w:marBottom w:val="0"/>
                                          <w:divBdr>
                                            <w:top w:val="none" w:sz="0" w:space="0" w:color="auto"/>
                                            <w:left w:val="none" w:sz="0" w:space="0" w:color="auto"/>
                                            <w:bottom w:val="single" w:sz="8" w:space="1" w:color="auto"/>
                                            <w:right w:val="none" w:sz="0" w:space="0" w:color="auto"/>
                                          </w:divBdr>
                                        </w:div>
                                        <w:div w:id="106410980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 w:id="825901563">
          <w:marLeft w:val="0"/>
          <w:marRight w:val="0"/>
          <w:marTop w:val="0"/>
          <w:marBottom w:val="0"/>
          <w:divBdr>
            <w:top w:val="none" w:sz="0" w:space="0" w:color="auto"/>
            <w:left w:val="none" w:sz="0" w:space="0" w:color="auto"/>
            <w:bottom w:val="none" w:sz="0" w:space="0" w:color="auto"/>
            <w:right w:val="none" w:sz="0" w:space="0" w:color="auto"/>
          </w:divBdr>
        </w:div>
        <w:div w:id="1358702804">
          <w:marLeft w:val="0"/>
          <w:marRight w:val="0"/>
          <w:marTop w:val="0"/>
          <w:marBottom w:val="0"/>
          <w:divBdr>
            <w:top w:val="none" w:sz="0" w:space="0" w:color="auto"/>
            <w:left w:val="none" w:sz="0" w:space="0" w:color="auto"/>
            <w:bottom w:val="none" w:sz="0" w:space="0" w:color="auto"/>
            <w:right w:val="none" w:sz="0" w:space="0" w:color="auto"/>
          </w:divBdr>
        </w:div>
        <w:div w:id="1505168226">
          <w:marLeft w:val="0"/>
          <w:marRight w:val="0"/>
          <w:marTop w:val="0"/>
          <w:marBottom w:val="0"/>
          <w:divBdr>
            <w:top w:val="none" w:sz="0" w:space="0" w:color="auto"/>
            <w:left w:val="none" w:sz="0" w:space="0" w:color="auto"/>
            <w:bottom w:val="none" w:sz="0" w:space="0" w:color="auto"/>
            <w:right w:val="none" w:sz="0" w:space="0" w:color="auto"/>
          </w:divBdr>
        </w:div>
        <w:div w:id="792754334">
          <w:marLeft w:val="0"/>
          <w:marRight w:val="0"/>
          <w:marTop w:val="0"/>
          <w:marBottom w:val="0"/>
          <w:divBdr>
            <w:top w:val="none" w:sz="0" w:space="0" w:color="auto"/>
            <w:left w:val="none" w:sz="0" w:space="0" w:color="auto"/>
            <w:bottom w:val="none" w:sz="0" w:space="0" w:color="auto"/>
            <w:right w:val="none" w:sz="0" w:space="0" w:color="auto"/>
          </w:divBdr>
        </w:div>
        <w:div w:id="1976175789">
          <w:marLeft w:val="0"/>
          <w:marRight w:val="0"/>
          <w:marTop w:val="0"/>
          <w:marBottom w:val="0"/>
          <w:divBdr>
            <w:top w:val="none" w:sz="0" w:space="0" w:color="auto"/>
            <w:left w:val="none" w:sz="0" w:space="0" w:color="auto"/>
            <w:bottom w:val="none" w:sz="0" w:space="0" w:color="auto"/>
            <w:right w:val="none" w:sz="0" w:space="0" w:color="auto"/>
          </w:divBdr>
        </w:div>
        <w:div w:id="1389764985">
          <w:marLeft w:val="0"/>
          <w:marRight w:val="0"/>
          <w:marTop w:val="0"/>
          <w:marBottom w:val="0"/>
          <w:divBdr>
            <w:top w:val="none" w:sz="0" w:space="0" w:color="auto"/>
            <w:left w:val="none" w:sz="0" w:space="0" w:color="auto"/>
            <w:bottom w:val="none" w:sz="0" w:space="0" w:color="auto"/>
            <w:right w:val="none" w:sz="0" w:space="0" w:color="auto"/>
          </w:divBdr>
        </w:div>
        <w:div w:id="870343902">
          <w:marLeft w:val="0"/>
          <w:marRight w:val="0"/>
          <w:marTop w:val="0"/>
          <w:marBottom w:val="0"/>
          <w:divBdr>
            <w:top w:val="none" w:sz="0" w:space="0" w:color="auto"/>
            <w:left w:val="none" w:sz="0" w:space="0" w:color="auto"/>
            <w:bottom w:val="none" w:sz="0" w:space="0" w:color="auto"/>
            <w:right w:val="none" w:sz="0" w:space="0" w:color="auto"/>
          </w:divBdr>
        </w:div>
        <w:div w:id="835849329">
          <w:marLeft w:val="0"/>
          <w:marRight w:val="0"/>
          <w:marTop w:val="0"/>
          <w:marBottom w:val="0"/>
          <w:divBdr>
            <w:top w:val="none" w:sz="0" w:space="0" w:color="auto"/>
            <w:left w:val="none" w:sz="0" w:space="0" w:color="auto"/>
            <w:bottom w:val="none" w:sz="0" w:space="0" w:color="auto"/>
            <w:right w:val="none" w:sz="0" w:space="0" w:color="auto"/>
          </w:divBdr>
        </w:div>
        <w:div w:id="1283346083">
          <w:marLeft w:val="0"/>
          <w:marRight w:val="0"/>
          <w:marTop w:val="0"/>
          <w:marBottom w:val="0"/>
          <w:divBdr>
            <w:top w:val="none" w:sz="0" w:space="0" w:color="auto"/>
            <w:left w:val="none" w:sz="0" w:space="0" w:color="auto"/>
            <w:bottom w:val="none" w:sz="0" w:space="0" w:color="auto"/>
            <w:right w:val="none" w:sz="0" w:space="0" w:color="auto"/>
          </w:divBdr>
        </w:div>
        <w:div w:id="1624651131">
          <w:marLeft w:val="0"/>
          <w:marRight w:val="0"/>
          <w:marTop w:val="0"/>
          <w:marBottom w:val="0"/>
          <w:divBdr>
            <w:top w:val="none" w:sz="0" w:space="0" w:color="auto"/>
            <w:left w:val="none" w:sz="0" w:space="0" w:color="auto"/>
            <w:bottom w:val="none" w:sz="0" w:space="0" w:color="auto"/>
            <w:right w:val="none" w:sz="0" w:space="0" w:color="auto"/>
          </w:divBdr>
        </w:div>
        <w:div w:id="1303581364">
          <w:marLeft w:val="0"/>
          <w:marRight w:val="0"/>
          <w:marTop w:val="0"/>
          <w:marBottom w:val="0"/>
          <w:divBdr>
            <w:top w:val="none" w:sz="0" w:space="0" w:color="auto"/>
            <w:left w:val="none" w:sz="0" w:space="0" w:color="auto"/>
            <w:bottom w:val="none" w:sz="0" w:space="0" w:color="auto"/>
            <w:right w:val="none" w:sz="0" w:space="0" w:color="auto"/>
          </w:divBdr>
        </w:div>
        <w:div w:id="105152483">
          <w:marLeft w:val="0"/>
          <w:marRight w:val="0"/>
          <w:marTop w:val="0"/>
          <w:marBottom w:val="0"/>
          <w:divBdr>
            <w:top w:val="none" w:sz="0" w:space="0" w:color="auto"/>
            <w:left w:val="none" w:sz="0" w:space="0" w:color="auto"/>
            <w:bottom w:val="none" w:sz="0" w:space="0" w:color="auto"/>
            <w:right w:val="none" w:sz="0" w:space="0" w:color="auto"/>
          </w:divBdr>
        </w:div>
        <w:div w:id="1130051366">
          <w:marLeft w:val="0"/>
          <w:marRight w:val="0"/>
          <w:marTop w:val="0"/>
          <w:marBottom w:val="0"/>
          <w:divBdr>
            <w:top w:val="none" w:sz="0" w:space="0" w:color="auto"/>
            <w:left w:val="none" w:sz="0" w:space="0" w:color="auto"/>
            <w:bottom w:val="none" w:sz="0" w:space="0" w:color="auto"/>
            <w:right w:val="none" w:sz="0" w:space="0" w:color="auto"/>
          </w:divBdr>
        </w:div>
        <w:div w:id="1361668896">
          <w:marLeft w:val="0"/>
          <w:marRight w:val="0"/>
          <w:marTop w:val="0"/>
          <w:marBottom w:val="0"/>
          <w:divBdr>
            <w:top w:val="none" w:sz="0" w:space="0" w:color="auto"/>
            <w:left w:val="none" w:sz="0" w:space="0" w:color="auto"/>
            <w:bottom w:val="none" w:sz="0" w:space="0" w:color="auto"/>
            <w:right w:val="none" w:sz="0" w:space="0" w:color="auto"/>
          </w:divBdr>
        </w:div>
        <w:div w:id="1084956521">
          <w:marLeft w:val="0"/>
          <w:marRight w:val="0"/>
          <w:marTop w:val="0"/>
          <w:marBottom w:val="0"/>
          <w:divBdr>
            <w:top w:val="none" w:sz="0" w:space="0" w:color="auto"/>
            <w:left w:val="none" w:sz="0" w:space="0" w:color="auto"/>
            <w:bottom w:val="none" w:sz="0" w:space="0" w:color="auto"/>
            <w:right w:val="none" w:sz="0" w:space="0" w:color="auto"/>
          </w:divBdr>
        </w:div>
        <w:div w:id="332687185">
          <w:marLeft w:val="0"/>
          <w:marRight w:val="0"/>
          <w:marTop w:val="0"/>
          <w:marBottom w:val="0"/>
          <w:divBdr>
            <w:top w:val="none" w:sz="0" w:space="0" w:color="auto"/>
            <w:left w:val="none" w:sz="0" w:space="0" w:color="auto"/>
            <w:bottom w:val="none" w:sz="0" w:space="0" w:color="auto"/>
            <w:right w:val="none" w:sz="0" w:space="0" w:color="auto"/>
          </w:divBdr>
        </w:div>
      </w:divsChild>
    </w:div>
    <w:div w:id="799882706">
      <w:bodyDiv w:val="1"/>
      <w:marLeft w:val="0"/>
      <w:marRight w:val="0"/>
      <w:marTop w:val="0"/>
      <w:marBottom w:val="0"/>
      <w:divBdr>
        <w:top w:val="none" w:sz="0" w:space="0" w:color="auto"/>
        <w:left w:val="none" w:sz="0" w:space="0" w:color="auto"/>
        <w:bottom w:val="none" w:sz="0" w:space="0" w:color="auto"/>
        <w:right w:val="none" w:sz="0" w:space="0" w:color="auto"/>
      </w:divBdr>
    </w:div>
    <w:div w:id="808783776">
      <w:bodyDiv w:val="1"/>
      <w:marLeft w:val="0"/>
      <w:marRight w:val="0"/>
      <w:marTop w:val="0"/>
      <w:marBottom w:val="0"/>
      <w:divBdr>
        <w:top w:val="none" w:sz="0" w:space="0" w:color="auto"/>
        <w:left w:val="none" w:sz="0" w:space="0" w:color="auto"/>
        <w:bottom w:val="none" w:sz="0" w:space="0" w:color="auto"/>
        <w:right w:val="none" w:sz="0" w:space="0" w:color="auto"/>
      </w:divBdr>
      <w:divsChild>
        <w:div w:id="347295721">
          <w:marLeft w:val="0"/>
          <w:marRight w:val="0"/>
          <w:marTop w:val="0"/>
          <w:marBottom w:val="0"/>
          <w:divBdr>
            <w:top w:val="none" w:sz="0" w:space="0" w:color="auto"/>
            <w:left w:val="none" w:sz="0" w:space="0" w:color="auto"/>
            <w:bottom w:val="none" w:sz="0" w:space="0" w:color="auto"/>
            <w:right w:val="none" w:sz="0" w:space="0" w:color="auto"/>
          </w:divBdr>
        </w:div>
        <w:div w:id="1109544813">
          <w:marLeft w:val="0"/>
          <w:marRight w:val="0"/>
          <w:marTop w:val="0"/>
          <w:marBottom w:val="0"/>
          <w:divBdr>
            <w:top w:val="none" w:sz="0" w:space="0" w:color="auto"/>
            <w:left w:val="none" w:sz="0" w:space="0" w:color="auto"/>
            <w:bottom w:val="none" w:sz="0" w:space="0" w:color="auto"/>
            <w:right w:val="none" w:sz="0" w:space="0" w:color="auto"/>
          </w:divBdr>
        </w:div>
      </w:divsChild>
    </w:div>
    <w:div w:id="810294332">
      <w:bodyDiv w:val="1"/>
      <w:marLeft w:val="0"/>
      <w:marRight w:val="0"/>
      <w:marTop w:val="0"/>
      <w:marBottom w:val="0"/>
      <w:divBdr>
        <w:top w:val="none" w:sz="0" w:space="0" w:color="auto"/>
        <w:left w:val="none" w:sz="0" w:space="0" w:color="auto"/>
        <w:bottom w:val="none" w:sz="0" w:space="0" w:color="auto"/>
        <w:right w:val="none" w:sz="0" w:space="0" w:color="auto"/>
      </w:divBdr>
      <w:divsChild>
        <w:div w:id="452485251">
          <w:marLeft w:val="0"/>
          <w:marRight w:val="0"/>
          <w:marTop w:val="0"/>
          <w:marBottom w:val="0"/>
          <w:divBdr>
            <w:top w:val="none" w:sz="0" w:space="0" w:color="auto"/>
            <w:left w:val="none" w:sz="0" w:space="0" w:color="auto"/>
            <w:bottom w:val="none" w:sz="0" w:space="0" w:color="auto"/>
            <w:right w:val="none" w:sz="0" w:space="0" w:color="auto"/>
          </w:divBdr>
          <w:divsChild>
            <w:div w:id="397748304">
              <w:marLeft w:val="0"/>
              <w:marRight w:val="0"/>
              <w:marTop w:val="0"/>
              <w:marBottom w:val="0"/>
              <w:divBdr>
                <w:top w:val="none" w:sz="0" w:space="0" w:color="auto"/>
                <w:left w:val="none" w:sz="0" w:space="0" w:color="auto"/>
                <w:bottom w:val="none" w:sz="0" w:space="0" w:color="auto"/>
                <w:right w:val="none" w:sz="0" w:space="0" w:color="auto"/>
              </w:divBdr>
              <w:divsChild>
                <w:div w:id="653069880">
                  <w:marLeft w:val="0"/>
                  <w:marRight w:val="0"/>
                  <w:marTop w:val="0"/>
                  <w:marBottom w:val="0"/>
                  <w:divBdr>
                    <w:top w:val="none" w:sz="0" w:space="0" w:color="auto"/>
                    <w:left w:val="none" w:sz="0" w:space="0" w:color="auto"/>
                    <w:bottom w:val="none" w:sz="0" w:space="0" w:color="auto"/>
                    <w:right w:val="none" w:sz="0" w:space="0" w:color="auto"/>
                  </w:divBdr>
                  <w:divsChild>
                    <w:div w:id="1443693456">
                      <w:marLeft w:val="0"/>
                      <w:marRight w:val="0"/>
                      <w:marTop w:val="0"/>
                      <w:marBottom w:val="0"/>
                      <w:divBdr>
                        <w:top w:val="none" w:sz="0" w:space="0" w:color="auto"/>
                        <w:left w:val="none" w:sz="0" w:space="0" w:color="auto"/>
                        <w:bottom w:val="none" w:sz="0" w:space="0" w:color="auto"/>
                        <w:right w:val="none" w:sz="0" w:space="0" w:color="auto"/>
                      </w:divBdr>
                      <w:divsChild>
                        <w:div w:id="4623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89134">
          <w:marLeft w:val="0"/>
          <w:marRight w:val="0"/>
          <w:marTop w:val="0"/>
          <w:marBottom w:val="0"/>
          <w:divBdr>
            <w:top w:val="none" w:sz="0" w:space="0" w:color="auto"/>
            <w:left w:val="none" w:sz="0" w:space="0" w:color="auto"/>
            <w:bottom w:val="none" w:sz="0" w:space="0" w:color="auto"/>
            <w:right w:val="none" w:sz="0" w:space="0" w:color="auto"/>
          </w:divBdr>
        </w:div>
      </w:divsChild>
    </w:div>
    <w:div w:id="821580222">
      <w:bodyDiv w:val="1"/>
      <w:marLeft w:val="0"/>
      <w:marRight w:val="0"/>
      <w:marTop w:val="0"/>
      <w:marBottom w:val="0"/>
      <w:divBdr>
        <w:top w:val="none" w:sz="0" w:space="0" w:color="auto"/>
        <w:left w:val="none" w:sz="0" w:space="0" w:color="auto"/>
        <w:bottom w:val="none" w:sz="0" w:space="0" w:color="auto"/>
        <w:right w:val="none" w:sz="0" w:space="0" w:color="auto"/>
      </w:divBdr>
    </w:div>
    <w:div w:id="822160492">
      <w:bodyDiv w:val="1"/>
      <w:marLeft w:val="0"/>
      <w:marRight w:val="0"/>
      <w:marTop w:val="0"/>
      <w:marBottom w:val="0"/>
      <w:divBdr>
        <w:top w:val="none" w:sz="0" w:space="0" w:color="auto"/>
        <w:left w:val="none" w:sz="0" w:space="0" w:color="auto"/>
        <w:bottom w:val="none" w:sz="0" w:space="0" w:color="auto"/>
        <w:right w:val="none" w:sz="0" w:space="0" w:color="auto"/>
      </w:divBdr>
    </w:div>
    <w:div w:id="822161259">
      <w:bodyDiv w:val="1"/>
      <w:marLeft w:val="0"/>
      <w:marRight w:val="0"/>
      <w:marTop w:val="0"/>
      <w:marBottom w:val="0"/>
      <w:divBdr>
        <w:top w:val="none" w:sz="0" w:space="0" w:color="auto"/>
        <w:left w:val="none" w:sz="0" w:space="0" w:color="auto"/>
        <w:bottom w:val="none" w:sz="0" w:space="0" w:color="auto"/>
        <w:right w:val="none" w:sz="0" w:space="0" w:color="auto"/>
      </w:divBdr>
      <w:divsChild>
        <w:div w:id="749812801">
          <w:marLeft w:val="0"/>
          <w:marRight w:val="0"/>
          <w:marTop w:val="0"/>
          <w:marBottom w:val="0"/>
          <w:divBdr>
            <w:top w:val="none" w:sz="0" w:space="0" w:color="auto"/>
            <w:left w:val="none" w:sz="0" w:space="0" w:color="auto"/>
            <w:bottom w:val="none" w:sz="0" w:space="0" w:color="auto"/>
            <w:right w:val="none" w:sz="0" w:space="0" w:color="auto"/>
          </w:divBdr>
        </w:div>
        <w:div w:id="515660205">
          <w:marLeft w:val="0"/>
          <w:marRight w:val="0"/>
          <w:marTop w:val="0"/>
          <w:marBottom w:val="0"/>
          <w:divBdr>
            <w:top w:val="none" w:sz="0" w:space="0" w:color="auto"/>
            <w:left w:val="none" w:sz="0" w:space="0" w:color="auto"/>
            <w:bottom w:val="none" w:sz="0" w:space="0" w:color="auto"/>
            <w:right w:val="none" w:sz="0" w:space="0" w:color="auto"/>
          </w:divBdr>
        </w:div>
        <w:div w:id="1834836790">
          <w:marLeft w:val="0"/>
          <w:marRight w:val="0"/>
          <w:marTop w:val="0"/>
          <w:marBottom w:val="0"/>
          <w:divBdr>
            <w:top w:val="none" w:sz="0" w:space="0" w:color="auto"/>
            <w:left w:val="none" w:sz="0" w:space="0" w:color="auto"/>
            <w:bottom w:val="none" w:sz="0" w:space="0" w:color="auto"/>
            <w:right w:val="none" w:sz="0" w:space="0" w:color="auto"/>
          </w:divBdr>
        </w:div>
      </w:divsChild>
    </w:div>
    <w:div w:id="829907465">
      <w:bodyDiv w:val="1"/>
      <w:marLeft w:val="0"/>
      <w:marRight w:val="0"/>
      <w:marTop w:val="0"/>
      <w:marBottom w:val="0"/>
      <w:divBdr>
        <w:top w:val="none" w:sz="0" w:space="0" w:color="auto"/>
        <w:left w:val="none" w:sz="0" w:space="0" w:color="auto"/>
        <w:bottom w:val="none" w:sz="0" w:space="0" w:color="auto"/>
        <w:right w:val="none" w:sz="0" w:space="0" w:color="auto"/>
      </w:divBdr>
    </w:div>
    <w:div w:id="842160523">
      <w:bodyDiv w:val="1"/>
      <w:marLeft w:val="0"/>
      <w:marRight w:val="0"/>
      <w:marTop w:val="0"/>
      <w:marBottom w:val="0"/>
      <w:divBdr>
        <w:top w:val="none" w:sz="0" w:space="0" w:color="auto"/>
        <w:left w:val="none" w:sz="0" w:space="0" w:color="auto"/>
        <w:bottom w:val="none" w:sz="0" w:space="0" w:color="auto"/>
        <w:right w:val="none" w:sz="0" w:space="0" w:color="auto"/>
      </w:divBdr>
    </w:div>
    <w:div w:id="849484714">
      <w:bodyDiv w:val="1"/>
      <w:marLeft w:val="0"/>
      <w:marRight w:val="0"/>
      <w:marTop w:val="0"/>
      <w:marBottom w:val="0"/>
      <w:divBdr>
        <w:top w:val="none" w:sz="0" w:space="0" w:color="auto"/>
        <w:left w:val="none" w:sz="0" w:space="0" w:color="auto"/>
        <w:bottom w:val="none" w:sz="0" w:space="0" w:color="auto"/>
        <w:right w:val="none" w:sz="0" w:space="0" w:color="auto"/>
      </w:divBdr>
      <w:divsChild>
        <w:div w:id="1599017848">
          <w:marLeft w:val="0"/>
          <w:marRight w:val="0"/>
          <w:marTop w:val="0"/>
          <w:marBottom w:val="0"/>
          <w:divBdr>
            <w:top w:val="none" w:sz="0" w:space="0" w:color="auto"/>
            <w:left w:val="none" w:sz="0" w:space="0" w:color="auto"/>
            <w:bottom w:val="none" w:sz="0" w:space="0" w:color="auto"/>
            <w:right w:val="none" w:sz="0" w:space="0" w:color="auto"/>
          </w:divBdr>
        </w:div>
        <w:div w:id="1564873974">
          <w:marLeft w:val="0"/>
          <w:marRight w:val="0"/>
          <w:marTop w:val="0"/>
          <w:marBottom w:val="0"/>
          <w:divBdr>
            <w:top w:val="none" w:sz="0" w:space="0" w:color="auto"/>
            <w:left w:val="none" w:sz="0" w:space="0" w:color="auto"/>
            <w:bottom w:val="none" w:sz="0" w:space="0" w:color="auto"/>
            <w:right w:val="none" w:sz="0" w:space="0" w:color="auto"/>
          </w:divBdr>
        </w:div>
      </w:divsChild>
    </w:div>
    <w:div w:id="852064186">
      <w:bodyDiv w:val="1"/>
      <w:marLeft w:val="0"/>
      <w:marRight w:val="0"/>
      <w:marTop w:val="0"/>
      <w:marBottom w:val="0"/>
      <w:divBdr>
        <w:top w:val="none" w:sz="0" w:space="0" w:color="auto"/>
        <w:left w:val="none" w:sz="0" w:space="0" w:color="auto"/>
        <w:bottom w:val="none" w:sz="0" w:space="0" w:color="auto"/>
        <w:right w:val="none" w:sz="0" w:space="0" w:color="auto"/>
      </w:divBdr>
    </w:div>
    <w:div w:id="870338156">
      <w:bodyDiv w:val="1"/>
      <w:marLeft w:val="0"/>
      <w:marRight w:val="0"/>
      <w:marTop w:val="0"/>
      <w:marBottom w:val="0"/>
      <w:divBdr>
        <w:top w:val="none" w:sz="0" w:space="0" w:color="auto"/>
        <w:left w:val="none" w:sz="0" w:space="0" w:color="auto"/>
        <w:bottom w:val="none" w:sz="0" w:space="0" w:color="auto"/>
        <w:right w:val="none" w:sz="0" w:space="0" w:color="auto"/>
      </w:divBdr>
      <w:divsChild>
        <w:div w:id="944926768">
          <w:marLeft w:val="0"/>
          <w:marRight w:val="0"/>
          <w:marTop w:val="0"/>
          <w:marBottom w:val="0"/>
          <w:divBdr>
            <w:top w:val="none" w:sz="0" w:space="0" w:color="auto"/>
            <w:left w:val="none" w:sz="0" w:space="0" w:color="auto"/>
            <w:bottom w:val="none" w:sz="0" w:space="0" w:color="auto"/>
            <w:right w:val="none" w:sz="0" w:space="0" w:color="auto"/>
          </w:divBdr>
        </w:div>
      </w:divsChild>
    </w:div>
    <w:div w:id="876242391">
      <w:bodyDiv w:val="1"/>
      <w:marLeft w:val="0"/>
      <w:marRight w:val="0"/>
      <w:marTop w:val="0"/>
      <w:marBottom w:val="0"/>
      <w:divBdr>
        <w:top w:val="none" w:sz="0" w:space="0" w:color="auto"/>
        <w:left w:val="none" w:sz="0" w:space="0" w:color="auto"/>
        <w:bottom w:val="none" w:sz="0" w:space="0" w:color="auto"/>
        <w:right w:val="none" w:sz="0" w:space="0" w:color="auto"/>
      </w:divBdr>
    </w:div>
    <w:div w:id="878009433">
      <w:bodyDiv w:val="1"/>
      <w:marLeft w:val="0"/>
      <w:marRight w:val="0"/>
      <w:marTop w:val="0"/>
      <w:marBottom w:val="0"/>
      <w:divBdr>
        <w:top w:val="none" w:sz="0" w:space="0" w:color="auto"/>
        <w:left w:val="none" w:sz="0" w:space="0" w:color="auto"/>
        <w:bottom w:val="none" w:sz="0" w:space="0" w:color="auto"/>
        <w:right w:val="none" w:sz="0" w:space="0" w:color="auto"/>
      </w:divBdr>
      <w:divsChild>
        <w:div w:id="1631859383">
          <w:marLeft w:val="0"/>
          <w:marRight w:val="0"/>
          <w:marTop w:val="0"/>
          <w:marBottom w:val="0"/>
          <w:divBdr>
            <w:top w:val="none" w:sz="0" w:space="0" w:color="auto"/>
            <w:left w:val="none" w:sz="0" w:space="0" w:color="auto"/>
            <w:bottom w:val="none" w:sz="0" w:space="0" w:color="auto"/>
            <w:right w:val="none" w:sz="0" w:space="0" w:color="auto"/>
          </w:divBdr>
        </w:div>
      </w:divsChild>
    </w:div>
    <w:div w:id="896664982">
      <w:bodyDiv w:val="1"/>
      <w:marLeft w:val="0"/>
      <w:marRight w:val="0"/>
      <w:marTop w:val="0"/>
      <w:marBottom w:val="0"/>
      <w:divBdr>
        <w:top w:val="none" w:sz="0" w:space="0" w:color="auto"/>
        <w:left w:val="none" w:sz="0" w:space="0" w:color="auto"/>
        <w:bottom w:val="none" w:sz="0" w:space="0" w:color="auto"/>
        <w:right w:val="none" w:sz="0" w:space="0" w:color="auto"/>
      </w:divBdr>
    </w:div>
    <w:div w:id="901908887">
      <w:bodyDiv w:val="1"/>
      <w:marLeft w:val="0"/>
      <w:marRight w:val="0"/>
      <w:marTop w:val="0"/>
      <w:marBottom w:val="0"/>
      <w:divBdr>
        <w:top w:val="none" w:sz="0" w:space="0" w:color="auto"/>
        <w:left w:val="none" w:sz="0" w:space="0" w:color="auto"/>
        <w:bottom w:val="none" w:sz="0" w:space="0" w:color="auto"/>
        <w:right w:val="none" w:sz="0" w:space="0" w:color="auto"/>
      </w:divBdr>
    </w:div>
    <w:div w:id="936333286">
      <w:bodyDiv w:val="1"/>
      <w:marLeft w:val="0"/>
      <w:marRight w:val="0"/>
      <w:marTop w:val="0"/>
      <w:marBottom w:val="0"/>
      <w:divBdr>
        <w:top w:val="none" w:sz="0" w:space="0" w:color="auto"/>
        <w:left w:val="none" w:sz="0" w:space="0" w:color="auto"/>
        <w:bottom w:val="none" w:sz="0" w:space="0" w:color="auto"/>
        <w:right w:val="none" w:sz="0" w:space="0" w:color="auto"/>
      </w:divBdr>
      <w:divsChild>
        <w:div w:id="1531605592">
          <w:marLeft w:val="0"/>
          <w:marRight w:val="0"/>
          <w:marTop w:val="0"/>
          <w:marBottom w:val="0"/>
          <w:divBdr>
            <w:top w:val="none" w:sz="0" w:space="0" w:color="auto"/>
            <w:left w:val="none" w:sz="0" w:space="0" w:color="auto"/>
            <w:bottom w:val="none" w:sz="0" w:space="0" w:color="auto"/>
            <w:right w:val="none" w:sz="0" w:space="0" w:color="auto"/>
          </w:divBdr>
          <w:divsChild>
            <w:div w:id="1909419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3172951">
      <w:bodyDiv w:val="1"/>
      <w:marLeft w:val="0"/>
      <w:marRight w:val="0"/>
      <w:marTop w:val="0"/>
      <w:marBottom w:val="0"/>
      <w:divBdr>
        <w:top w:val="none" w:sz="0" w:space="0" w:color="auto"/>
        <w:left w:val="none" w:sz="0" w:space="0" w:color="auto"/>
        <w:bottom w:val="none" w:sz="0" w:space="0" w:color="auto"/>
        <w:right w:val="none" w:sz="0" w:space="0" w:color="auto"/>
      </w:divBdr>
    </w:div>
    <w:div w:id="954361662">
      <w:bodyDiv w:val="1"/>
      <w:marLeft w:val="0"/>
      <w:marRight w:val="0"/>
      <w:marTop w:val="0"/>
      <w:marBottom w:val="0"/>
      <w:divBdr>
        <w:top w:val="none" w:sz="0" w:space="0" w:color="auto"/>
        <w:left w:val="none" w:sz="0" w:space="0" w:color="auto"/>
        <w:bottom w:val="none" w:sz="0" w:space="0" w:color="auto"/>
        <w:right w:val="none" w:sz="0" w:space="0" w:color="auto"/>
      </w:divBdr>
    </w:div>
    <w:div w:id="995843736">
      <w:bodyDiv w:val="1"/>
      <w:marLeft w:val="0"/>
      <w:marRight w:val="0"/>
      <w:marTop w:val="0"/>
      <w:marBottom w:val="0"/>
      <w:divBdr>
        <w:top w:val="none" w:sz="0" w:space="0" w:color="auto"/>
        <w:left w:val="none" w:sz="0" w:space="0" w:color="auto"/>
        <w:bottom w:val="none" w:sz="0" w:space="0" w:color="auto"/>
        <w:right w:val="none" w:sz="0" w:space="0" w:color="auto"/>
      </w:divBdr>
      <w:divsChild>
        <w:div w:id="1683624599">
          <w:marLeft w:val="0"/>
          <w:marRight w:val="0"/>
          <w:marTop w:val="0"/>
          <w:marBottom w:val="0"/>
          <w:divBdr>
            <w:top w:val="none" w:sz="0" w:space="0" w:color="auto"/>
            <w:left w:val="none" w:sz="0" w:space="0" w:color="auto"/>
            <w:bottom w:val="none" w:sz="0" w:space="0" w:color="auto"/>
            <w:right w:val="none" w:sz="0" w:space="0" w:color="auto"/>
          </w:divBdr>
          <w:divsChild>
            <w:div w:id="1015956357">
              <w:marLeft w:val="0"/>
              <w:marRight w:val="0"/>
              <w:marTop w:val="0"/>
              <w:marBottom w:val="0"/>
              <w:divBdr>
                <w:top w:val="none" w:sz="0" w:space="0" w:color="auto"/>
                <w:left w:val="none" w:sz="0" w:space="0" w:color="auto"/>
                <w:bottom w:val="none" w:sz="0" w:space="0" w:color="auto"/>
                <w:right w:val="none" w:sz="0" w:space="0" w:color="auto"/>
              </w:divBdr>
              <w:divsChild>
                <w:div w:id="13038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608">
      <w:bodyDiv w:val="1"/>
      <w:marLeft w:val="0"/>
      <w:marRight w:val="0"/>
      <w:marTop w:val="0"/>
      <w:marBottom w:val="0"/>
      <w:divBdr>
        <w:top w:val="none" w:sz="0" w:space="0" w:color="auto"/>
        <w:left w:val="none" w:sz="0" w:space="0" w:color="auto"/>
        <w:bottom w:val="none" w:sz="0" w:space="0" w:color="auto"/>
        <w:right w:val="none" w:sz="0" w:space="0" w:color="auto"/>
      </w:divBdr>
    </w:div>
    <w:div w:id="1063869041">
      <w:bodyDiv w:val="1"/>
      <w:marLeft w:val="0"/>
      <w:marRight w:val="0"/>
      <w:marTop w:val="0"/>
      <w:marBottom w:val="0"/>
      <w:divBdr>
        <w:top w:val="none" w:sz="0" w:space="0" w:color="auto"/>
        <w:left w:val="none" w:sz="0" w:space="0" w:color="auto"/>
        <w:bottom w:val="none" w:sz="0" w:space="0" w:color="auto"/>
        <w:right w:val="none" w:sz="0" w:space="0" w:color="auto"/>
      </w:divBdr>
    </w:div>
    <w:div w:id="1068765380">
      <w:bodyDiv w:val="1"/>
      <w:marLeft w:val="0"/>
      <w:marRight w:val="0"/>
      <w:marTop w:val="0"/>
      <w:marBottom w:val="0"/>
      <w:divBdr>
        <w:top w:val="none" w:sz="0" w:space="0" w:color="auto"/>
        <w:left w:val="none" w:sz="0" w:space="0" w:color="auto"/>
        <w:bottom w:val="none" w:sz="0" w:space="0" w:color="auto"/>
        <w:right w:val="none" w:sz="0" w:space="0" w:color="auto"/>
      </w:divBdr>
    </w:div>
    <w:div w:id="1076245887">
      <w:bodyDiv w:val="1"/>
      <w:marLeft w:val="0"/>
      <w:marRight w:val="0"/>
      <w:marTop w:val="0"/>
      <w:marBottom w:val="0"/>
      <w:divBdr>
        <w:top w:val="none" w:sz="0" w:space="0" w:color="auto"/>
        <w:left w:val="none" w:sz="0" w:space="0" w:color="auto"/>
        <w:bottom w:val="none" w:sz="0" w:space="0" w:color="auto"/>
        <w:right w:val="none" w:sz="0" w:space="0" w:color="auto"/>
      </w:divBdr>
      <w:divsChild>
        <w:div w:id="557672387">
          <w:marLeft w:val="0"/>
          <w:marRight w:val="0"/>
          <w:marTop w:val="0"/>
          <w:marBottom w:val="0"/>
          <w:divBdr>
            <w:top w:val="none" w:sz="0" w:space="0" w:color="auto"/>
            <w:left w:val="none" w:sz="0" w:space="0" w:color="auto"/>
            <w:bottom w:val="none" w:sz="0" w:space="0" w:color="auto"/>
            <w:right w:val="none" w:sz="0" w:space="0" w:color="auto"/>
          </w:divBdr>
          <w:divsChild>
            <w:div w:id="2045133936">
              <w:marLeft w:val="0"/>
              <w:marRight w:val="0"/>
              <w:marTop w:val="0"/>
              <w:marBottom w:val="0"/>
              <w:divBdr>
                <w:top w:val="none" w:sz="0" w:space="0" w:color="auto"/>
                <w:left w:val="none" w:sz="0" w:space="0" w:color="auto"/>
                <w:bottom w:val="none" w:sz="0" w:space="0" w:color="auto"/>
                <w:right w:val="none" w:sz="0" w:space="0" w:color="auto"/>
              </w:divBdr>
              <w:divsChild>
                <w:div w:id="21440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5846">
      <w:bodyDiv w:val="1"/>
      <w:marLeft w:val="0"/>
      <w:marRight w:val="0"/>
      <w:marTop w:val="0"/>
      <w:marBottom w:val="0"/>
      <w:divBdr>
        <w:top w:val="none" w:sz="0" w:space="0" w:color="auto"/>
        <w:left w:val="none" w:sz="0" w:space="0" w:color="auto"/>
        <w:bottom w:val="none" w:sz="0" w:space="0" w:color="auto"/>
        <w:right w:val="none" w:sz="0" w:space="0" w:color="auto"/>
      </w:divBdr>
    </w:div>
    <w:div w:id="1102646859">
      <w:bodyDiv w:val="1"/>
      <w:marLeft w:val="0"/>
      <w:marRight w:val="0"/>
      <w:marTop w:val="0"/>
      <w:marBottom w:val="0"/>
      <w:divBdr>
        <w:top w:val="none" w:sz="0" w:space="0" w:color="auto"/>
        <w:left w:val="none" w:sz="0" w:space="0" w:color="auto"/>
        <w:bottom w:val="none" w:sz="0" w:space="0" w:color="auto"/>
        <w:right w:val="none" w:sz="0" w:space="0" w:color="auto"/>
      </w:divBdr>
      <w:divsChild>
        <w:div w:id="672420122">
          <w:marLeft w:val="0"/>
          <w:marRight w:val="0"/>
          <w:marTop w:val="240"/>
          <w:marBottom w:val="0"/>
          <w:divBdr>
            <w:top w:val="none" w:sz="0" w:space="0" w:color="auto"/>
            <w:left w:val="none" w:sz="0" w:space="0" w:color="auto"/>
            <w:bottom w:val="none" w:sz="0" w:space="0" w:color="auto"/>
            <w:right w:val="none" w:sz="0" w:space="0" w:color="auto"/>
          </w:divBdr>
          <w:divsChild>
            <w:div w:id="1475872636">
              <w:marLeft w:val="0"/>
              <w:marRight w:val="0"/>
              <w:marTop w:val="0"/>
              <w:marBottom w:val="0"/>
              <w:divBdr>
                <w:top w:val="none" w:sz="0" w:space="0" w:color="auto"/>
                <w:left w:val="none" w:sz="0" w:space="0" w:color="auto"/>
                <w:bottom w:val="none" w:sz="0" w:space="0" w:color="auto"/>
                <w:right w:val="none" w:sz="0" w:space="0" w:color="auto"/>
              </w:divBdr>
              <w:divsChild>
                <w:div w:id="905726586">
                  <w:marLeft w:val="0"/>
                  <w:marRight w:val="0"/>
                  <w:marTop w:val="0"/>
                  <w:marBottom w:val="0"/>
                  <w:divBdr>
                    <w:top w:val="none" w:sz="0" w:space="0" w:color="auto"/>
                    <w:left w:val="none" w:sz="0" w:space="0" w:color="auto"/>
                    <w:bottom w:val="none" w:sz="0" w:space="0" w:color="auto"/>
                    <w:right w:val="none" w:sz="0" w:space="0" w:color="auto"/>
                  </w:divBdr>
                  <w:divsChild>
                    <w:div w:id="5187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20392">
          <w:marLeft w:val="0"/>
          <w:marRight w:val="0"/>
          <w:marTop w:val="260"/>
          <w:marBottom w:val="0"/>
          <w:divBdr>
            <w:top w:val="none" w:sz="0" w:space="0" w:color="auto"/>
            <w:left w:val="none" w:sz="0" w:space="0" w:color="auto"/>
            <w:bottom w:val="none" w:sz="0" w:space="0" w:color="auto"/>
            <w:right w:val="none" w:sz="0" w:space="0" w:color="auto"/>
          </w:divBdr>
          <w:divsChild>
            <w:div w:id="1158115836">
              <w:marLeft w:val="0"/>
              <w:marRight w:val="0"/>
              <w:marTop w:val="0"/>
              <w:marBottom w:val="0"/>
              <w:divBdr>
                <w:top w:val="none" w:sz="0" w:space="0" w:color="auto"/>
                <w:left w:val="none" w:sz="0" w:space="0" w:color="auto"/>
                <w:bottom w:val="none" w:sz="0" w:space="0" w:color="auto"/>
                <w:right w:val="none" w:sz="0" w:space="0" w:color="auto"/>
              </w:divBdr>
              <w:divsChild>
                <w:div w:id="615645973">
                  <w:marLeft w:val="0"/>
                  <w:marRight w:val="0"/>
                  <w:marTop w:val="0"/>
                  <w:marBottom w:val="0"/>
                  <w:divBdr>
                    <w:top w:val="none" w:sz="0" w:space="0" w:color="auto"/>
                    <w:left w:val="none" w:sz="0" w:space="0" w:color="auto"/>
                    <w:bottom w:val="none" w:sz="0" w:space="0" w:color="auto"/>
                    <w:right w:val="none" w:sz="0" w:space="0" w:color="auto"/>
                  </w:divBdr>
                  <w:divsChild>
                    <w:div w:id="186606877">
                      <w:marLeft w:val="0"/>
                      <w:marRight w:val="0"/>
                      <w:marTop w:val="0"/>
                      <w:marBottom w:val="0"/>
                      <w:divBdr>
                        <w:top w:val="none" w:sz="0" w:space="0" w:color="auto"/>
                        <w:left w:val="none" w:sz="0" w:space="0" w:color="auto"/>
                        <w:bottom w:val="none" w:sz="0" w:space="0" w:color="auto"/>
                        <w:right w:val="none" w:sz="0" w:space="0" w:color="auto"/>
                      </w:divBdr>
                      <w:divsChild>
                        <w:div w:id="20005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99113">
          <w:marLeft w:val="0"/>
          <w:marRight w:val="0"/>
          <w:marTop w:val="60"/>
          <w:marBottom w:val="0"/>
          <w:divBdr>
            <w:top w:val="none" w:sz="0" w:space="0" w:color="auto"/>
            <w:left w:val="none" w:sz="0" w:space="0" w:color="auto"/>
            <w:bottom w:val="none" w:sz="0" w:space="0" w:color="auto"/>
            <w:right w:val="none" w:sz="0" w:space="0" w:color="auto"/>
          </w:divBdr>
          <w:divsChild>
            <w:div w:id="1304315897">
              <w:marLeft w:val="0"/>
              <w:marRight w:val="0"/>
              <w:marTop w:val="0"/>
              <w:marBottom w:val="0"/>
              <w:divBdr>
                <w:top w:val="none" w:sz="0" w:space="0" w:color="auto"/>
                <w:left w:val="none" w:sz="0" w:space="0" w:color="auto"/>
                <w:bottom w:val="none" w:sz="0" w:space="0" w:color="auto"/>
                <w:right w:val="none" w:sz="0" w:space="0" w:color="auto"/>
              </w:divBdr>
              <w:divsChild>
                <w:div w:id="15497567">
                  <w:marLeft w:val="0"/>
                  <w:marRight w:val="0"/>
                  <w:marTop w:val="0"/>
                  <w:marBottom w:val="0"/>
                  <w:divBdr>
                    <w:top w:val="none" w:sz="0" w:space="0" w:color="auto"/>
                    <w:left w:val="none" w:sz="0" w:space="0" w:color="auto"/>
                    <w:bottom w:val="none" w:sz="0" w:space="0" w:color="auto"/>
                    <w:right w:val="none" w:sz="0" w:space="0" w:color="auto"/>
                  </w:divBdr>
                  <w:divsChild>
                    <w:div w:id="1486774969">
                      <w:marLeft w:val="0"/>
                      <w:marRight w:val="0"/>
                      <w:marTop w:val="0"/>
                      <w:marBottom w:val="0"/>
                      <w:divBdr>
                        <w:top w:val="none" w:sz="0" w:space="0" w:color="auto"/>
                        <w:left w:val="none" w:sz="0" w:space="0" w:color="auto"/>
                        <w:bottom w:val="none" w:sz="0" w:space="0" w:color="auto"/>
                        <w:right w:val="none" w:sz="0" w:space="0" w:color="auto"/>
                      </w:divBdr>
                      <w:divsChild>
                        <w:div w:id="18518660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97281">
      <w:bodyDiv w:val="1"/>
      <w:marLeft w:val="0"/>
      <w:marRight w:val="0"/>
      <w:marTop w:val="0"/>
      <w:marBottom w:val="0"/>
      <w:divBdr>
        <w:top w:val="none" w:sz="0" w:space="0" w:color="auto"/>
        <w:left w:val="none" w:sz="0" w:space="0" w:color="auto"/>
        <w:bottom w:val="none" w:sz="0" w:space="0" w:color="auto"/>
        <w:right w:val="none" w:sz="0" w:space="0" w:color="auto"/>
      </w:divBdr>
    </w:div>
    <w:div w:id="1136795828">
      <w:bodyDiv w:val="1"/>
      <w:marLeft w:val="0"/>
      <w:marRight w:val="0"/>
      <w:marTop w:val="0"/>
      <w:marBottom w:val="0"/>
      <w:divBdr>
        <w:top w:val="none" w:sz="0" w:space="0" w:color="auto"/>
        <w:left w:val="none" w:sz="0" w:space="0" w:color="auto"/>
        <w:bottom w:val="none" w:sz="0" w:space="0" w:color="auto"/>
        <w:right w:val="none" w:sz="0" w:space="0" w:color="auto"/>
      </w:divBdr>
    </w:div>
    <w:div w:id="1138916748">
      <w:bodyDiv w:val="1"/>
      <w:marLeft w:val="0"/>
      <w:marRight w:val="0"/>
      <w:marTop w:val="0"/>
      <w:marBottom w:val="0"/>
      <w:divBdr>
        <w:top w:val="none" w:sz="0" w:space="0" w:color="auto"/>
        <w:left w:val="none" w:sz="0" w:space="0" w:color="auto"/>
        <w:bottom w:val="none" w:sz="0" w:space="0" w:color="auto"/>
        <w:right w:val="none" w:sz="0" w:space="0" w:color="auto"/>
      </w:divBdr>
    </w:div>
    <w:div w:id="1161311332">
      <w:bodyDiv w:val="1"/>
      <w:marLeft w:val="0"/>
      <w:marRight w:val="0"/>
      <w:marTop w:val="0"/>
      <w:marBottom w:val="0"/>
      <w:divBdr>
        <w:top w:val="none" w:sz="0" w:space="0" w:color="auto"/>
        <w:left w:val="none" w:sz="0" w:space="0" w:color="auto"/>
        <w:bottom w:val="none" w:sz="0" w:space="0" w:color="auto"/>
        <w:right w:val="none" w:sz="0" w:space="0" w:color="auto"/>
      </w:divBdr>
    </w:div>
    <w:div w:id="1198351109">
      <w:bodyDiv w:val="1"/>
      <w:marLeft w:val="0"/>
      <w:marRight w:val="0"/>
      <w:marTop w:val="0"/>
      <w:marBottom w:val="0"/>
      <w:divBdr>
        <w:top w:val="none" w:sz="0" w:space="0" w:color="auto"/>
        <w:left w:val="none" w:sz="0" w:space="0" w:color="auto"/>
        <w:bottom w:val="none" w:sz="0" w:space="0" w:color="auto"/>
        <w:right w:val="none" w:sz="0" w:space="0" w:color="auto"/>
      </w:divBdr>
      <w:divsChild>
        <w:div w:id="1723288031">
          <w:marLeft w:val="0"/>
          <w:marRight w:val="0"/>
          <w:marTop w:val="260"/>
          <w:marBottom w:val="0"/>
          <w:divBdr>
            <w:top w:val="none" w:sz="0" w:space="0" w:color="auto"/>
            <w:left w:val="none" w:sz="0" w:space="0" w:color="auto"/>
            <w:bottom w:val="none" w:sz="0" w:space="0" w:color="auto"/>
            <w:right w:val="none" w:sz="0" w:space="0" w:color="auto"/>
          </w:divBdr>
          <w:divsChild>
            <w:div w:id="59180155">
              <w:marLeft w:val="0"/>
              <w:marRight w:val="0"/>
              <w:marTop w:val="0"/>
              <w:marBottom w:val="0"/>
              <w:divBdr>
                <w:top w:val="none" w:sz="0" w:space="0" w:color="auto"/>
                <w:left w:val="none" w:sz="0" w:space="0" w:color="auto"/>
                <w:bottom w:val="none" w:sz="0" w:space="0" w:color="auto"/>
                <w:right w:val="none" w:sz="0" w:space="0" w:color="auto"/>
              </w:divBdr>
              <w:divsChild>
                <w:div w:id="1734043088">
                  <w:marLeft w:val="0"/>
                  <w:marRight w:val="0"/>
                  <w:marTop w:val="0"/>
                  <w:marBottom w:val="0"/>
                  <w:divBdr>
                    <w:top w:val="none" w:sz="0" w:space="0" w:color="auto"/>
                    <w:left w:val="none" w:sz="0" w:space="0" w:color="auto"/>
                    <w:bottom w:val="none" w:sz="0" w:space="0" w:color="auto"/>
                    <w:right w:val="none" w:sz="0" w:space="0" w:color="auto"/>
                  </w:divBdr>
                  <w:divsChild>
                    <w:div w:id="552959451">
                      <w:marLeft w:val="0"/>
                      <w:marRight w:val="0"/>
                      <w:marTop w:val="0"/>
                      <w:marBottom w:val="0"/>
                      <w:divBdr>
                        <w:top w:val="none" w:sz="0" w:space="0" w:color="auto"/>
                        <w:left w:val="none" w:sz="0" w:space="0" w:color="auto"/>
                        <w:bottom w:val="none" w:sz="0" w:space="0" w:color="auto"/>
                        <w:right w:val="none" w:sz="0" w:space="0" w:color="auto"/>
                      </w:divBdr>
                      <w:divsChild>
                        <w:div w:id="6560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98507">
          <w:marLeft w:val="0"/>
          <w:marRight w:val="0"/>
          <w:marTop w:val="60"/>
          <w:marBottom w:val="0"/>
          <w:divBdr>
            <w:top w:val="none" w:sz="0" w:space="0" w:color="auto"/>
            <w:left w:val="none" w:sz="0" w:space="0" w:color="auto"/>
            <w:bottom w:val="none" w:sz="0" w:space="0" w:color="auto"/>
            <w:right w:val="none" w:sz="0" w:space="0" w:color="auto"/>
          </w:divBdr>
          <w:divsChild>
            <w:div w:id="1508403781">
              <w:marLeft w:val="0"/>
              <w:marRight w:val="0"/>
              <w:marTop w:val="0"/>
              <w:marBottom w:val="0"/>
              <w:divBdr>
                <w:top w:val="none" w:sz="0" w:space="0" w:color="auto"/>
                <w:left w:val="none" w:sz="0" w:space="0" w:color="auto"/>
                <w:bottom w:val="none" w:sz="0" w:space="0" w:color="auto"/>
                <w:right w:val="none" w:sz="0" w:space="0" w:color="auto"/>
              </w:divBdr>
              <w:divsChild>
                <w:div w:id="1717462793">
                  <w:marLeft w:val="0"/>
                  <w:marRight w:val="0"/>
                  <w:marTop w:val="0"/>
                  <w:marBottom w:val="0"/>
                  <w:divBdr>
                    <w:top w:val="none" w:sz="0" w:space="0" w:color="auto"/>
                    <w:left w:val="none" w:sz="0" w:space="0" w:color="auto"/>
                    <w:bottom w:val="none" w:sz="0" w:space="0" w:color="auto"/>
                    <w:right w:val="none" w:sz="0" w:space="0" w:color="auto"/>
                  </w:divBdr>
                  <w:divsChild>
                    <w:div w:id="75245296">
                      <w:marLeft w:val="0"/>
                      <w:marRight w:val="0"/>
                      <w:marTop w:val="0"/>
                      <w:marBottom w:val="0"/>
                      <w:divBdr>
                        <w:top w:val="none" w:sz="0" w:space="0" w:color="auto"/>
                        <w:left w:val="none" w:sz="0" w:space="0" w:color="auto"/>
                        <w:bottom w:val="none" w:sz="0" w:space="0" w:color="auto"/>
                        <w:right w:val="none" w:sz="0" w:space="0" w:color="auto"/>
                      </w:divBdr>
                      <w:divsChild>
                        <w:div w:id="4581060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89132">
      <w:bodyDiv w:val="1"/>
      <w:marLeft w:val="0"/>
      <w:marRight w:val="0"/>
      <w:marTop w:val="0"/>
      <w:marBottom w:val="0"/>
      <w:divBdr>
        <w:top w:val="none" w:sz="0" w:space="0" w:color="auto"/>
        <w:left w:val="none" w:sz="0" w:space="0" w:color="auto"/>
        <w:bottom w:val="none" w:sz="0" w:space="0" w:color="auto"/>
        <w:right w:val="none" w:sz="0" w:space="0" w:color="auto"/>
      </w:divBdr>
    </w:div>
    <w:div w:id="1209024740">
      <w:bodyDiv w:val="1"/>
      <w:marLeft w:val="0"/>
      <w:marRight w:val="0"/>
      <w:marTop w:val="0"/>
      <w:marBottom w:val="0"/>
      <w:divBdr>
        <w:top w:val="none" w:sz="0" w:space="0" w:color="auto"/>
        <w:left w:val="none" w:sz="0" w:space="0" w:color="auto"/>
        <w:bottom w:val="none" w:sz="0" w:space="0" w:color="auto"/>
        <w:right w:val="none" w:sz="0" w:space="0" w:color="auto"/>
      </w:divBdr>
    </w:div>
    <w:div w:id="1218518697">
      <w:bodyDiv w:val="1"/>
      <w:marLeft w:val="0"/>
      <w:marRight w:val="0"/>
      <w:marTop w:val="0"/>
      <w:marBottom w:val="0"/>
      <w:divBdr>
        <w:top w:val="none" w:sz="0" w:space="0" w:color="auto"/>
        <w:left w:val="none" w:sz="0" w:space="0" w:color="auto"/>
        <w:bottom w:val="none" w:sz="0" w:space="0" w:color="auto"/>
        <w:right w:val="none" w:sz="0" w:space="0" w:color="auto"/>
      </w:divBdr>
    </w:div>
    <w:div w:id="1235816215">
      <w:bodyDiv w:val="1"/>
      <w:marLeft w:val="0"/>
      <w:marRight w:val="0"/>
      <w:marTop w:val="0"/>
      <w:marBottom w:val="0"/>
      <w:divBdr>
        <w:top w:val="none" w:sz="0" w:space="0" w:color="auto"/>
        <w:left w:val="none" w:sz="0" w:space="0" w:color="auto"/>
        <w:bottom w:val="none" w:sz="0" w:space="0" w:color="auto"/>
        <w:right w:val="none" w:sz="0" w:space="0" w:color="auto"/>
      </w:divBdr>
    </w:div>
    <w:div w:id="1245263543">
      <w:bodyDiv w:val="1"/>
      <w:marLeft w:val="0"/>
      <w:marRight w:val="0"/>
      <w:marTop w:val="0"/>
      <w:marBottom w:val="0"/>
      <w:divBdr>
        <w:top w:val="none" w:sz="0" w:space="0" w:color="auto"/>
        <w:left w:val="none" w:sz="0" w:space="0" w:color="auto"/>
        <w:bottom w:val="none" w:sz="0" w:space="0" w:color="auto"/>
        <w:right w:val="none" w:sz="0" w:space="0" w:color="auto"/>
      </w:divBdr>
      <w:divsChild>
        <w:div w:id="2050181699">
          <w:marLeft w:val="0"/>
          <w:marRight w:val="0"/>
          <w:marTop w:val="0"/>
          <w:marBottom w:val="0"/>
          <w:divBdr>
            <w:top w:val="none" w:sz="0" w:space="0" w:color="auto"/>
            <w:left w:val="none" w:sz="0" w:space="0" w:color="auto"/>
            <w:bottom w:val="none" w:sz="0" w:space="0" w:color="auto"/>
            <w:right w:val="none" w:sz="0" w:space="0" w:color="auto"/>
          </w:divBdr>
        </w:div>
        <w:div w:id="374476519">
          <w:marLeft w:val="0"/>
          <w:marRight w:val="0"/>
          <w:marTop w:val="0"/>
          <w:marBottom w:val="0"/>
          <w:divBdr>
            <w:top w:val="none" w:sz="0" w:space="0" w:color="auto"/>
            <w:left w:val="none" w:sz="0" w:space="0" w:color="auto"/>
            <w:bottom w:val="none" w:sz="0" w:space="0" w:color="auto"/>
            <w:right w:val="none" w:sz="0" w:space="0" w:color="auto"/>
          </w:divBdr>
        </w:div>
      </w:divsChild>
    </w:div>
    <w:div w:id="1247223166">
      <w:bodyDiv w:val="1"/>
      <w:marLeft w:val="0"/>
      <w:marRight w:val="0"/>
      <w:marTop w:val="0"/>
      <w:marBottom w:val="0"/>
      <w:divBdr>
        <w:top w:val="none" w:sz="0" w:space="0" w:color="auto"/>
        <w:left w:val="none" w:sz="0" w:space="0" w:color="auto"/>
        <w:bottom w:val="none" w:sz="0" w:space="0" w:color="auto"/>
        <w:right w:val="none" w:sz="0" w:space="0" w:color="auto"/>
      </w:divBdr>
      <w:divsChild>
        <w:div w:id="279147935">
          <w:marLeft w:val="0"/>
          <w:marRight w:val="0"/>
          <w:marTop w:val="0"/>
          <w:marBottom w:val="0"/>
          <w:divBdr>
            <w:top w:val="none" w:sz="0" w:space="0" w:color="auto"/>
            <w:left w:val="none" w:sz="0" w:space="0" w:color="auto"/>
            <w:bottom w:val="none" w:sz="0" w:space="0" w:color="auto"/>
            <w:right w:val="none" w:sz="0" w:space="0" w:color="auto"/>
          </w:divBdr>
          <w:divsChild>
            <w:div w:id="1403522580">
              <w:marLeft w:val="0"/>
              <w:marRight w:val="0"/>
              <w:marTop w:val="0"/>
              <w:marBottom w:val="0"/>
              <w:divBdr>
                <w:top w:val="none" w:sz="0" w:space="0" w:color="auto"/>
                <w:left w:val="none" w:sz="0" w:space="0" w:color="auto"/>
                <w:bottom w:val="none" w:sz="0" w:space="0" w:color="auto"/>
                <w:right w:val="none" w:sz="0" w:space="0" w:color="auto"/>
              </w:divBdr>
            </w:div>
          </w:divsChild>
        </w:div>
        <w:div w:id="368384594">
          <w:marLeft w:val="0"/>
          <w:marRight w:val="0"/>
          <w:marTop w:val="0"/>
          <w:marBottom w:val="0"/>
          <w:divBdr>
            <w:top w:val="none" w:sz="0" w:space="0" w:color="auto"/>
            <w:left w:val="none" w:sz="0" w:space="0" w:color="auto"/>
            <w:bottom w:val="none" w:sz="0" w:space="0" w:color="auto"/>
            <w:right w:val="none" w:sz="0" w:space="0" w:color="auto"/>
          </w:divBdr>
          <w:divsChild>
            <w:div w:id="20297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8200">
      <w:bodyDiv w:val="1"/>
      <w:marLeft w:val="0"/>
      <w:marRight w:val="0"/>
      <w:marTop w:val="0"/>
      <w:marBottom w:val="0"/>
      <w:divBdr>
        <w:top w:val="none" w:sz="0" w:space="0" w:color="auto"/>
        <w:left w:val="none" w:sz="0" w:space="0" w:color="auto"/>
        <w:bottom w:val="none" w:sz="0" w:space="0" w:color="auto"/>
        <w:right w:val="none" w:sz="0" w:space="0" w:color="auto"/>
      </w:divBdr>
    </w:div>
    <w:div w:id="1254239071">
      <w:bodyDiv w:val="1"/>
      <w:marLeft w:val="0"/>
      <w:marRight w:val="0"/>
      <w:marTop w:val="0"/>
      <w:marBottom w:val="0"/>
      <w:divBdr>
        <w:top w:val="none" w:sz="0" w:space="0" w:color="auto"/>
        <w:left w:val="none" w:sz="0" w:space="0" w:color="auto"/>
        <w:bottom w:val="none" w:sz="0" w:space="0" w:color="auto"/>
        <w:right w:val="none" w:sz="0" w:space="0" w:color="auto"/>
      </w:divBdr>
    </w:div>
    <w:div w:id="1259630957">
      <w:bodyDiv w:val="1"/>
      <w:marLeft w:val="0"/>
      <w:marRight w:val="0"/>
      <w:marTop w:val="0"/>
      <w:marBottom w:val="0"/>
      <w:divBdr>
        <w:top w:val="none" w:sz="0" w:space="0" w:color="auto"/>
        <w:left w:val="none" w:sz="0" w:space="0" w:color="auto"/>
        <w:bottom w:val="none" w:sz="0" w:space="0" w:color="auto"/>
        <w:right w:val="none" w:sz="0" w:space="0" w:color="auto"/>
      </w:divBdr>
      <w:divsChild>
        <w:div w:id="421608411">
          <w:marLeft w:val="0"/>
          <w:marRight w:val="0"/>
          <w:marTop w:val="0"/>
          <w:marBottom w:val="0"/>
          <w:divBdr>
            <w:top w:val="none" w:sz="0" w:space="0" w:color="auto"/>
            <w:left w:val="none" w:sz="0" w:space="0" w:color="auto"/>
            <w:bottom w:val="none" w:sz="0" w:space="0" w:color="auto"/>
            <w:right w:val="none" w:sz="0" w:space="0" w:color="auto"/>
          </w:divBdr>
        </w:div>
      </w:divsChild>
    </w:div>
    <w:div w:id="1262911295">
      <w:bodyDiv w:val="1"/>
      <w:marLeft w:val="0"/>
      <w:marRight w:val="0"/>
      <w:marTop w:val="0"/>
      <w:marBottom w:val="0"/>
      <w:divBdr>
        <w:top w:val="none" w:sz="0" w:space="0" w:color="auto"/>
        <w:left w:val="none" w:sz="0" w:space="0" w:color="auto"/>
        <w:bottom w:val="none" w:sz="0" w:space="0" w:color="auto"/>
        <w:right w:val="none" w:sz="0" w:space="0" w:color="auto"/>
      </w:divBdr>
      <w:divsChild>
        <w:div w:id="279341546">
          <w:marLeft w:val="0"/>
          <w:marRight w:val="0"/>
          <w:marTop w:val="0"/>
          <w:marBottom w:val="0"/>
          <w:divBdr>
            <w:top w:val="none" w:sz="0" w:space="0" w:color="auto"/>
            <w:left w:val="none" w:sz="0" w:space="0" w:color="auto"/>
            <w:bottom w:val="none" w:sz="0" w:space="0" w:color="auto"/>
            <w:right w:val="none" w:sz="0" w:space="0" w:color="auto"/>
          </w:divBdr>
        </w:div>
        <w:div w:id="1438452302">
          <w:marLeft w:val="0"/>
          <w:marRight w:val="0"/>
          <w:marTop w:val="0"/>
          <w:marBottom w:val="0"/>
          <w:divBdr>
            <w:top w:val="none" w:sz="0" w:space="0" w:color="auto"/>
            <w:left w:val="none" w:sz="0" w:space="0" w:color="auto"/>
            <w:bottom w:val="none" w:sz="0" w:space="0" w:color="auto"/>
            <w:right w:val="none" w:sz="0" w:space="0" w:color="auto"/>
          </w:divBdr>
        </w:div>
        <w:div w:id="1821118439">
          <w:marLeft w:val="0"/>
          <w:marRight w:val="0"/>
          <w:marTop w:val="0"/>
          <w:marBottom w:val="0"/>
          <w:divBdr>
            <w:top w:val="none" w:sz="0" w:space="0" w:color="auto"/>
            <w:left w:val="none" w:sz="0" w:space="0" w:color="auto"/>
            <w:bottom w:val="none" w:sz="0" w:space="0" w:color="auto"/>
            <w:right w:val="none" w:sz="0" w:space="0" w:color="auto"/>
          </w:divBdr>
        </w:div>
      </w:divsChild>
    </w:div>
    <w:div w:id="1294867779">
      <w:bodyDiv w:val="1"/>
      <w:marLeft w:val="0"/>
      <w:marRight w:val="0"/>
      <w:marTop w:val="0"/>
      <w:marBottom w:val="0"/>
      <w:divBdr>
        <w:top w:val="none" w:sz="0" w:space="0" w:color="auto"/>
        <w:left w:val="none" w:sz="0" w:space="0" w:color="auto"/>
        <w:bottom w:val="none" w:sz="0" w:space="0" w:color="auto"/>
        <w:right w:val="none" w:sz="0" w:space="0" w:color="auto"/>
      </w:divBdr>
    </w:div>
    <w:div w:id="1310865189">
      <w:bodyDiv w:val="1"/>
      <w:marLeft w:val="0"/>
      <w:marRight w:val="0"/>
      <w:marTop w:val="0"/>
      <w:marBottom w:val="0"/>
      <w:divBdr>
        <w:top w:val="none" w:sz="0" w:space="0" w:color="auto"/>
        <w:left w:val="none" w:sz="0" w:space="0" w:color="auto"/>
        <w:bottom w:val="none" w:sz="0" w:space="0" w:color="auto"/>
        <w:right w:val="none" w:sz="0" w:space="0" w:color="auto"/>
      </w:divBdr>
      <w:divsChild>
        <w:div w:id="30158433">
          <w:marLeft w:val="0"/>
          <w:marRight w:val="0"/>
          <w:marTop w:val="0"/>
          <w:marBottom w:val="0"/>
          <w:divBdr>
            <w:top w:val="none" w:sz="0" w:space="0" w:color="auto"/>
            <w:left w:val="none" w:sz="0" w:space="0" w:color="auto"/>
            <w:bottom w:val="none" w:sz="0" w:space="0" w:color="auto"/>
            <w:right w:val="none" w:sz="0" w:space="0" w:color="auto"/>
          </w:divBdr>
        </w:div>
        <w:div w:id="63188819">
          <w:marLeft w:val="0"/>
          <w:marRight w:val="0"/>
          <w:marTop w:val="0"/>
          <w:marBottom w:val="0"/>
          <w:divBdr>
            <w:top w:val="none" w:sz="0" w:space="0" w:color="auto"/>
            <w:left w:val="none" w:sz="0" w:space="0" w:color="auto"/>
            <w:bottom w:val="none" w:sz="0" w:space="0" w:color="auto"/>
            <w:right w:val="none" w:sz="0" w:space="0" w:color="auto"/>
          </w:divBdr>
          <w:divsChild>
            <w:div w:id="825784288">
              <w:marLeft w:val="0"/>
              <w:marRight w:val="0"/>
              <w:marTop w:val="0"/>
              <w:marBottom w:val="0"/>
              <w:divBdr>
                <w:top w:val="none" w:sz="0" w:space="0" w:color="auto"/>
                <w:left w:val="none" w:sz="0" w:space="0" w:color="auto"/>
                <w:bottom w:val="none" w:sz="0" w:space="0" w:color="auto"/>
                <w:right w:val="none" w:sz="0" w:space="0" w:color="auto"/>
              </w:divBdr>
              <w:divsChild>
                <w:div w:id="942760551">
                  <w:marLeft w:val="0"/>
                  <w:marRight w:val="0"/>
                  <w:marTop w:val="0"/>
                  <w:marBottom w:val="0"/>
                  <w:divBdr>
                    <w:top w:val="none" w:sz="0" w:space="0" w:color="auto"/>
                    <w:left w:val="none" w:sz="0" w:space="0" w:color="auto"/>
                    <w:bottom w:val="none" w:sz="0" w:space="0" w:color="auto"/>
                    <w:right w:val="none" w:sz="0" w:space="0" w:color="auto"/>
                  </w:divBdr>
                </w:div>
                <w:div w:id="1106387271">
                  <w:marLeft w:val="0"/>
                  <w:marRight w:val="0"/>
                  <w:marTop w:val="0"/>
                  <w:marBottom w:val="0"/>
                  <w:divBdr>
                    <w:top w:val="none" w:sz="0" w:space="0" w:color="auto"/>
                    <w:left w:val="none" w:sz="0" w:space="0" w:color="auto"/>
                    <w:bottom w:val="none" w:sz="0" w:space="0" w:color="auto"/>
                    <w:right w:val="none" w:sz="0" w:space="0" w:color="auto"/>
                  </w:divBdr>
                  <w:divsChild>
                    <w:div w:id="1412855174">
                      <w:marLeft w:val="0"/>
                      <w:marRight w:val="0"/>
                      <w:marTop w:val="0"/>
                      <w:marBottom w:val="0"/>
                      <w:divBdr>
                        <w:top w:val="none" w:sz="0" w:space="0" w:color="auto"/>
                        <w:left w:val="none" w:sz="0" w:space="0" w:color="auto"/>
                        <w:bottom w:val="none" w:sz="0" w:space="0" w:color="auto"/>
                        <w:right w:val="none" w:sz="0" w:space="0" w:color="auto"/>
                      </w:divBdr>
                      <w:divsChild>
                        <w:div w:id="412161454">
                          <w:marLeft w:val="0"/>
                          <w:marRight w:val="0"/>
                          <w:marTop w:val="0"/>
                          <w:marBottom w:val="0"/>
                          <w:divBdr>
                            <w:top w:val="none" w:sz="0" w:space="0" w:color="auto"/>
                            <w:left w:val="none" w:sz="0" w:space="0" w:color="auto"/>
                            <w:bottom w:val="none" w:sz="0" w:space="0" w:color="auto"/>
                            <w:right w:val="none" w:sz="0" w:space="0" w:color="auto"/>
                          </w:divBdr>
                          <w:divsChild>
                            <w:div w:id="1959336228">
                              <w:marLeft w:val="0"/>
                              <w:marRight w:val="0"/>
                              <w:marTop w:val="0"/>
                              <w:marBottom w:val="0"/>
                              <w:divBdr>
                                <w:top w:val="none" w:sz="0" w:space="0" w:color="auto"/>
                                <w:left w:val="none" w:sz="0" w:space="0" w:color="auto"/>
                                <w:bottom w:val="none" w:sz="0" w:space="0" w:color="auto"/>
                                <w:right w:val="none" w:sz="0" w:space="0" w:color="auto"/>
                              </w:divBdr>
                              <w:divsChild>
                                <w:div w:id="843974409">
                                  <w:marLeft w:val="0"/>
                                  <w:marRight w:val="0"/>
                                  <w:marTop w:val="0"/>
                                  <w:marBottom w:val="0"/>
                                  <w:divBdr>
                                    <w:top w:val="none" w:sz="0" w:space="0" w:color="auto"/>
                                    <w:left w:val="none" w:sz="0" w:space="0" w:color="auto"/>
                                    <w:bottom w:val="none" w:sz="0" w:space="0" w:color="auto"/>
                                    <w:right w:val="none" w:sz="0" w:space="0" w:color="auto"/>
                                  </w:divBdr>
                                  <w:divsChild>
                                    <w:div w:id="1345984246">
                                      <w:marLeft w:val="0"/>
                                      <w:marRight w:val="0"/>
                                      <w:marTop w:val="0"/>
                                      <w:marBottom w:val="0"/>
                                      <w:divBdr>
                                        <w:top w:val="none" w:sz="0" w:space="0" w:color="auto"/>
                                        <w:left w:val="none" w:sz="0" w:space="0" w:color="auto"/>
                                        <w:bottom w:val="none" w:sz="0" w:space="0" w:color="auto"/>
                                        <w:right w:val="none" w:sz="0" w:space="0" w:color="auto"/>
                                      </w:divBdr>
                                    </w:div>
                                    <w:div w:id="158021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827144">
                  <w:marLeft w:val="0"/>
                  <w:marRight w:val="0"/>
                  <w:marTop w:val="0"/>
                  <w:marBottom w:val="0"/>
                  <w:divBdr>
                    <w:top w:val="none" w:sz="0" w:space="0" w:color="auto"/>
                    <w:left w:val="none" w:sz="0" w:space="0" w:color="auto"/>
                    <w:bottom w:val="none" w:sz="0" w:space="0" w:color="auto"/>
                    <w:right w:val="none" w:sz="0" w:space="0" w:color="auto"/>
                  </w:divBdr>
                </w:div>
                <w:div w:id="2010906953">
                  <w:marLeft w:val="0"/>
                  <w:marRight w:val="0"/>
                  <w:marTop w:val="0"/>
                  <w:marBottom w:val="0"/>
                  <w:divBdr>
                    <w:top w:val="none" w:sz="0" w:space="0" w:color="auto"/>
                    <w:left w:val="none" w:sz="0" w:space="0" w:color="auto"/>
                    <w:bottom w:val="none" w:sz="0" w:space="0" w:color="auto"/>
                    <w:right w:val="none" w:sz="0" w:space="0" w:color="auto"/>
                  </w:divBdr>
                  <w:divsChild>
                    <w:div w:id="963122020">
                      <w:marLeft w:val="0"/>
                      <w:marRight w:val="0"/>
                      <w:marTop w:val="0"/>
                      <w:marBottom w:val="0"/>
                      <w:divBdr>
                        <w:top w:val="none" w:sz="0" w:space="0" w:color="auto"/>
                        <w:left w:val="none" w:sz="0" w:space="0" w:color="auto"/>
                        <w:bottom w:val="none" w:sz="0" w:space="0" w:color="auto"/>
                        <w:right w:val="none" w:sz="0" w:space="0" w:color="auto"/>
                      </w:divBdr>
                      <w:divsChild>
                        <w:div w:id="620233446">
                          <w:marLeft w:val="0"/>
                          <w:marRight w:val="0"/>
                          <w:marTop w:val="0"/>
                          <w:marBottom w:val="0"/>
                          <w:divBdr>
                            <w:top w:val="none" w:sz="0" w:space="0" w:color="auto"/>
                            <w:left w:val="none" w:sz="0" w:space="0" w:color="auto"/>
                            <w:bottom w:val="none" w:sz="0" w:space="0" w:color="auto"/>
                            <w:right w:val="none" w:sz="0" w:space="0" w:color="auto"/>
                          </w:divBdr>
                          <w:divsChild>
                            <w:div w:id="1194727343">
                              <w:marLeft w:val="0"/>
                              <w:marRight w:val="0"/>
                              <w:marTop w:val="0"/>
                              <w:marBottom w:val="0"/>
                              <w:divBdr>
                                <w:top w:val="none" w:sz="0" w:space="0" w:color="auto"/>
                                <w:left w:val="none" w:sz="0" w:space="0" w:color="auto"/>
                                <w:bottom w:val="none" w:sz="0" w:space="0" w:color="auto"/>
                                <w:right w:val="none" w:sz="0" w:space="0" w:color="auto"/>
                              </w:divBdr>
                              <w:divsChild>
                                <w:div w:id="1855534839">
                                  <w:marLeft w:val="0"/>
                                  <w:marRight w:val="0"/>
                                  <w:marTop w:val="0"/>
                                  <w:marBottom w:val="0"/>
                                  <w:divBdr>
                                    <w:top w:val="none" w:sz="0" w:space="0" w:color="auto"/>
                                    <w:left w:val="none" w:sz="0" w:space="0" w:color="auto"/>
                                    <w:bottom w:val="none" w:sz="0" w:space="0" w:color="auto"/>
                                    <w:right w:val="none" w:sz="0" w:space="0" w:color="auto"/>
                                  </w:divBdr>
                                  <w:divsChild>
                                    <w:div w:id="108015005">
                                      <w:marLeft w:val="0"/>
                                      <w:marRight w:val="0"/>
                                      <w:marTop w:val="0"/>
                                      <w:marBottom w:val="0"/>
                                      <w:divBdr>
                                        <w:top w:val="none" w:sz="0" w:space="0" w:color="auto"/>
                                        <w:left w:val="none" w:sz="0" w:space="0" w:color="auto"/>
                                        <w:bottom w:val="none" w:sz="0" w:space="0" w:color="auto"/>
                                        <w:right w:val="none" w:sz="0" w:space="0" w:color="auto"/>
                                      </w:divBdr>
                                    </w:div>
                                    <w:div w:id="2117089700">
                                      <w:marLeft w:val="0"/>
                                      <w:marRight w:val="0"/>
                                      <w:marTop w:val="0"/>
                                      <w:marBottom w:val="0"/>
                                      <w:divBdr>
                                        <w:top w:val="none" w:sz="0" w:space="0" w:color="auto"/>
                                        <w:left w:val="none" w:sz="0" w:space="0" w:color="auto"/>
                                        <w:bottom w:val="none" w:sz="0" w:space="0" w:color="auto"/>
                                        <w:right w:val="none" w:sz="0" w:space="0" w:color="auto"/>
                                      </w:divBdr>
                                    </w:div>
                                  </w:divsChild>
                                </w:div>
                                <w:div w:id="2006664902">
                                  <w:marLeft w:val="0"/>
                                  <w:marRight w:val="0"/>
                                  <w:marTop w:val="0"/>
                                  <w:marBottom w:val="0"/>
                                  <w:divBdr>
                                    <w:top w:val="none" w:sz="0" w:space="0" w:color="auto"/>
                                    <w:left w:val="none" w:sz="0" w:space="0" w:color="auto"/>
                                    <w:bottom w:val="none" w:sz="0" w:space="0" w:color="auto"/>
                                    <w:right w:val="none" w:sz="0" w:space="0" w:color="auto"/>
                                  </w:divBdr>
                                  <w:divsChild>
                                    <w:div w:id="1009141361">
                                      <w:marLeft w:val="0"/>
                                      <w:marRight w:val="0"/>
                                      <w:marTop w:val="0"/>
                                      <w:marBottom w:val="0"/>
                                      <w:divBdr>
                                        <w:top w:val="none" w:sz="0" w:space="0" w:color="auto"/>
                                        <w:left w:val="none" w:sz="0" w:space="0" w:color="auto"/>
                                        <w:bottom w:val="none" w:sz="0" w:space="0" w:color="auto"/>
                                        <w:right w:val="none" w:sz="0" w:space="0" w:color="auto"/>
                                      </w:divBdr>
                                    </w:div>
                                    <w:div w:id="21263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97157">
                          <w:marLeft w:val="0"/>
                          <w:marRight w:val="0"/>
                          <w:marTop w:val="0"/>
                          <w:marBottom w:val="0"/>
                          <w:divBdr>
                            <w:top w:val="none" w:sz="0" w:space="0" w:color="auto"/>
                            <w:left w:val="none" w:sz="0" w:space="0" w:color="auto"/>
                            <w:bottom w:val="none" w:sz="0" w:space="0" w:color="auto"/>
                            <w:right w:val="none" w:sz="0" w:space="0" w:color="auto"/>
                          </w:divBdr>
                          <w:divsChild>
                            <w:div w:id="1419596862">
                              <w:marLeft w:val="0"/>
                              <w:marRight w:val="0"/>
                              <w:marTop w:val="0"/>
                              <w:marBottom w:val="0"/>
                              <w:divBdr>
                                <w:top w:val="none" w:sz="0" w:space="0" w:color="auto"/>
                                <w:left w:val="none" w:sz="0" w:space="0" w:color="auto"/>
                                <w:bottom w:val="none" w:sz="0" w:space="0" w:color="auto"/>
                                <w:right w:val="none" w:sz="0" w:space="0" w:color="auto"/>
                              </w:divBdr>
                              <w:divsChild>
                                <w:div w:id="8855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79411">
          <w:marLeft w:val="0"/>
          <w:marRight w:val="0"/>
          <w:marTop w:val="0"/>
          <w:marBottom w:val="0"/>
          <w:divBdr>
            <w:top w:val="none" w:sz="0" w:space="0" w:color="auto"/>
            <w:left w:val="none" w:sz="0" w:space="0" w:color="auto"/>
            <w:bottom w:val="none" w:sz="0" w:space="0" w:color="auto"/>
            <w:right w:val="none" w:sz="0" w:space="0" w:color="auto"/>
          </w:divBdr>
        </w:div>
        <w:div w:id="162166490">
          <w:marLeft w:val="0"/>
          <w:marRight w:val="0"/>
          <w:marTop w:val="0"/>
          <w:marBottom w:val="0"/>
          <w:divBdr>
            <w:top w:val="none" w:sz="0" w:space="0" w:color="auto"/>
            <w:left w:val="none" w:sz="0" w:space="0" w:color="auto"/>
            <w:bottom w:val="none" w:sz="0" w:space="0" w:color="auto"/>
            <w:right w:val="none" w:sz="0" w:space="0" w:color="auto"/>
          </w:divBdr>
        </w:div>
        <w:div w:id="162935612">
          <w:marLeft w:val="0"/>
          <w:marRight w:val="0"/>
          <w:marTop w:val="0"/>
          <w:marBottom w:val="0"/>
          <w:divBdr>
            <w:top w:val="none" w:sz="0" w:space="0" w:color="auto"/>
            <w:left w:val="none" w:sz="0" w:space="0" w:color="auto"/>
            <w:bottom w:val="none" w:sz="0" w:space="0" w:color="auto"/>
            <w:right w:val="none" w:sz="0" w:space="0" w:color="auto"/>
          </w:divBdr>
        </w:div>
        <w:div w:id="299118317">
          <w:marLeft w:val="0"/>
          <w:marRight w:val="0"/>
          <w:marTop w:val="0"/>
          <w:marBottom w:val="0"/>
          <w:divBdr>
            <w:top w:val="none" w:sz="0" w:space="0" w:color="auto"/>
            <w:left w:val="none" w:sz="0" w:space="0" w:color="auto"/>
            <w:bottom w:val="none" w:sz="0" w:space="0" w:color="auto"/>
            <w:right w:val="none" w:sz="0" w:space="0" w:color="auto"/>
          </w:divBdr>
        </w:div>
        <w:div w:id="440152528">
          <w:marLeft w:val="0"/>
          <w:marRight w:val="0"/>
          <w:marTop w:val="0"/>
          <w:marBottom w:val="0"/>
          <w:divBdr>
            <w:top w:val="none" w:sz="0" w:space="0" w:color="auto"/>
            <w:left w:val="none" w:sz="0" w:space="0" w:color="auto"/>
            <w:bottom w:val="none" w:sz="0" w:space="0" w:color="auto"/>
            <w:right w:val="none" w:sz="0" w:space="0" w:color="auto"/>
          </w:divBdr>
        </w:div>
        <w:div w:id="494952065">
          <w:marLeft w:val="0"/>
          <w:marRight w:val="0"/>
          <w:marTop w:val="0"/>
          <w:marBottom w:val="0"/>
          <w:divBdr>
            <w:top w:val="none" w:sz="0" w:space="0" w:color="auto"/>
            <w:left w:val="none" w:sz="0" w:space="0" w:color="auto"/>
            <w:bottom w:val="none" w:sz="0" w:space="0" w:color="auto"/>
            <w:right w:val="none" w:sz="0" w:space="0" w:color="auto"/>
          </w:divBdr>
        </w:div>
        <w:div w:id="584999008">
          <w:marLeft w:val="0"/>
          <w:marRight w:val="0"/>
          <w:marTop w:val="0"/>
          <w:marBottom w:val="0"/>
          <w:divBdr>
            <w:top w:val="none" w:sz="0" w:space="0" w:color="auto"/>
            <w:left w:val="none" w:sz="0" w:space="0" w:color="auto"/>
            <w:bottom w:val="none" w:sz="0" w:space="0" w:color="auto"/>
            <w:right w:val="none" w:sz="0" w:space="0" w:color="auto"/>
          </w:divBdr>
        </w:div>
        <w:div w:id="623579577">
          <w:marLeft w:val="0"/>
          <w:marRight w:val="0"/>
          <w:marTop w:val="0"/>
          <w:marBottom w:val="0"/>
          <w:divBdr>
            <w:top w:val="none" w:sz="0" w:space="0" w:color="auto"/>
            <w:left w:val="none" w:sz="0" w:space="0" w:color="auto"/>
            <w:bottom w:val="none" w:sz="0" w:space="0" w:color="auto"/>
            <w:right w:val="none" w:sz="0" w:space="0" w:color="auto"/>
          </w:divBdr>
        </w:div>
        <w:div w:id="630601659">
          <w:marLeft w:val="0"/>
          <w:marRight w:val="0"/>
          <w:marTop w:val="0"/>
          <w:marBottom w:val="0"/>
          <w:divBdr>
            <w:top w:val="none" w:sz="0" w:space="0" w:color="auto"/>
            <w:left w:val="none" w:sz="0" w:space="0" w:color="auto"/>
            <w:bottom w:val="none" w:sz="0" w:space="0" w:color="auto"/>
            <w:right w:val="none" w:sz="0" w:space="0" w:color="auto"/>
          </w:divBdr>
        </w:div>
        <w:div w:id="693069348">
          <w:marLeft w:val="0"/>
          <w:marRight w:val="0"/>
          <w:marTop w:val="0"/>
          <w:marBottom w:val="0"/>
          <w:divBdr>
            <w:top w:val="none" w:sz="0" w:space="0" w:color="auto"/>
            <w:left w:val="none" w:sz="0" w:space="0" w:color="auto"/>
            <w:bottom w:val="none" w:sz="0" w:space="0" w:color="auto"/>
            <w:right w:val="none" w:sz="0" w:space="0" w:color="auto"/>
          </w:divBdr>
        </w:div>
        <w:div w:id="698354352">
          <w:marLeft w:val="0"/>
          <w:marRight w:val="0"/>
          <w:marTop w:val="0"/>
          <w:marBottom w:val="0"/>
          <w:divBdr>
            <w:top w:val="none" w:sz="0" w:space="0" w:color="auto"/>
            <w:left w:val="none" w:sz="0" w:space="0" w:color="auto"/>
            <w:bottom w:val="none" w:sz="0" w:space="0" w:color="auto"/>
            <w:right w:val="none" w:sz="0" w:space="0" w:color="auto"/>
          </w:divBdr>
        </w:div>
        <w:div w:id="714084852">
          <w:marLeft w:val="0"/>
          <w:marRight w:val="0"/>
          <w:marTop w:val="0"/>
          <w:marBottom w:val="0"/>
          <w:divBdr>
            <w:top w:val="none" w:sz="0" w:space="0" w:color="auto"/>
            <w:left w:val="none" w:sz="0" w:space="0" w:color="auto"/>
            <w:bottom w:val="none" w:sz="0" w:space="0" w:color="auto"/>
            <w:right w:val="none" w:sz="0" w:space="0" w:color="auto"/>
          </w:divBdr>
        </w:div>
        <w:div w:id="733285133">
          <w:marLeft w:val="0"/>
          <w:marRight w:val="0"/>
          <w:marTop w:val="0"/>
          <w:marBottom w:val="0"/>
          <w:divBdr>
            <w:top w:val="none" w:sz="0" w:space="0" w:color="auto"/>
            <w:left w:val="none" w:sz="0" w:space="0" w:color="auto"/>
            <w:bottom w:val="none" w:sz="0" w:space="0" w:color="auto"/>
            <w:right w:val="none" w:sz="0" w:space="0" w:color="auto"/>
          </w:divBdr>
        </w:div>
        <w:div w:id="735517683">
          <w:marLeft w:val="0"/>
          <w:marRight w:val="0"/>
          <w:marTop w:val="0"/>
          <w:marBottom w:val="0"/>
          <w:divBdr>
            <w:top w:val="none" w:sz="0" w:space="0" w:color="auto"/>
            <w:left w:val="none" w:sz="0" w:space="0" w:color="auto"/>
            <w:bottom w:val="none" w:sz="0" w:space="0" w:color="auto"/>
            <w:right w:val="none" w:sz="0" w:space="0" w:color="auto"/>
          </w:divBdr>
        </w:div>
        <w:div w:id="739209592">
          <w:marLeft w:val="0"/>
          <w:marRight w:val="0"/>
          <w:marTop w:val="0"/>
          <w:marBottom w:val="0"/>
          <w:divBdr>
            <w:top w:val="none" w:sz="0" w:space="0" w:color="auto"/>
            <w:left w:val="none" w:sz="0" w:space="0" w:color="auto"/>
            <w:bottom w:val="none" w:sz="0" w:space="0" w:color="auto"/>
            <w:right w:val="none" w:sz="0" w:space="0" w:color="auto"/>
          </w:divBdr>
        </w:div>
        <w:div w:id="759838758">
          <w:marLeft w:val="0"/>
          <w:marRight w:val="0"/>
          <w:marTop w:val="0"/>
          <w:marBottom w:val="0"/>
          <w:divBdr>
            <w:top w:val="none" w:sz="0" w:space="0" w:color="auto"/>
            <w:left w:val="none" w:sz="0" w:space="0" w:color="auto"/>
            <w:bottom w:val="none" w:sz="0" w:space="0" w:color="auto"/>
            <w:right w:val="none" w:sz="0" w:space="0" w:color="auto"/>
          </w:divBdr>
        </w:div>
        <w:div w:id="846822320">
          <w:marLeft w:val="0"/>
          <w:marRight w:val="0"/>
          <w:marTop w:val="0"/>
          <w:marBottom w:val="0"/>
          <w:divBdr>
            <w:top w:val="none" w:sz="0" w:space="0" w:color="auto"/>
            <w:left w:val="none" w:sz="0" w:space="0" w:color="auto"/>
            <w:bottom w:val="none" w:sz="0" w:space="0" w:color="auto"/>
            <w:right w:val="none" w:sz="0" w:space="0" w:color="auto"/>
          </w:divBdr>
        </w:div>
        <w:div w:id="877350819">
          <w:marLeft w:val="0"/>
          <w:marRight w:val="0"/>
          <w:marTop w:val="0"/>
          <w:marBottom w:val="0"/>
          <w:divBdr>
            <w:top w:val="none" w:sz="0" w:space="0" w:color="auto"/>
            <w:left w:val="none" w:sz="0" w:space="0" w:color="auto"/>
            <w:bottom w:val="none" w:sz="0" w:space="0" w:color="auto"/>
            <w:right w:val="none" w:sz="0" w:space="0" w:color="auto"/>
          </w:divBdr>
        </w:div>
        <w:div w:id="929586932">
          <w:marLeft w:val="0"/>
          <w:marRight w:val="0"/>
          <w:marTop w:val="0"/>
          <w:marBottom w:val="0"/>
          <w:divBdr>
            <w:top w:val="none" w:sz="0" w:space="0" w:color="auto"/>
            <w:left w:val="none" w:sz="0" w:space="0" w:color="auto"/>
            <w:bottom w:val="none" w:sz="0" w:space="0" w:color="auto"/>
            <w:right w:val="none" w:sz="0" w:space="0" w:color="auto"/>
          </w:divBdr>
        </w:div>
        <w:div w:id="956375724">
          <w:marLeft w:val="0"/>
          <w:marRight w:val="0"/>
          <w:marTop w:val="0"/>
          <w:marBottom w:val="0"/>
          <w:divBdr>
            <w:top w:val="none" w:sz="0" w:space="0" w:color="auto"/>
            <w:left w:val="none" w:sz="0" w:space="0" w:color="auto"/>
            <w:bottom w:val="none" w:sz="0" w:space="0" w:color="auto"/>
            <w:right w:val="none" w:sz="0" w:space="0" w:color="auto"/>
          </w:divBdr>
        </w:div>
        <w:div w:id="977345436">
          <w:marLeft w:val="0"/>
          <w:marRight w:val="0"/>
          <w:marTop w:val="0"/>
          <w:marBottom w:val="0"/>
          <w:divBdr>
            <w:top w:val="none" w:sz="0" w:space="0" w:color="auto"/>
            <w:left w:val="none" w:sz="0" w:space="0" w:color="auto"/>
            <w:bottom w:val="none" w:sz="0" w:space="0" w:color="auto"/>
            <w:right w:val="none" w:sz="0" w:space="0" w:color="auto"/>
          </w:divBdr>
        </w:div>
        <w:div w:id="986857794">
          <w:marLeft w:val="0"/>
          <w:marRight w:val="0"/>
          <w:marTop w:val="0"/>
          <w:marBottom w:val="0"/>
          <w:divBdr>
            <w:top w:val="none" w:sz="0" w:space="0" w:color="auto"/>
            <w:left w:val="none" w:sz="0" w:space="0" w:color="auto"/>
            <w:bottom w:val="none" w:sz="0" w:space="0" w:color="auto"/>
            <w:right w:val="none" w:sz="0" w:space="0" w:color="auto"/>
          </w:divBdr>
        </w:div>
        <w:div w:id="1019622527">
          <w:marLeft w:val="0"/>
          <w:marRight w:val="0"/>
          <w:marTop w:val="0"/>
          <w:marBottom w:val="0"/>
          <w:divBdr>
            <w:top w:val="none" w:sz="0" w:space="0" w:color="auto"/>
            <w:left w:val="none" w:sz="0" w:space="0" w:color="auto"/>
            <w:bottom w:val="none" w:sz="0" w:space="0" w:color="auto"/>
            <w:right w:val="none" w:sz="0" w:space="0" w:color="auto"/>
          </w:divBdr>
        </w:div>
        <w:div w:id="1066874746">
          <w:marLeft w:val="0"/>
          <w:marRight w:val="0"/>
          <w:marTop w:val="0"/>
          <w:marBottom w:val="0"/>
          <w:divBdr>
            <w:top w:val="none" w:sz="0" w:space="0" w:color="auto"/>
            <w:left w:val="none" w:sz="0" w:space="0" w:color="auto"/>
            <w:bottom w:val="none" w:sz="0" w:space="0" w:color="auto"/>
            <w:right w:val="none" w:sz="0" w:space="0" w:color="auto"/>
          </w:divBdr>
        </w:div>
        <w:div w:id="1112671244">
          <w:marLeft w:val="0"/>
          <w:marRight w:val="0"/>
          <w:marTop w:val="0"/>
          <w:marBottom w:val="0"/>
          <w:divBdr>
            <w:top w:val="none" w:sz="0" w:space="0" w:color="auto"/>
            <w:left w:val="none" w:sz="0" w:space="0" w:color="auto"/>
            <w:bottom w:val="none" w:sz="0" w:space="0" w:color="auto"/>
            <w:right w:val="none" w:sz="0" w:space="0" w:color="auto"/>
          </w:divBdr>
        </w:div>
        <w:div w:id="1174684846">
          <w:marLeft w:val="0"/>
          <w:marRight w:val="0"/>
          <w:marTop w:val="0"/>
          <w:marBottom w:val="0"/>
          <w:divBdr>
            <w:top w:val="none" w:sz="0" w:space="0" w:color="auto"/>
            <w:left w:val="none" w:sz="0" w:space="0" w:color="auto"/>
            <w:bottom w:val="none" w:sz="0" w:space="0" w:color="auto"/>
            <w:right w:val="none" w:sz="0" w:space="0" w:color="auto"/>
          </w:divBdr>
        </w:div>
        <w:div w:id="1193955470">
          <w:marLeft w:val="0"/>
          <w:marRight w:val="0"/>
          <w:marTop w:val="0"/>
          <w:marBottom w:val="0"/>
          <w:divBdr>
            <w:top w:val="none" w:sz="0" w:space="0" w:color="auto"/>
            <w:left w:val="none" w:sz="0" w:space="0" w:color="auto"/>
            <w:bottom w:val="none" w:sz="0" w:space="0" w:color="auto"/>
            <w:right w:val="none" w:sz="0" w:space="0" w:color="auto"/>
          </w:divBdr>
        </w:div>
        <w:div w:id="1305311097">
          <w:marLeft w:val="0"/>
          <w:marRight w:val="0"/>
          <w:marTop w:val="0"/>
          <w:marBottom w:val="0"/>
          <w:divBdr>
            <w:top w:val="none" w:sz="0" w:space="0" w:color="auto"/>
            <w:left w:val="none" w:sz="0" w:space="0" w:color="auto"/>
            <w:bottom w:val="none" w:sz="0" w:space="0" w:color="auto"/>
            <w:right w:val="none" w:sz="0" w:space="0" w:color="auto"/>
          </w:divBdr>
        </w:div>
        <w:div w:id="1313368392">
          <w:marLeft w:val="0"/>
          <w:marRight w:val="0"/>
          <w:marTop w:val="0"/>
          <w:marBottom w:val="0"/>
          <w:divBdr>
            <w:top w:val="none" w:sz="0" w:space="0" w:color="auto"/>
            <w:left w:val="none" w:sz="0" w:space="0" w:color="auto"/>
            <w:bottom w:val="none" w:sz="0" w:space="0" w:color="auto"/>
            <w:right w:val="none" w:sz="0" w:space="0" w:color="auto"/>
          </w:divBdr>
        </w:div>
        <w:div w:id="1327590570">
          <w:marLeft w:val="0"/>
          <w:marRight w:val="0"/>
          <w:marTop w:val="0"/>
          <w:marBottom w:val="0"/>
          <w:divBdr>
            <w:top w:val="none" w:sz="0" w:space="0" w:color="auto"/>
            <w:left w:val="none" w:sz="0" w:space="0" w:color="auto"/>
            <w:bottom w:val="none" w:sz="0" w:space="0" w:color="auto"/>
            <w:right w:val="none" w:sz="0" w:space="0" w:color="auto"/>
          </w:divBdr>
        </w:div>
        <w:div w:id="1476145633">
          <w:marLeft w:val="0"/>
          <w:marRight w:val="0"/>
          <w:marTop w:val="0"/>
          <w:marBottom w:val="0"/>
          <w:divBdr>
            <w:top w:val="none" w:sz="0" w:space="0" w:color="auto"/>
            <w:left w:val="none" w:sz="0" w:space="0" w:color="auto"/>
            <w:bottom w:val="none" w:sz="0" w:space="0" w:color="auto"/>
            <w:right w:val="none" w:sz="0" w:space="0" w:color="auto"/>
          </w:divBdr>
        </w:div>
        <w:div w:id="1495026875">
          <w:marLeft w:val="0"/>
          <w:marRight w:val="0"/>
          <w:marTop w:val="0"/>
          <w:marBottom w:val="0"/>
          <w:divBdr>
            <w:top w:val="none" w:sz="0" w:space="0" w:color="auto"/>
            <w:left w:val="none" w:sz="0" w:space="0" w:color="auto"/>
            <w:bottom w:val="none" w:sz="0" w:space="0" w:color="auto"/>
            <w:right w:val="none" w:sz="0" w:space="0" w:color="auto"/>
          </w:divBdr>
        </w:div>
        <w:div w:id="1526209741">
          <w:marLeft w:val="0"/>
          <w:marRight w:val="0"/>
          <w:marTop w:val="0"/>
          <w:marBottom w:val="0"/>
          <w:divBdr>
            <w:top w:val="none" w:sz="0" w:space="0" w:color="auto"/>
            <w:left w:val="none" w:sz="0" w:space="0" w:color="auto"/>
            <w:bottom w:val="none" w:sz="0" w:space="0" w:color="auto"/>
            <w:right w:val="none" w:sz="0" w:space="0" w:color="auto"/>
          </w:divBdr>
        </w:div>
        <w:div w:id="1536308938">
          <w:marLeft w:val="0"/>
          <w:marRight w:val="0"/>
          <w:marTop w:val="0"/>
          <w:marBottom w:val="0"/>
          <w:divBdr>
            <w:top w:val="none" w:sz="0" w:space="0" w:color="auto"/>
            <w:left w:val="none" w:sz="0" w:space="0" w:color="auto"/>
            <w:bottom w:val="none" w:sz="0" w:space="0" w:color="auto"/>
            <w:right w:val="none" w:sz="0" w:space="0" w:color="auto"/>
          </w:divBdr>
        </w:div>
        <w:div w:id="1574048090">
          <w:marLeft w:val="0"/>
          <w:marRight w:val="0"/>
          <w:marTop w:val="0"/>
          <w:marBottom w:val="0"/>
          <w:divBdr>
            <w:top w:val="none" w:sz="0" w:space="0" w:color="auto"/>
            <w:left w:val="none" w:sz="0" w:space="0" w:color="auto"/>
            <w:bottom w:val="none" w:sz="0" w:space="0" w:color="auto"/>
            <w:right w:val="none" w:sz="0" w:space="0" w:color="auto"/>
          </w:divBdr>
        </w:div>
        <w:div w:id="1590194323">
          <w:marLeft w:val="0"/>
          <w:marRight w:val="0"/>
          <w:marTop w:val="0"/>
          <w:marBottom w:val="0"/>
          <w:divBdr>
            <w:top w:val="none" w:sz="0" w:space="0" w:color="auto"/>
            <w:left w:val="none" w:sz="0" w:space="0" w:color="auto"/>
            <w:bottom w:val="none" w:sz="0" w:space="0" w:color="auto"/>
            <w:right w:val="none" w:sz="0" w:space="0" w:color="auto"/>
          </w:divBdr>
        </w:div>
        <w:div w:id="1633827265">
          <w:marLeft w:val="0"/>
          <w:marRight w:val="0"/>
          <w:marTop w:val="0"/>
          <w:marBottom w:val="0"/>
          <w:divBdr>
            <w:top w:val="none" w:sz="0" w:space="0" w:color="auto"/>
            <w:left w:val="none" w:sz="0" w:space="0" w:color="auto"/>
            <w:bottom w:val="none" w:sz="0" w:space="0" w:color="auto"/>
            <w:right w:val="none" w:sz="0" w:space="0" w:color="auto"/>
          </w:divBdr>
        </w:div>
        <w:div w:id="1688798293">
          <w:marLeft w:val="0"/>
          <w:marRight w:val="0"/>
          <w:marTop w:val="0"/>
          <w:marBottom w:val="0"/>
          <w:divBdr>
            <w:top w:val="none" w:sz="0" w:space="0" w:color="auto"/>
            <w:left w:val="none" w:sz="0" w:space="0" w:color="auto"/>
            <w:bottom w:val="none" w:sz="0" w:space="0" w:color="auto"/>
            <w:right w:val="none" w:sz="0" w:space="0" w:color="auto"/>
          </w:divBdr>
        </w:div>
        <w:div w:id="1813056211">
          <w:marLeft w:val="0"/>
          <w:marRight w:val="0"/>
          <w:marTop w:val="0"/>
          <w:marBottom w:val="0"/>
          <w:divBdr>
            <w:top w:val="none" w:sz="0" w:space="0" w:color="auto"/>
            <w:left w:val="none" w:sz="0" w:space="0" w:color="auto"/>
            <w:bottom w:val="none" w:sz="0" w:space="0" w:color="auto"/>
            <w:right w:val="none" w:sz="0" w:space="0" w:color="auto"/>
          </w:divBdr>
        </w:div>
        <w:div w:id="1829662977">
          <w:marLeft w:val="0"/>
          <w:marRight w:val="0"/>
          <w:marTop w:val="0"/>
          <w:marBottom w:val="0"/>
          <w:divBdr>
            <w:top w:val="none" w:sz="0" w:space="0" w:color="auto"/>
            <w:left w:val="none" w:sz="0" w:space="0" w:color="auto"/>
            <w:bottom w:val="none" w:sz="0" w:space="0" w:color="auto"/>
            <w:right w:val="none" w:sz="0" w:space="0" w:color="auto"/>
          </w:divBdr>
        </w:div>
        <w:div w:id="1847936654">
          <w:marLeft w:val="0"/>
          <w:marRight w:val="0"/>
          <w:marTop w:val="0"/>
          <w:marBottom w:val="0"/>
          <w:divBdr>
            <w:top w:val="none" w:sz="0" w:space="0" w:color="auto"/>
            <w:left w:val="none" w:sz="0" w:space="0" w:color="auto"/>
            <w:bottom w:val="none" w:sz="0" w:space="0" w:color="auto"/>
            <w:right w:val="none" w:sz="0" w:space="0" w:color="auto"/>
          </w:divBdr>
        </w:div>
        <w:div w:id="1917936005">
          <w:marLeft w:val="0"/>
          <w:marRight w:val="0"/>
          <w:marTop w:val="0"/>
          <w:marBottom w:val="0"/>
          <w:divBdr>
            <w:top w:val="none" w:sz="0" w:space="0" w:color="auto"/>
            <w:left w:val="none" w:sz="0" w:space="0" w:color="auto"/>
            <w:bottom w:val="none" w:sz="0" w:space="0" w:color="auto"/>
            <w:right w:val="none" w:sz="0" w:space="0" w:color="auto"/>
          </w:divBdr>
        </w:div>
        <w:div w:id="2014916746">
          <w:marLeft w:val="0"/>
          <w:marRight w:val="0"/>
          <w:marTop w:val="0"/>
          <w:marBottom w:val="0"/>
          <w:divBdr>
            <w:top w:val="none" w:sz="0" w:space="0" w:color="auto"/>
            <w:left w:val="none" w:sz="0" w:space="0" w:color="auto"/>
            <w:bottom w:val="none" w:sz="0" w:space="0" w:color="auto"/>
            <w:right w:val="none" w:sz="0" w:space="0" w:color="auto"/>
          </w:divBdr>
        </w:div>
        <w:div w:id="2040927685">
          <w:marLeft w:val="0"/>
          <w:marRight w:val="0"/>
          <w:marTop w:val="0"/>
          <w:marBottom w:val="0"/>
          <w:divBdr>
            <w:top w:val="none" w:sz="0" w:space="0" w:color="auto"/>
            <w:left w:val="none" w:sz="0" w:space="0" w:color="auto"/>
            <w:bottom w:val="none" w:sz="0" w:space="0" w:color="auto"/>
            <w:right w:val="none" w:sz="0" w:space="0" w:color="auto"/>
          </w:divBdr>
        </w:div>
      </w:divsChild>
    </w:div>
    <w:div w:id="1315601396">
      <w:bodyDiv w:val="1"/>
      <w:marLeft w:val="0"/>
      <w:marRight w:val="0"/>
      <w:marTop w:val="0"/>
      <w:marBottom w:val="0"/>
      <w:divBdr>
        <w:top w:val="none" w:sz="0" w:space="0" w:color="auto"/>
        <w:left w:val="none" w:sz="0" w:space="0" w:color="auto"/>
        <w:bottom w:val="none" w:sz="0" w:space="0" w:color="auto"/>
        <w:right w:val="none" w:sz="0" w:space="0" w:color="auto"/>
      </w:divBdr>
    </w:div>
    <w:div w:id="1335302488">
      <w:bodyDiv w:val="1"/>
      <w:marLeft w:val="0"/>
      <w:marRight w:val="0"/>
      <w:marTop w:val="0"/>
      <w:marBottom w:val="0"/>
      <w:divBdr>
        <w:top w:val="none" w:sz="0" w:space="0" w:color="auto"/>
        <w:left w:val="none" w:sz="0" w:space="0" w:color="auto"/>
        <w:bottom w:val="none" w:sz="0" w:space="0" w:color="auto"/>
        <w:right w:val="none" w:sz="0" w:space="0" w:color="auto"/>
      </w:divBdr>
      <w:divsChild>
        <w:div w:id="98913827">
          <w:marLeft w:val="0"/>
          <w:marRight w:val="0"/>
          <w:marTop w:val="0"/>
          <w:marBottom w:val="0"/>
          <w:divBdr>
            <w:top w:val="none" w:sz="0" w:space="0" w:color="auto"/>
            <w:left w:val="none" w:sz="0" w:space="0" w:color="auto"/>
            <w:bottom w:val="none" w:sz="0" w:space="0" w:color="auto"/>
            <w:right w:val="none" w:sz="0" w:space="0" w:color="auto"/>
          </w:divBdr>
        </w:div>
        <w:div w:id="183566759">
          <w:marLeft w:val="0"/>
          <w:marRight w:val="0"/>
          <w:marTop w:val="0"/>
          <w:marBottom w:val="0"/>
          <w:divBdr>
            <w:top w:val="none" w:sz="0" w:space="0" w:color="auto"/>
            <w:left w:val="none" w:sz="0" w:space="0" w:color="auto"/>
            <w:bottom w:val="none" w:sz="0" w:space="0" w:color="auto"/>
            <w:right w:val="none" w:sz="0" w:space="0" w:color="auto"/>
          </w:divBdr>
        </w:div>
        <w:div w:id="248347983">
          <w:marLeft w:val="0"/>
          <w:marRight w:val="0"/>
          <w:marTop w:val="0"/>
          <w:marBottom w:val="0"/>
          <w:divBdr>
            <w:top w:val="none" w:sz="0" w:space="0" w:color="auto"/>
            <w:left w:val="none" w:sz="0" w:space="0" w:color="auto"/>
            <w:bottom w:val="none" w:sz="0" w:space="0" w:color="auto"/>
            <w:right w:val="none" w:sz="0" w:space="0" w:color="auto"/>
          </w:divBdr>
        </w:div>
        <w:div w:id="251284419">
          <w:marLeft w:val="0"/>
          <w:marRight w:val="0"/>
          <w:marTop w:val="0"/>
          <w:marBottom w:val="0"/>
          <w:divBdr>
            <w:top w:val="none" w:sz="0" w:space="0" w:color="auto"/>
            <w:left w:val="none" w:sz="0" w:space="0" w:color="auto"/>
            <w:bottom w:val="none" w:sz="0" w:space="0" w:color="auto"/>
            <w:right w:val="none" w:sz="0" w:space="0" w:color="auto"/>
          </w:divBdr>
        </w:div>
        <w:div w:id="298387740">
          <w:marLeft w:val="0"/>
          <w:marRight w:val="0"/>
          <w:marTop w:val="0"/>
          <w:marBottom w:val="0"/>
          <w:divBdr>
            <w:top w:val="none" w:sz="0" w:space="0" w:color="auto"/>
            <w:left w:val="none" w:sz="0" w:space="0" w:color="auto"/>
            <w:bottom w:val="none" w:sz="0" w:space="0" w:color="auto"/>
            <w:right w:val="none" w:sz="0" w:space="0" w:color="auto"/>
          </w:divBdr>
        </w:div>
        <w:div w:id="367073065">
          <w:marLeft w:val="0"/>
          <w:marRight w:val="0"/>
          <w:marTop w:val="0"/>
          <w:marBottom w:val="0"/>
          <w:divBdr>
            <w:top w:val="none" w:sz="0" w:space="0" w:color="auto"/>
            <w:left w:val="none" w:sz="0" w:space="0" w:color="auto"/>
            <w:bottom w:val="none" w:sz="0" w:space="0" w:color="auto"/>
            <w:right w:val="none" w:sz="0" w:space="0" w:color="auto"/>
          </w:divBdr>
        </w:div>
        <w:div w:id="375547004">
          <w:marLeft w:val="0"/>
          <w:marRight w:val="0"/>
          <w:marTop w:val="0"/>
          <w:marBottom w:val="0"/>
          <w:divBdr>
            <w:top w:val="none" w:sz="0" w:space="0" w:color="auto"/>
            <w:left w:val="none" w:sz="0" w:space="0" w:color="auto"/>
            <w:bottom w:val="none" w:sz="0" w:space="0" w:color="auto"/>
            <w:right w:val="none" w:sz="0" w:space="0" w:color="auto"/>
          </w:divBdr>
        </w:div>
        <w:div w:id="379015256">
          <w:marLeft w:val="0"/>
          <w:marRight w:val="0"/>
          <w:marTop w:val="0"/>
          <w:marBottom w:val="0"/>
          <w:divBdr>
            <w:top w:val="none" w:sz="0" w:space="0" w:color="auto"/>
            <w:left w:val="none" w:sz="0" w:space="0" w:color="auto"/>
            <w:bottom w:val="none" w:sz="0" w:space="0" w:color="auto"/>
            <w:right w:val="none" w:sz="0" w:space="0" w:color="auto"/>
          </w:divBdr>
        </w:div>
        <w:div w:id="430472601">
          <w:marLeft w:val="0"/>
          <w:marRight w:val="0"/>
          <w:marTop w:val="0"/>
          <w:marBottom w:val="0"/>
          <w:divBdr>
            <w:top w:val="none" w:sz="0" w:space="0" w:color="auto"/>
            <w:left w:val="none" w:sz="0" w:space="0" w:color="auto"/>
            <w:bottom w:val="none" w:sz="0" w:space="0" w:color="auto"/>
            <w:right w:val="none" w:sz="0" w:space="0" w:color="auto"/>
          </w:divBdr>
        </w:div>
        <w:div w:id="473565654">
          <w:marLeft w:val="0"/>
          <w:marRight w:val="0"/>
          <w:marTop w:val="0"/>
          <w:marBottom w:val="0"/>
          <w:divBdr>
            <w:top w:val="none" w:sz="0" w:space="0" w:color="auto"/>
            <w:left w:val="none" w:sz="0" w:space="0" w:color="auto"/>
            <w:bottom w:val="none" w:sz="0" w:space="0" w:color="auto"/>
            <w:right w:val="none" w:sz="0" w:space="0" w:color="auto"/>
          </w:divBdr>
        </w:div>
        <w:div w:id="572856891">
          <w:marLeft w:val="0"/>
          <w:marRight w:val="0"/>
          <w:marTop w:val="0"/>
          <w:marBottom w:val="0"/>
          <w:divBdr>
            <w:top w:val="none" w:sz="0" w:space="0" w:color="auto"/>
            <w:left w:val="none" w:sz="0" w:space="0" w:color="auto"/>
            <w:bottom w:val="none" w:sz="0" w:space="0" w:color="auto"/>
            <w:right w:val="none" w:sz="0" w:space="0" w:color="auto"/>
          </w:divBdr>
        </w:div>
        <w:div w:id="586812363">
          <w:marLeft w:val="0"/>
          <w:marRight w:val="0"/>
          <w:marTop w:val="0"/>
          <w:marBottom w:val="0"/>
          <w:divBdr>
            <w:top w:val="none" w:sz="0" w:space="0" w:color="auto"/>
            <w:left w:val="none" w:sz="0" w:space="0" w:color="auto"/>
            <w:bottom w:val="none" w:sz="0" w:space="0" w:color="auto"/>
            <w:right w:val="none" w:sz="0" w:space="0" w:color="auto"/>
          </w:divBdr>
        </w:div>
        <w:div w:id="590549203">
          <w:marLeft w:val="0"/>
          <w:marRight w:val="0"/>
          <w:marTop w:val="0"/>
          <w:marBottom w:val="0"/>
          <w:divBdr>
            <w:top w:val="none" w:sz="0" w:space="0" w:color="auto"/>
            <w:left w:val="none" w:sz="0" w:space="0" w:color="auto"/>
            <w:bottom w:val="none" w:sz="0" w:space="0" w:color="auto"/>
            <w:right w:val="none" w:sz="0" w:space="0" w:color="auto"/>
          </w:divBdr>
        </w:div>
        <w:div w:id="608901867">
          <w:marLeft w:val="0"/>
          <w:marRight w:val="0"/>
          <w:marTop w:val="0"/>
          <w:marBottom w:val="0"/>
          <w:divBdr>
            <w:top w:val="none" w:sz="0" w:space="0" w:color="auto"/>
            <w:left w:val="none" w:sz="0" w:space="0" w:color="auto"/>
            <w:bottom w:val="none" w:sz="0" w:space="0" w:color="auto"/>
            <w:right w:val="none" w:sz="0" w:space="0" w:color="auto"/>
          </w:divBdr>
        </w:div>
        <w:div w:id="761029116">
          <w:marLeft w:val="0"/>
          <w:marRight w:val="0"/>
          <w:marTop w:val="0"/>
          <w:marBottom w:val="0"/>
          <w:divBdr>
            <w:top w:val="none" w:sz="0" w:space="0" w:color="auto"/>
            <w:left w:val="none" w:sz="0" w:space="0" w:color="auto"/>
            <w:bottom w:val="none" w:sz="0" w:space="0" w:color="auto"/>
            <w:right w:val="none" w:sz="0" w:space="0" w:color="auto"/>
          </w:divBdr>
        </w:div>
        <w:div w:id="779108488">
          <w:marLeft w:val="0"/>
          <w:marRight w:val="0"/>
          <w:marTop w:val="0"/>
          <w:marBottom w:val="0"/>
          <w:divBdr>
            <w:top w:val="none" w:sz="0" w:space="0" w:color="auto"/>
            <w:left w:val="none" w:sz="0" w:space="0" w:color="auto"/>
            <w:bottom w:val="none" w:sz="0" w:space="0" w:color="auto"/>
            <w:right w:val="none" w:sz="0" w:space="0" w:color="auto"/>
          </w:divBdr>
        </w:div>
        <w:div w:id="910697008">
          <w:marLeft w:val="0"/>
          <w:marRight w:val="0"/>
          <w:marTop w:val="0"/>
          <w:marBottom w:val="0"/>
          <w:divBdr>
            <w:top w:val="none" w:sz="0" w:space="0" w:color="auto"/>
            <w:left w:val="none" w:sz="0" w:space="0" w:color="auto"/>
            <w:bottom w:val="none" w:sz="0" w:space="0" w:color="auto"/>
            <w:right w:val="none" w:sz="0" w:space="0" w:color="auto"/>
          </w:divBdr>
        </w:div>
        <w:div w:id="930970198">
          <w:marLeft w:val="0"/>
          <w:marRight w:val="0"/>
          <w:marTop w:val="0"/>
          <w:marBottom w:val="0"/>
          <w:divBdr>
            <w:top w:val="none" w:sz="0" w:space="0" w:color="auto"/>
            <w:left w:val="none" w:sz="0" w:space="0" w:color="auto"/>
            <w:bottom w:val="none" w:sz="0" w:space="0" w:color="auto"/>
            <w:right w:val="none" w:sz="0" w:space="0" w:color="auto"/>
          </w:divBdr>
        </w:div>
        <w:div w:id="962804192">
          <w:marLeft w:val="0"/>
          <w:marRight w:val="0"/>
          <w:marTop w:val="0"/>
          <w:marBottom w:val="0"/>
          <w:divBdr>
            <w:top w:val="none" w:sz="0" w:space="0" w:color="auto"/>
            <w:left w:val="none" w:sz="0" w:space="0" w:color="auto"/>
            <w:bottom w:val="none" w:sz="0" w:space="0" w:color="auto"/>
            <w:right w:val="none" w:sz="0" w:space="0" w:color="auto"/>
          </w:divBdr>
        </w:div>
        <w:div w:id="1138306772">
          <w:marLeft w:val="0"/>
          <w:marRight w:val="0"/>
          <w:marTop w:val="0"/>
          <w:marBottom w:val="0"/>
          <w:divBdr>
            <w:top w:val="none" w:sz="0" w:space="0" w:color="auto"/>
            <w:left w:val="none" w:sz="0" w:space="0" w:color="auto"/>
            <w:bottom w:val="none" w:sz="0" w:space="0" w:color="auto"/>
            <w:right w:val="none" w:sz="0" w:space="0" w:color="auto"/>
          </w:divBdr>
        </w:div>
        <w:div w:id="1153983647">
          <w:marLeft w:val="0"/>
          <w:marRight w:val="0"/>
          <w:marTop w:val="0"/>
          <w:marBottom w:val="0"/>
          <w:divBdr>
            <w:top w:val="none" w:sz="0" w:space="0" w:color="auto"/>
            <w:left w:val="none" w:sz="0" w:space="0" w:color="auto"/>
            <w:bottom w:val="none" w:sz="0" w:space="0" w:color="auto"/>
            <w:right w:val="none" w:sz="0" w:space="0" w:color="auto"/>
          </w:divBdr>
        </w:div>
        <w:div w:id="1310675300">
          <w:marLeft w:val="0"/>
          <w:marRight w:val="0"/>
          <w:marTop w:val="0"/>
          <w:marBottom w:val="0"/>
          <w:divBdr>
            <w:top w:val="none" w:sz="0" w:space="0" w:color="auto"/>
            <w:left w:val="none" w:sz="0" w:space="0" w:color="auto"/>
            <w:bottom w:val="none" w:sz="0" w:space="0" w:color="auto"/>
            <w:right w:val="none" w:sz="0" w:space="0" w:color="auto"/>
          </w:divBdr>
        </w:div>
        <w:div w:id="1339041124">
          <w:marLeft w:val="0"/>
          <w:marRight w:val="0"/>
          <w:marTop w:val="0"/>
          <w:marBottom w:val="0"/>
          <w:divBdr>
            <w:top w:val="none" w:sz="0" w:space="0" w:color="auto"/>
            <w:left w:val="none" w:sz="0" w:space="0" w:color="auto"/>
            <w:bottom w:val="none" w:sz="0" w:space="0" w:color="auto"/>
            <w:right w:val="none" w:sz="0" w:space="0" w:color="auto"/>
          </w:divBdr>
        </w:div>
        <w:div w:id="1364401972">
          <w:marLeft w:val="0"/>
          <w:marRight w:val="0"/>
          <w:marTop w:val="0"/>
          <w:marBottom w:val="0"/>
          <w:divBdr>
            <w:top w:val="none" w:sz="0" w:space="0" w:color="auto"/>
            <w:left w:val="none" w:sz="0" w:space="0" w:color="auto"/>
            <w:bottom w:val="none" w:sz="0" w:space="0" w:color="auto"/>
            <w:right w:val="none" w:sz="0" w:space="0" w:color="auto"/>
          </w:divBdr>
        </w:div>
        <w:div w:id="1373655908">
          <w:marLeft w:val="0"/>
          <w:marRight w:val="0"/>
          <w:marTop w:val="0"/>
          <w:marBottom w:val="0"/>
          <w:divBdr>
            <w:top w:val="none" w:sz="0" w:space="0" w:color="auto"/>
            <w:left w:val="none" w:sz="0" w:space="0" w:color="auto"/>
            <w:bottom w:val="none" w:sz="0" w:space="0" w:color="auto"/>
            <w:right w:val="none" w:sz="0" w:space="0" w:color="auto"/>
          </w:divBdr>
        </w:div>
        <w:div w:id="1536432048">
          <w:marLeft w:val="0"/>
          <w:marRight w:val="0"/>
          <w:marTop w:val="0"/>
          <w:marBottom w:val="0"/>
          <w:divBdr>
            <w:top w:val="none" w:sz="0" w:space="0" w:color="auto"/>
            <w:left w:val="none" w:sz="0" w:space="0" w:color="auto"/>
            <w:bottom w:val="none" w:sz="0" w:space="0" w:color="auto"/>
            <w:right w:val="none" w:sz="0" w:space="0" w:color="auto"/>
          </w:divBdr>
        </w:div>
        <w:div w:id="1563908686">
          <w:marLeft w:val="0"/>
          <w:marRight w:val="0"/>
          <w:marTop w:val="0"/>
          <w:marBottom w:val="0"/>
          <w:divBdr>
            <w:top w:val="none" w:sz="0" w:space="0" w:color="auto"/>
            <w:left w:val="none" w:sz="0" w:space="0" w:color="auto"/>
            <w:bottom w:val="none" w:sz="0" w:space="0" w:color="auto"/>
            <w:right w:val="none" w:sz="0" w:space="0" w:color="auto"/>
          </w:divBdr>
        </w:div>
        <w:div w:id="1578058499">
          <w:marLeft w:val="0"/>
          <w:marRight w:val="0"/>
          <w:marTop w:val="0"/>
          <w:marBottom w:val="0"/>
          <w:divBdr>
            <w:top w:val="none" w:sz="0" w:space="0" w:color="auto"/>
            <w:left w:val="none" w:sz="0" w:space="0" w:color="auto"/>
            <w:bottom w:val="none" w:sz="0" w:space="0" w:color="auto"/>
            <w:right w:val="none" w:sz="0" w:space="0" w:color="auto"/>
          </w:divBdr>
        </w:div>
        <w:div w:id="1581603010">
          <w:marLeft w:val="0"/>
          <w:marRight w:val="0"/>
          <w:marTop w:val="0"/>
          <w:marBottom w:val="0"/>
          <w:divBdr>
            <w:top w:val="none" w:sz="0" w:space="0" w:color="auto"/>
            <w:left w:val="none" w:sz="0" w:space="0" w:color="auto"/>
            <w:bottom w:val="none" w:sz="0" w:space="0" w:color="auto"/>
            <w:right w:val="none" w:sz="0" w:space="0" w:color="auto"/>
          </w:divBdr>
        </w:div>
        <w:div w:id="1612779176">
          <w:marLeft w:val="0"/>
          <w:marRight w:val="0"/>
          <w:marTop w:val="0"/>
          <w:marBottom w:val="0"/>
          <w:divBdr>
            <w:top w:val="none" w:sz="0" w:space="0" w:color="auto"/>
            <w:left w:val="none" w:sz="0" w:space="0" w:color="auto"/>
            <w:bottom w:val="none" w:sz="0" w:space="0" w:color="auto"/>
            <w:right w:val="none" w:sz="0" w:space="0" w:color="auto"/>
          </w:divBdr>
        </w:div>
        <w:div w:id="1660963878">
          <w:marLeft w:val="0"/>
          <w:marRight w:val="0"/>
          <w:marTop w:val="0"/>
          <w:marBottom w:val="0"/>
          <w:divBdr>
            <w:top w:val="none" w:sz="0" w:space="0" w:color="auto"/>
            <w:left w:val="none" w:sz="0" w:space="0" w:color="auto"/>
            <w:bottom w:val="none" w:sz="0" w:space="0" w:color="auto"/>
            <w:right w:val="none" w:sz="0" w:space="0" w:color="auto"/>
          </w:divBdr>
        </w:div>
        <w:div w:id="1763069207">
          <w:marLeft w:val="0"/>
          <w:marRight w:val="0"/>
          <w:marTop w:val="0"/>
          <w:marBottom w:val="0"/>
          <w:divBdr>
            <w:top w:val="none" w:sz="0" w:space="0" w:color="auto"/>
            <w:left w:val="none" w:sz="0" w:space="0" w:color="auto"/>
            <w:bottom w:val="none" w:sz="0" w:space="0" w:color="auto"/>
            <w:right w:val="none" w:sz="0" w:space="0" w:color="auto"/>
          </w:divBdr>
        </w:div>
        <w:div w:id="1819180327">
          <w:marLeft w:val="0"/>
          <w:marRight w:val="0"/>
          <w:marTop w:val="0"/>
          <w:marBottom w:val="0"/>
          <w:divBdr>
            <w:top w:val="none" w:sz="0" w:space="0" w:color="auto"/>
            <w:left w:val="none" w:sz="0" w:space="0" w:color="auto"/>
            <w:bottom w:val="none" w:sz="0" w:space="0" w:color="auto"/>
            <w:right w:val="none" w:sz="0" w:space="0" w:color="auto"/>
          </w:divBdr>
        </w:div>
        <w:div w:id="1844733739">
          <w:marLeft w:val="0"/>
          <w:marRight w:val="0"/>
          <w:marTop w:val="0"/>
          <w:marBottom w:val="0"/>
          <w:divBdr>
            <w:top w:val="none" w:sz="0" w:space="0" w:color="auto"/>
            <w:left w:val="none" w:sz="0" w:space="0" w:color="auto"/>
            <w:bottom w:val="none" w:sz="0" w:space="0" w:color="auto"/>
            <w:right w:val="none" w:sz="0" w:space="0" w:color="auto"/>
          </w:divBdr>
        </w:div>
        <w:div w:id="1887333944">
          <w:marLeft w:val="0"/>
          <w:marRight w:val="0"/>
          <w:marTop w:val="0"/>
          <w:marBottom w:val="0"/>
          <w:divBdr>
            <w:top w:val="none" w:sz="0" w:space="0" w:color="auto"/>
            <w:left w:val="none" w:sz="0" w:space="0" w:color="auto"/>
            <w:bottom w:val="none" w:sz="0" w:space="0" w:color="auto"/>
            <w:right w:val="none" w:sz="0" w:space="0" w:color="auto"/>
          </w:divBdr>
        </w:div>
        <w:div w:id="1995835488">
          <w:marLeft w:val="0"/>
          <w:marRight w:val="0"/>
          <w:marTop w:val="0"/>
          <w:marBottom w:val="0"/>
          <w:divBdr>
            <w:top w:val="none" w:sz="0" w:space="0" w:color="auto"/>
            <w:left w:val="none" w:sz="0" w:space="0" w:color="auto"/>
            <w:bottom w:val="none" w:sz="0" w:space="0" w:color="auto"/>
            <w:right w:val="none" w:sz="0" w:space="0" w:color="auto"/>
          </w:divBdr>
        </w:div>
        <w:div w:id="2084253714">
          <w:marLeft w:val="0"/>
          <w:marRight w:val="0"/>
          <w:marTop w:val="0"/>
          <w:marBottom w:val="0"/>
          <w:divBdr>
            <w:top w:val="none" w:sz="0" w:space="0" w:color="auto"/>
            <w:left w:val="none" w:sz="0" w:space="0" w:color="auto"/>
            <w:bottom w:val="none" w:sz="0" w:space="0" w:color="auto"/>
            <w:right w:val="none" w:sz="0" w:space="0" w:color="auto"/>
          </w:divBdr>
        </w:div>
        <w:div w:id="2109037488">
          <w:marLeft w:val="0"/>
          <w:marRight w:val="0"/>
          <w:marTop w:val="0"/>
          <w:marBottom w:val="0"/>
          <w:divBdr>
            <w:top w:val="none" w:sz="0" w:space="0" w:color="auto"/>
            <w:left w:val="none" w:sz="0" w:space="0" w:color="auto"/>
            <w:bottom w:val="none" w:sz="0" w:space="0" w:color="auto"/>
            <w:right w:val="none" w:sz="0" w:space="0" w:color="auto"/>
          </w:divBdr>
        </w:div>
        <w:div w:id="2111775702">
          <w:marLeft w:val="0"/>
          <w:marRight w:val="0"/>
          <w:marTop w:val="0"/>
          <w:marBottom w:val="0"/>
          <w:divBdr>
            <w:top w:val="none" w:sz="0" w:space="0" w:color="auto"/>
            <w:left w:val="none" w:sz="0" w:space="0" w:color="auto"/>
            <w:bottom w:val="none" w:sz="0" w:space="0" w:color="auto"/>
            <w:right w:val="none" w:sz="0" w:space="0" w:color="auto"/>
          </w:divBdr>
        </w:div>
        <w:div w:id="2123449740">
          <w:marLeft w:val="0"/>
          <w:marRight w:val="0"/>
          <w:marTop w:val="0"/>
          <w:marBottom w:val="0"/>
          <w:divBdr>
            <w:top w:val="none" w:sz="0" w:space="0" w:color="auto"/>
            <w:left w:val="none" w:sz="0" w:space="0" w:color="auto"/>
            <w:bottom w:val="none" w:sz="0" w:space="0" w:color="auto"/>
            <w:right w:val="none" w:sz="0" w:space="0" w:color="auto"/>
          </w:divBdr>
        </w:div>
        <w:div w:id="2146384088">
          <w:marLeft w:val="0"/>
          <w:marRight w:val="0"/>
          <w:marTop w:val="0"/>
          <w:marBottom w:val="0"/>
          <w:divBdr>
            <w:top w:val="none" w:sz="0" w:space="0" w:color="auto"/>
            <w:left w:val="none" w:sz="0" w:space="0" w:color="auto"/>
            <w:bottom w:val="none" w:sz="0" w:space="0" w:color="auto"/>
            <w:right w:val="none" w:sz="0" w:space="0" w:color="auto"/>
          </w:divBdr>
        </w:div>
      </w:divsChild>
    </w:div>
    <w:div w:id="1341930960">
      <w:bodyDiv w:val="1"/>
      <w:marLeft w:val="0"/>
      <w:marRight w:val="0"/>
      <w:marTop w:val="0"/>
      <w:marBottom w:val="0"/>
      <w:divBdr>
        <w:top w:val="none" w:sz="0" w:space="0" w:color="auto"/>
        <w:left w:val="none" w:sz="0" w:space="0" w:color="auto"/>
        <w:bottom w:val="none" w:sz="0" w:space="0" w:color="auto"/>
        <w:right w:val="none" w:sz="0" w:space="0" w:color="auto"/>
      </w:divBdr>
      <w:divsChild>
        <w:div w:id="1992824375">
          <w:marLeft w:val="0"/>
          <w:marRight w:val="0"/>
          <w:marTop w:val="0"/>
          <w:marBottom w:val="0"/>
          <w:divBdr>
            <w:top w:val="none" w:sz="0" w:space="0" w:color="auto"/>
            <w:left w:val="none" w:sz="0" w:space="0" w:color="auto"/>
            <w:bottom w:val="none" w:sz="0" w:space="0" w:color="auto"/>
            <w:right w:val="none" w:sz="0" w:space="0" w:color="auto"/>
          </w:divBdr>
        </w:div>
      </w:divsChild>
    </w:div>
    <w:div w:id="1363704314">
      <w:bodyDiv w:val="1"/>
      <w:marLeft w:val="0"/>
      <w:marRight w:val="0"/>
      <w:marTop w:val="0"/>
      <w:marBottom w:val="0"/>
      <w:divBdr>
        <w:top w:val="none" w:sz="0" w:space="0" w:color="auto"/>
        <w:left w:val="none" w:sz="0" w:space="0" w:color="auto"/>
        <w:bottom w:val="none" w:sz="0" w:space="0" w:color="auto"/>
        <w:right w:val="none" w:sz="0" w:space="0" w:color="auto"/>
      </w:divBdr>
      <w:divsChild>
        <w:div w:id="440685212">
          <w:marLeft w:val="0"/>
          <w:marRight w:val="0"/>
          <w:marTop w:val="0"/>
          <w:marBottom w:val="0"/>
          <w:divBdr>
            <w:top w:val="none" w:sz="0" w:space="0" w:color="auto"/>
            <w:left w:val="none" w:sz="0" w:space="0" w:color="auto"/>
            <w:bottom w:val="none" w:sz="0" w:space="0" w:color="auto"/>
            <w:right w:val="none" w:sz="0" w:space="0" w:color="auto"/>
          </w:divBdr>
          <w:divsChild>
            <w:div w:id="819419618">
              <w:marLeft w:val="0"/>
              <w:marRight w:val="0"/>
              <w:marTop w:val="0"/>
              <w:marBottom w:val="0"/>
              <w:divBdr>
                <w:top w:val="none" w:sz="0" w:space="0" w:color="auto"/>
                <w:left w:val="none" w:sz="0" w:space="0" w:color="auto"/>
                <w:bottom w:val="none" w:sz="0" w:space="0" w:color="auto"/>
                <w:right w:val="none" w:sz="0" w:space="0" w:color="auto"/>
              </w:divBdr>
            </w:div>
            <w:div w:id="876308567">
              <w:marLeft w:val="0"/>
              <w:marRight w:val="0"/>
              <w:marTop w:val="0"/>
              <w:marBottom w:val="0"/>
              <w:divBdr>
                <w:top w:val="none" w:sz="0" w:space="0" w:color="auto"/>
                <w:left w:val="none" w:sz="0" w:space="0" w:color="auto"/>
                <w:bottom w:val="none" w:sz="0" w:space="0" w:color="auto"/>
                <w:right w:val="none" w:sz="0" w:space="0" w:color="auto"/>
              </w:divBdr>
              <w:divsChild>
                <w:div w:id="2070837922">
                  <w:marLeft w:val="0"/>
                  <w:marRight w:val="0"/>
                  <w:marTop w:val="0"/>
                  <w:marBottom w:val="0"/>
                  <w:divBdr>
                    <w:top w:val="none" w:sz="0" w:space="0" w:color="auto"/>
                    <w:left w:val="none" w:sz="0" w:space="0" w:color="auto"/>
                    <w:bottom w:val="none" w:sz="0" w:space="0" w:color="auto"/>
                    <w:right w:val="none" w:sz="0" w:space="0" w:color="auto"/>
                  </w:divBdr>
                </w:div>
              </w:divsChild>
            </w:div>
            <w:div w:id="1263418189">
              <w:marLeft w:val="0"/>
              <w:marRight w:val="0"/>
              <w:marTop w:val="0"/>
              <w:marBottom w:val="0"/>
              <w:divBdr>
                <w:top w:val="none" w:sz="0" w:space="0" w:color="auto"/>
                <w:left w:val="none" w:sz="0" w:space="0" w:color="auto"/>
                <w:bottom w:val="none" w:sz="0" w:space="0" w:color="auto"/>
                <w:right w:val="none" w:sz="0" w:space="0" w:color="auto"/>
              </w:divBdr>
            </w:div>
            <w:div w:id="1491560667">
              <w:marLeft w:val="0"/>
              <w:marRight w:val="0"/>
              <w:marTop w:val="0"/>
              <w:marBottom w:val="0"/>
              <w:divBdr>
                <w:top w:val="none" w:sz="0" w:space="0" w:color="auto"/>
                <w:left w:val="none" w:sz="0" w:space="0" w:color="auto"/>
                <w:bottom w:val="none" w:sz="0" w:space="0" w:color="auto"/>
                <w:right w:val="none" w:sz="0" w:space="0" w:color="auto"/>
              </w:divBdr>
            </w:div>
            <w:div w:id="18719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846">
      <w:bodyDiv w:val="1"/>
      <w:marLeft w:val="0"/>
      <w:marRight w:val="0"/>
      <w:marTop w:val="0"/>
      <w:marBottom w:val="0"/>
      <w:divBdr>
        <w:top w:val="none" w:sz="0" w:space="0" w:color="auto"/>
        <w:left w:val="none" w:sz="0" w:space="0" w:color="auto"/>
        <w:bottom w:val="none" w:sz="0" w:space="0" w:color="auto"/>
        <w:right w:val="none" w:sz="0" w:space="0" w:color="auto"/>
      </w:divBdr>
      <w:divsChild>
        <w:div w:id="1140222274">
          <w:marLeft w:val="0"/>
          <w:marRight w:val="0"/>
          <w:marTop w:val="0"/>
          <w:marBottom w:val="0"/>
          <w:divBdr>
            <w:top w:val="none" w:sz="0" w:space="0" w:color="auto"/>
            <w:left w:val="none" w:sz="0" w:space="0" w:color="auto"/>
            <w:bottom w:val="none" w:sz="0" w:space="0" w:color="auto"/>
            <w:right w:val="none" w:sz="0" w:space="0" w:color="auto"/>
          </w:divBdr>
          <w:divsChild>
            <w:div w:id="715932472">
              <w:marLeft w:val="0"/>
              <w:marRight w:val="0"/>
              <w:marTop w:val="0"/>
              <w:marBottom w:val="0"/>
              <w:divBdr>
                <w:top w:val="none" w:sz="0" w:space="0" w:color="auto"/>
                <w:left w:val="none" w:sz="0" w:space="0" w:color="auto"/>
                <w:bottom w:val="none" w:sz="0" w:space="0" w:color="auto"/>
                <w:right w:val="none" w:sz="0" w:space="0" w:color="auto"/>
              </w:divBdr>
            </w:div>
            <w:div w:id="1609579520">
              <w:marLeft w:val="0"/>
              <w:marRight w:val="0"/>
              <w:marTop w:val="0"/>
              <w:marBottom w:val="0"/>
              <w:divBdr>
                <w:top w:val="none" w:sz="0" w:space="0" w:color="auto"/>
                <w:left w:val="none" w:sz="0" w:space="0" w:color="auto"/>
                <w:bottom w:val="none" w:sz="0" w:space="0" w:color="auto"/>
                <w:right w:val="none" w:sz="0" w:space="0" w:color="auto"/>
              </w:divBdr>
            </w:div>
            <w:div w:id="1575968495">
              <w:marLeft w:val="0"/>
              <w:marRight w:val="0"/>
              <w:marTop w:val="0"/>
              <w:marBottom w:val="0"/>
              <w:divBdr>
                <w:top w:val="none" w:sz="0" w:space="0" w:color="auto"/>
                <w:left w:val="none" w:sz="0" w:space="0" w:color="auto"/>
                <w:bottom w:val="none" w:sz="0" w:space="0" w:color="auto"/>
                <w:right w:val="none" w:sz="0" w:space="0" w:color="auto"/>
              </w:divBdr>
            </w:div>
            <w:div w:id="585384853">
              <w:marLeft w:val="600"/>
              <w:marRight w:val="0"/>
              <w:marTop w:val="0"/>
              <w:marBottom w:val="0"/>
              <w:divBdr>
                <w:top w:val="none" w:sz="0" w:space="0" w:color="auto"/>
                <w:left w:val="none" w:sz="0" w:space="0" w:color="auto"/>
                <w:bottom w:val="none" w:sz="0" w:space="0" w:color="auto"/>
                <w:right w:val="none" w:sz="0" w:space="0" w:color="auto"/>
              </w:divBdr>
            </w:div>
            <w:div w:id="901260257">
              <w:marLeft w:val="600"/>
              <w:marRight w:val="0"/>
              <w:marTop w:val="0"/>
              <w:marBottom w:val="0"/>
              <w:divBdr>
                <w:top w:val="none" w:sz="0" w:space="0" w:color="auto"/>
                <w:left w:val="none" w:sz="0" w:space="0" w:color="auto"/>
                <w:bottom w:val="none" w:sz="0" w:space="0" w:color="auto"/>
                <w:right w:val="none" w:sz="0" w:space="0" w:color="auto"/>
              </w:divBdr>
            </w:div>
            <w:div w:id="1876194918">
              <w:marLeft w:val="0"/>
              <w:marRight w:val="0"/>
              <w:marTop w:val="0"/>
              <w:marBottom w:val="0"/>
              <w:divBdr>
                <w:top w:val="none" w:sz="0" w:space="0" w:color="auto"/>
                <w:left w:val="none" w:sz="0" w:space="0" w:color="auto"/>
                <w:bottom w:val="none" w:sz="0" w:space="0" w:color="auto"/>
                <w:right w:val="none" w:sz="0" w:space="0" w:color="auto"/>
              </w:divBdr>
            </w:div>
          </w:divsChild>
        </w:div>
        <w:div w:id="992367460">
          <w:marLeft w:val="0"/>
          <w:marRight w:val="0"/>
          <w:marTop w:val="0"/>
          <w:marBottom w:val="0"/>
          <w:divBdr>
            <w:top w:val="none" w:sz="0" w:space="0" w:color="auto"/>
            <w:left w:val="none" w:sz="0" w:space="0" w:color="auto"/>
            <w:bottom w:val="none" w:sz="0" w:space="0" w:color="auto"/>
            <w:right w:val="none" w:sz="0" w:space="0" w:color="auto"/>
          </w:divBdr>
        </w:div>
      </w:divsChild>
    </w:div>
    <w:div w:id="1376662211">
      <w:bodyDiv w:val="1"/>
      <w:marLeft w:val="0"/>
      <w:marRight w:val="0"/>
      <w:marTop w:val="0"/>
      <w:marBottom w:val="0"/>
      <w:divBdr>
        <w:top w:val="none" w:sz="0" w:space="0" w:color="auto"/>
        <w:left w:val="none" w:sz="0" w:space="0" w:color="auto"/>
        <w:bottom w:val="none" w:sz="0" w:space="0" w:color="auto"/>
        <w:right w:val="none" w:sz="0" w:space="0" w:color="auto"/>
      </w:divBdr>
      <w:divsChild>
        <w:div w:id="1928230979">
          <w:marLeft w:val="0"/>
          <w:marRight w:val="0"/>
          <w:marTop w:val="0"/>
          <w:marBottom w:val="0"/>
          <w:divBdr>
            <w:top w:val="none" w:sz="0" w:space="0" w:color="auto"/>
            <w:left w:val="none" w:sz="0" w:space="0" w:color="auto"/>
            <w:bottom w:val="none" w:sz="0" w:space="0" w:color="auto"/>
            <w:right w:val="none" w:sz="0" w:space="0" w:color="auto"/>
          </w:divBdr>
        </w:div>
      </w:divsChild>
    </w:div>
    <w:div w:id="1385713430">
      <w:bodyDiv w:val="1"/>
      <w:marLeft w:val="0"/>
      <w:marRight w:val="0"/>
      <w:marTop w:val="0"/>
      <w:marBottom w:val="0"/>
      <w:divBdr>
        <w:top w:val="none" w:sz="0" w:space="0" w:color="auto"/>
        <w:left w:val="none" w:sz="0" w:space="0" w:color="auto"/>
        <w:bottom w:val="none" w:sz="0" w:space="0" w:color="auto"/>
        <w:right w:val="none" w:sz="0" w:space="0" w:color="auto"/>
      </w:divBdr>
    </w:div>
    <w:div w:id="1388068811">
      <w:bodyDiv w:val="1"/>
      <w:marLeft w:val="0"/>
      <w:marRight w:val="0"/>
      <w:marTop w:val="0"/>
      <w:marBottom w:val="0"/>
      <w:divBdr>
        <w:top w:val="none" w:sz="0" w:space="0" w:color="auto"/>
        <w:left w:val="none" w:sz="0" w:space="0" w:color="auto"/>
        <w:bottom w:val="none" w:sz="0" w:space="0" w:color="auto"/>
        <w:right w:val="none" w:sz="0" w:space="0" w:color="auto"/>
      </w:divBdr>
    </w:div>
    <w:div w:id="1399014663">
      <w:bodyDiv w:val="1"/>
      <w:marLeft w:val="0"/>
      <w:marRight w:val="0"/>
      <w:marTop w:val="0"/>
      <w:marBottom w:val="0"/>
      <w:divBdr>
        <w:top w:val="none" w:sz="0" w:space="0" w:color="auto"/>
        <w:left w:val="none" w:sz="0" w:space="0" w:color="auto"/>
        <w:bottom w:val="none" w:sz="0" w:space="0" w:color="auto"/>
        <w:right w:val="none" w:sz="0" w:space="0" w:color="auto"/>
      </w:divBdr>
      <w:divsChild>
        <w:div w:id="395665787">
          <w:marLeft w:val="0"/>
          <w:marRight w:val="0"/>
          <w:marTop w:val="260"/>
          <w:marBottom w:val="0"/>
          <w:divBdr>
            <w:top w:val="none" w:sz="0" w:space="0" w:color="auto"/>
            <w:left w:val="none" w:sz="0" w:space="0" w:color="auto"/>
            <w:bottom w:val="none" w:sz="0" w:space="0" w:color="auto"/>
            <w:right w:val="none" w:sz="0" w:space="0" w:color="auto"/>
          </w:divBdr>
          <w:divsChild>
            <w:div w:id="925505448">
              <w:marLeft w:val="0"/>
              <w:marRight w:val="0"/>
              <w:marTop w:val="0"/>
              <w:marBottom w:val="0"/>
              <w:divBdr>
                <w:top w:val="none" w:sz="0" w:space="0" w:color="auto"/>
                <w:left w:val="none" w:sz="0" w:space="0" w:color="auto"/>
                <w:bottom w:val="none" w:sz="0" w:space="0" w:color="auto"/>
                <w:right w:val="none" w:sz="0" w:space="0" w:color="auto"/>
              </w:divBdr>
              <w:divsChild>
                <w:div w:id="751856482">
                  <w:marLeft w:val="0"/>
                  <w:marRight w:val="0"/>
                  <w:marTop w:val="0"/>
                  <w:marBottom w:val="0"/>
                  <w:divBdr>
                    <w:top w:val="none" w:sz="0" w:space="0" w:color="auto"/>
                    <w:left w:val="none" w:sz="0" w:space="0" w:color="auto"/>
                    <w:bottom w:val="none" w:sz="0" w:space="0" w:color="auto"/>
                    <w:right w:val="none" w:sz="0" w:space="0" w:color="auto"/>
                  </w:divBdr>
                  <w:divsChild>
                    <w:div w:id="408890255">
                      <w:marLeft w:val="0"/>
                      <w:marRight w:val="0"/>
                      <w:marTop w:val="0"/>
                      <w:marBottom w:val="0"/>
                      <w:divBdr>
                        <w:top w:val="none" w:sz="0" w:space="0" w:color="auto"/>
                        <w:left w:val="none" w:sz="0" w:space="0" w:color="auto"/>
                        <w:bottom w:val="none" w:sz="0" w:space="0" w:color="auto"/>
                        <w:right w:val="none" w:sz="0" w:space="0" w:color="auto"/>
                      </w:divBdr>
                      <w:divsChild>
                        <w:div w:id="5113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64067">
          <w:marLeft w:val="0"/>
          <w:marRight w:val="0"/>
          <w:marTop w:val="60"/>
          <w:marBottom w:val="0"/>
          <w:divBdr>
            <w:top w:val="none" w:sz="0" w:space="0" w:color="auto"/>
            <w:left w:val="none" w:sz="0" w:space="0" w:color="auto"/>
            <w:bottom w:val="none" w:sz="0" w:space="0" w:color="auto"/>
            <w:right w:val="none" w:sz="0" w:space="0" w:color="auto"/>
          </w:divBdr>
          <w:divsChild>
            <w:div w:id="737898549">
              <w:marLeft w:val="0"/>
              <w:marRight w:val="0"/>
              <w:marTop w:val="0"/>
              <w:marBottom w:val="0"/>
              <w:divBdr>
                <w:top w:val="none" w:sz="0" w:space="0" w:color="auto"/>
                <w:left w:val="none" w:sz="0" w:space="0" w:color="auto"/>
                <w:bottom w:val="none" w:sz="0" w:space="0" w:color="auto"/>
                <w:right w:val="none" w:sz="0" w:space="0" w:color="auto"/>
              </w:divBdr>
              <w:divsChild>
                <w:div w:id="420683215">
                  <w:marLeft w:val="0"/>
                  <w:marRight w:val="0"/>
                  <w:marTop w:val="0"/>
                  <w:marBottom w:val="0"/>
                  <w:divBdr>
                    <w:top w:val="none" w:sz="0" w:space="0" w:color="auto"/>
                    <w:left w:val="none" w:sz="0" w:space="0" w:color="auto"/>
                    <w:bottom w:val="none" w:sz="0" w:space="0" w:color="auto"/>
                    <w:right w:val="none" w:sz="0" w:space="0" w:color="auto"/>
                  </w:divBdr>
                  <w:divsChild>
                    <w:div w:id="77793825">
                      <w:marLeft w:val="0"/>
                      <w:marRight w:val="0"/>
                      <w:marTop w:val="0"/>
                      <w:marBottom w:val="0"/>
                      <w:divBdr>
                        <w:top w:val="none" w:sz="0" w:space="0" w:color="auto"/>
                        <w:left w:val="none" w:sz="0" w:space="0" w:color="auto"/>
                        <w:bottom w:val="none" w:sz="0" w:space="0" w:color="auto"/>
                        <w:right w:val="none" w:sz="0" w:space="0" w:color="auto"/>
                      </w:divBdr>
                      <w:divsChild>
                        <w:div w:id="10385129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544648">
      <w:bodyDiv w:val="1"/>
      <w:marLeft w:val="0"/>
      <w:marRight w:val="0"/>
      <w:marTop w:val="0"/>
      <w:marBottom w:val="0"/>
      <w:divBdr>
        <w:top w:val="none" w:sz="0" w:space="0" w:color="auto"/>
        <w:left w:val="none" w:sz="0" w:space="0" w:color="auto"/>
        <w:bottom w:val="none" w:sz="0" w:space="0" w:color="auto"/>
        <w:right w:val="none" w:sz="0" w:space="0" w:color="auto"/>
      </w:divBdr>
      <w:divsChild>
        <w:div w:id="266620384">
          <w:marLeft w:val="0"/>
          <w:marRight w:val="0"/>
          <w:marTop w:val="0"/>
          <w:marBottom w:val="0"/>
          <w:divBdr>
            <w:top w:val="none" w:sz="0" w:space="0" w:color="auto"/>
            <w:left w:val="none" w:sz="0" w:space="0" w:color="auto"/>
            <w:bottom w:val="none" w:sz="0" w:space="0" w:color="auto"/>
            <w:right w:val="none" w:sz="0" w:space="0" w:color="auto"/>
          </w:divBdr>
        </w:div>
        <w:div w:id="772672434">
          <w:marLeft w:val="0"/>
          <w:marRight w:val="0"/>
          <w:marTop w:val="0"/>
          <w:marBottom w:val="0"/>
          <w:divBdr>
            <w:top w:val="none" w:sz="0" w:space="0" w:color="auto"/>
            <w:left w:val="none" w:sz="0" w:space="0" w:color="auto"/>
            <w:bottom w:val="none" w:sz="0" w:space="0" w:color="auto"/>
            <w:right w:val="none" w:sz="0" w:space="0" w:color="auto"/>
          </w:divBdr>
        </w:div>
        <w:div w:id="786974350">
          <w:marLeft w:val="0"/>
          <w:marRight w:val="0"/>
          <w:marTop w:val="0"/>
          <w:marBottom w:val="0"/>
          <w:divBdr>
            <w:top w:val="none" w:sz="0" w:space="0" w:color="auto"/>
            <w:left w:val="none" w:sz="0" w:space="0" w:color="auto"/>
            <w:bottom w:val="none" w:sz="0" w:space="0" w:color="auto"/>
            <w:right w:val="none" w:sz="0" w:space="0" w:color="auto"/>
          </w:divBdr>
        </w:div>
      </w:divsChild>
    </w:div>
    <w:div w:id="1410882038">
      <w:bodyDiv w:val="1"/>
      <w:marLeft w:val="0"/>
      <w:marRight w:val="0"/>
      <w:marTop w:val="0"/>
      <w:marBottom w:val="0"/>
      <w:divBdr>
        <w:top w:val="none" w:sz="0" w:space="0" w:color="auto"/>
        <w:left w:val="none" w:sz="0" w:space="0" w:color="auto"/>
        <w:bottom w:val="none" w:sz="0" w:space="0" w:color="auto"/>
        <w:right w:val="none" w:sz="0" w:space="0" w:color="auto"/>
      </w:divBdr>
    </w:div>
    <w:div w:id="1419521068">
      <w:bodyDiv w:val="1"/>
      <w:marLeft w:val="0"/>
      <w:marRight w:val="0"/>
      <w:marTop w:val="0"/>
      <w:marBottom w:val="0"/>
      <w:divBdr>
        <w:top w:val="none" w:sz="0" w:space="0" w:color="auto"/>
        <w:left w:val="none" w:sz="0" w:space="0" w:color="auto"/>
        <w:bottom w:val="none" w:sz="0" w:space="0" w:color="auto"/>
        <w:right w:val="none" w:sz="0" w:space="0" w:color="auto"/>
      </w:divBdr>
    </w:div>
    <w:div w:id="1425685747">
      <w:bodyDiv w:val="1"/>
      <w:marLeft w:val="0"/>
      <w:marRight w:val="0"/>
      <w:marTop w:val="0"/>
      <w:marBottom w:val="0"/>
      <w:divBdr>
        <w:top w:val="none" w:sz="0" w:space="0" w:color="auto"/>
        <w:left w:val="none" w:sz="0" w:space="0" w:color="auto"/>
        <w:bottom w:val="none" w:sz="0" w:space="0" w:color="auto"/>
        <w:right w:val="none" w:sz="0" w:space="0" w:color="auto"/>
      </w:divBdr>
      <w:divsChild>
        <w:div w:id="1377503655">
          <w:marLeft w:val="0"/>
          <w:marRight w:val="0"/>
          <w:marTop w:val="0"/>
          <w:marBottom w:val="0"/>
          <w:divBdr>
            <w:top w:val="none" w:sz="0" w:space="0" w:color="auto"/>
            <w:left w:val="none" w:sz="0" w:space="0" w:color="auto"/>
            <w:bottom w:val="none" w:sz="0" w:space="0" w:color="auto"/>
            <w:right w:val="none" w:sz="0" w:space="0" w:color="auto"/>
          </w:divBdr>
        </w:div>
      </w:divsChild>
    </w:div>
    <w:div w:id="1456175825">
      <w:bodyDiv w:val="1"/>
      <w:marLeft w:val="0"/>
      <w:marRight w:val="0"/>
      <w:marTop w:val="0"/>
      <w:marBottom w:val="0"/>
      <w:divBdr>
        <w:top w:val="none" w:sz="0" w:space="0" w:color="auto"/>
        <w:left w:val="none" w:sz="0" w:space="0" w:color="auto"/>
        <w:bottom w:val="none" w:sz="0" w:space="0" w:color="auto"/>
        <w:right w:val="none" w:sz="0" w:space="0" w:color="auto"/>
      </w:divBdr>
    </w:div>
    <w:div w:id="1464350977">
      <w:bodyDiv w:val="1"/>
      <w:marLeft w:val="0"/>
      <w:marRight w:val="0"/>
      <w:marTop w:val="0"/>
      <w:marBottom w:val="0"/>
      <w:divBdr>
        <w:top w:val="none" w:sz="0" w:space="0" w:color="auto"/>
        <w:left w:val="none" w:sz="0" w:space="0" w:color="auto"/>
        <w:bottom w:val="none" w:sz="0" w:space="0" w:color="auto"/>
        <w:right w:val="none" w:sz="0" w:space="0" w:color="auto"/>
      </w:divBdr>
    </w:div>
    <w:div w:id="1475947141">
      <w:bodyDiv w:val="1"/>
      <w:marLeft w:val="0"/>
      <w:marRight w:val="0"/>
      <w:marTop w:val="0"/>
      <w:marBottom w:val="0"/>
      <w:divBdr>
        <w:top w:val="none" w:sz="0" w:space="0" w:color="auto"/>
        <w:left w:val="none" w:sz="0" w:space="0" w:color="auto"/>
        <w:bottom w:val="none" w:sz="0" w:space="0" w:color="auto"/>
        <w:right w:val="none" w:sz="0" w:space="0" w:color="auto"/>
      </w:divBdr>
      <w:divsChild>
        <w:div w:id="623268892">
          <w:marLeft w:val="0"/>
          <w:marRight w:val="0"/>
          <w:marTop w:val="0"/>
          <w:marBottom w:val="0"/>
          <w:divBdr>
            <w:top w:val="none" w:sz="0" w:space="0" w:color="auto"/>
            <w:left w:val="none" w:sz="0" w:space="0" w:color="auto"/>
            <w:bottom w:val="none" w:sz="0" w:space="0" w:color="auto"/>
            <w:right w:val="none" w:sz="0" w:space="0" w:color="auto"/>
          </w:divBdr>
        </w:div>
      </w:divsChild>
    </w:div>
    <w:div w:id="1487475818">
      <w:bodyDiv w:val="1"/>
      <w:marLeft w:val="0"/>
      <w:marRight w:val="0"/>
      <w:marTop w:val="0"/>
      <w:marBottom w:val="0"/>
      <w:divBdr>
        <w:top w:val="none" w:sz="0" w:space="0" w:color="auto"/>
        <w:left w:val="none" w:sz="0" w:space="0" w:color="auto"/>
        <w:bottom w:val="none" w:sz="0" w:space="0" w:color="auto"/>
        <w:right w:val="none" w:sz="0" w:space="0" w:color="auto"/>
      </w:divBdr>
      <w:divsChild>
        <w:div w:id="714694965">
          <w:marLeft w:val="0"/>
          <w:marRight w:val="0"/>
          <w:marTop w:val="0"/>
          <w:marBottom w:val="0"/>
          <w:divBdr>
            <w:top w:val="none" w:sz="0" w:space="0" w:color="auto"/>
            <w:left w:val="none" w:sz="0" w:space="0" w:color="auto"/>
            <w:bottom w:val="none" w:sz="0" w:space="0" w:color="auto"/>
            <w:right w:val="none" w:sz="0" w:space="0" w:color="auto"/>
          </w:divBdr>
        </w:div>
        <w:div w:id="1480925262">
          <w:marLeft w:val="0"/>
          <w:marRight w:val="0"/>
          <w:marTop w:val="0"/>
          <w:marBottom w:val="0"/>
          <w:divBdr>
            <w:top w:val="none" w:sz="0" w:space="0" w:color="auto"/>
            <w:left w:val="none" w:sz="0" w:space="0" w:color="auto"/>
            <w:bottom w:val="none" w:sz="0" w:space="0" w:color="auto"/>
            <w:right w:val="none" w:sz="0" w:space="0" w:color="auto"/>
          </w:divBdr>
        </w:div>
      </w:divsChild>
    </w:div>
    <w:div w:id="1488016317">
      <w:bodyDiv w:val="1"/>
      <w:marLeft w:val="0"/>
      <w:marRight w:val="0"/>
      <w:marTop w:val="0"/>
      <w:marBottom w:val="0"/>
      <w:divBdr>
        <w:top w:val="none" w:sz="0" w:space="0" w:color="auto"/>
        <w:left w:val="none" w:sz="0" w:space="0" w:color="auto"/>
        <w:bottom w:val="none" w:sz="0" w:space="0" w:color="auto"/>
        <w:right w:val="none" w:sz="0" w:space="0" w:color="auto"/>
      </w:divBdr>
    </w:div>
    <w:div w:id="1489135077">
      <w:bodyDiv w:val="1"/>
      <w:marLeft w:val="0"/>
      <w:marRight w:val="0"/>
      <w:marTop w:val="0"/>
      <w:marBottom w:val="0"/>
      <w:divBdr>
        <w:top w:val="none" w:sz="0" w:space="0" w:color="auto"/>
        <w:left w:val="none" w:sz="0" w:space="0" w:color="auto"/>
        <w:bottom w:val="none" w:sz="0" w:space="0" w:color="auto"/>
        <w:right w:val="none" w:sz="0" w:space="0" w:color="auto"/>
      </w:divBdr>
    </w:div>
    <w:div w:id="1519924202">
      <w:bodyDiv w:val="1"/>
      <w:marLeft w:val="0"/>
      <w:marRight w:val="0"/>
      <w:marTop w:val="0"/>
      <w:marBottom w:val="0"/>
      <w:divBdr>
        <w:top w:val="none" w:sz="0" w:space="0" w:color="auto"/>
        <w:left w:val="none" w:sz="0" w:space="0" w:color="auto"/>
        <w:bottom w:val="none" w:sz="0" w:space="0" w:color="auto"/>
        <w:right w:val="none" w:sz="0" w:space="0" w:color="auto"/>
      </w:divBdr>
      <w:divsChild>
        <w:div w:id="1160459095">
          <w:marLeft w:val="0"/>
          <w:marRight w:val="0"/>
          <w:marTop w:val="60"/>
          <w:marBottom w:val="0"/>
          <w:divBdr>
            <w:top w:val="none" w:sz="0" w:space="0" w:color="auto"/>
            <w:left w:val="none" w:sz="0" w:space="0" w:color="auto"/>
            <w:bottom w:val="none" w:sz="0" w:space="0" w:color="auto"/>
            <w:right w:val="none" w:sz="0" w:space="0" w:color="auto"/>
          </w:divBdr>
        </w:div>
        <w:div w:id="1818574444">
          <w:marLeft w:val="240"/>
          <w:marRight w:val="0"/>
          <w:marTop w:val="0"/>
          <w:marBottom w:val="0"/>
          <w:divBdr>
            <w:top w:val="none" w:sz="0" w:space="0" w:color="auto"/>
            <w:left w:val="none" w:sz="0" w:space="0" w:color="auto"/>
            <w:bottom w:val="none" w:sz="0" w:space="0" w:color="auto"/>
            <w:right w:val="none" w:sz="0" w:space="0" w:color="auto"/>
          </w:divBdr>
          <w:divsChild>
            <w:div w:id="85966154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525899190">
      <w:bodyDiv w:val="1"/>
      <w:marLeft w:val="0"/>
      <w:marRight w:val="0"/>
      <w:marTop w:val="0"/>
      <w:marBottom w:val="0"/>
      <w:divBdr>
        <w:top w:val="none" w:sz="0" w:space="0" w:color="auto"/>
        <w:left w:val="none" w:sz="0" w:space="0" w:color="auto"/>
        <w:bottom w:val="none" w:sz="0" w:space="0" w:color="auto"/>
        <w:right w:val="none" w:sz="0" w:space="0" w:color="auto"/>
      </w:divBdr>
      <w:divsChild>
        <w:div w:id="1043214585">
          <w:marLeft w:val="0"/>
          <w:marRight w:val="0"/>
          <w:marTop w:val="0"/>
          <w:marBottom w:val="0"/>
          <w:divBdr>
            <w:top w:val="none" w:sz="0" w:space="0" w:color="auto"/>
            <w:left w:val="none" w:sz="0" w:space="0" w:color="auto"/>
            <w:bottom w:val="none" w:sz="0" w:space="0" w:color="auto"/>
            <w:right w:val="none" w:sz="0" w:space="0" w:color="auto"/>
          </w:divBdr>
        </w:div>
      </w:divsChild>
    </w:div>
    <w:div w:id="1542940511">
      <w:bodyDiv w:val="1"/>
      <w:marLeft w:val="0"/>
      <w:marRight w:val="0"/>
      <w:marTop w:val="0"/>
      <w:marBottom w:val="0"/>
      <w:divBdr>
        <w:top w:val="none" w:sz="0" w:space="0" w:color="auto"/>
        <w:left w:val="none" w:sz="0" w:space="0" w:color="auto"/>
        <w:bottom w:val="none" w:sz="0" w:space="0" w:color="auto"/>
        <w:right w:val="none" w:sz="0" w:space="0" w:color="auto"/>
      </w:divBdr>
      <w:divsChild>
        <w:div w:id="1194730884">
          <w:marLeft w:val="0"/>
          <w:marRight w:val="0"/>
          <w:marTop w:val="0"/>
          <w:marBottom w:val="0"/>
          <w:divBdr>
            <w:top w:val="none" w:sz="0" w:space="0" w:color="auto"/>
            <w:left w:val="none" w:sz="0" w:space="0" w:color="auto"/>
            <w:bottom w:val="none" w:sz="0" w:space="0" w:color="auto"/>
            <w:right w:val="none" w:sz="0" w:space="0" w:color="auto"/>
          </w:divBdr>
          <w:divsChild>
            <w:div w:id="16730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817">
      <w:bodyDiv w:val="1"/>
      <w:marLeft w:val="0"/>
      <w:marRight w:val="0"/>
      <w:marTop w:val="0"/>
      <w:marBottom w:val="0"/>
      <w:divBdr>
        <w:top w:val="none" w:sz="0" w:space="0" w:color="auto"/>
        <w:left w:val="none" w:sz="0" w:space="0" w:color="auto"/>
        <w:bottom w:val="none" w:sz="0" w:space="0" w:color="auto"/>
        <w:right w:val="none" w:sz="0" w:space="0" w:color="auto"/>
      </w:divBdr>
      <w:divsChild>
        <w:div w:id="952134938">
          <w:marLeft w:val="0"/>
          <w:marRight w:val="0"/>
          <w:marTop w:val="0"/>
          <w:marBottom w:val="0"/>
          <w:divBdr>
            <w:top w:val="none" w:sz="0" w:space="0" w:color="auto"/>
            <w:left w:val="none" w:sz="0" w:space="0" w:color="auto"/>
            <w:bottom w:val="none" w:sz="0" w:space="0" w:color="auto"/>
            <w:right w:val="none" w:sz="0" w:space="0" w:color="auto"/>
          </w:divBdr>
        </w:div>
        <w:div w:id="838470496">
          <w:marLeft w:val="0"/>
          <w:marRight w:val="0"/>
          <w:marTop w:val="0"/>
          <w:marBottom w:val="0"/>
          <w:divBdr>
            <w:top w:val="none" w:sz="0" w:space="0" w:color="auto"/>
            <w:left w:val="none" w:sz="0" w:space="0" w:color="auto"/>
            <w:bottom w:val="none" w:sz="0" w:space="0" w:color="auto"/>
            <w:right w:val="none" w:sz="0" w:space="0" w:color="auto"/>
          </w:divBdr>
        </w:div>
        <w:div w:id="1724937460">
          <w:marLeft w:val="0"/>
          <w:marRight w:val="0"/>
          <w:marTop w:val="0"/>
          <w:marBottom w:val="0"/>
          <w:divBdr>
            <w:top w:val="none" w:sz="0" w:space="0" w:color="auto"/>
            <w:left w:val="none" w:sz="0" w:space="0" w:color="auto"/>
            <w:bottom w:val="none" w:sz="0" w:space="0" w:color="auto"/>
            <w:right w:val="none" w:sz="0" w:space="0" w:color="auto"/>
          </w:divBdr>
        </w:div>
        <w:div w:id="1428576289">
          <w:marLeft w:val="0"/>
          <w:marRight w:val="0"/>
          <w:marTop w:val="0"/>
          <w:marBottom w:val="0"/>
          <w:divBdr>
            <w:top w:val="none" w:sz="0" w:space="0" w:color="auto"/>
            <w:left w:val="none" w:sz="0" w:space="0" w:color="auto"/>
            <w:bottom w:val="none" w:sz="0" w:space="0" w:color="auto"/>
            <w:right w:val="none" w:sz="0" w:space="0" w:color="auto"/>
          </w:divBdr>
        </w:div>
        <w:div w:id="322970362">
          <w:marLeft w:val="0"/>
          <w:marRight w:val="0"/>
          <w:marTop w:val="0"/>
          <w:marBottom w:val="0"/>
          <w:divBdr>
            <w:top w:val="none" w:sz="0" w:space="0" w:color="auto"/>
            <w:left w:val="none" w:sz="0" w:space="0" w:color="auto"/>
            <w:bottom w:val="none" w:sz="0" w:space="0" w:color="auto"/>
            <w:right w:val="none" w:sz="0" w:space="0" w:color="auto"/>
          </w:divBdr>
        </w:div>
      </w:divsChild>
    </w:div>
    <w:div w:id="1586189564">
      <w:bodyDiv w:val="1"/>
      <w:marLeft w:val="0"/>
      <w:marRight w:val="0"/>
      <w:marTop w:val="0"/>
      <w:marBottom w:val="0"/>
      <w:divBdr>
        <w:top w:val="none" w:sz="0" w:space="0" w:color="auto"/>
        <w:left w:val="none" w:sz="0" w:space="0" w:color="auto"/>
        <w:bottom w:val="none" w:sz="0" w:space="0" w:color="auto"/>
        <w:right w:val="none" w:sz="0" w:space="0" w:color="auto"/>
      </w:divBdr>
    </w:div>
    <w:div w:id="1590580064">
      <w:bodyDiv w:val="1"/>
      <w:marLeft w:val="0"/>
      <w:marRight w:val="0"/>
      <w:marTop w:val="0"/>
      <w:marBottom w:val="0"/>
      <w:divBdr>
        <w:top w:val="none" w:sz="0" w:space="0" w:color="auto"/>
        <w:left w:val="none" w:sz="0" w:space="0" w:color="auto"/>
        <w:bottom w:val="none" w:sz="0" w:space="0" w:color="auto"/>
        <w:right w:val="none" w:sz="0" w:space="0" w:color="auto"/>
      </w:divBdr>
    </w:div>
    <w:div w:id="1593586789">
      <w:bodyDiv w:val="1"/>
      <w:marLeft w:val="0"/>
      <w:marRight w:val="0"/>
      <w:marTop w:val="0"/>
      <w:marBottom w:val="0"/>
      <w:divBdr>
        <w:top w:val="none" w:sz="0" w:space="0" w:color="auto"/>
        <w:left w:val="none" w:sz="0" w:space="0" w:color="auto"/>
        <w:bottom w:val="none" w:sz="0" w:space="0" w:color="auto"/>
        <w:right w:val="none" w:sz="0" w:space="0" w:color="auto"/>
      </w:divBdr>
    </w:div>
    <w:div w:id="1668704995">
      <w:bodyDiv w:val="1"/>
      <w:marLeft w:val="0"/>
      <w:marRight w:val="0"/>
      <w:marTop w:val="0"/>
      <w:marBottom w:val="0"/>
      <w:divBdr>
        <w:top w:val="none" w:sz="0" w:space="0" w:color="auto"/>
        <w:left w:val="none" w:sz="0" w:space="0" w:color="auto"/>
        <w:bottom w:val="none" w:sz="0" w:space="0" w:color="auto"/>
        <w:right w:val="none" w:sz="0" w:space="0" w:color="auto"/>
      </w:divBdr>
      <w:divsChild>
        <w:div w:id="1361471041">
          <w:marLeft w:val="0"/>
          <w:marRight w:val="0"/>
          <w:marTop w:val="0"/>
          <w:marBottom w:val="0"/>
          <w:divBdr>
            <w:top w:val="none" w:sz="0" w:space="0" w:color="auto"/>
            <w:left w:val="none" w:sz="0" w:space="0" w:color="auto"/>
            <w:bottom w:val="none" w:sz="0" w:space="0" w:color="auto"/>
            <w:right w:val="none" w:sz="0" w:space="0" w:color="auto"/>
          </w:divBdr>
        </w:div>
      </w:divsChild>
    </w:div>
    <w:div w:id="1670210570">
      <w:bodyDiv w:val="1"/>
      <w:marLeft w:val="0"/>
      <w:marRight w:val="0"/>
      <w:marTop w:val="0"/>
      <w:marBottom w:val="0"/>
      <w:divBdr>
        <w:top w:val="none" w:sz="0" w:space="0" w:color="auto"/>
        <w:left w:val="none" w:sz="0" w:space="0" w:color="auto"/>
        <w:bottom w:val="none" w:sz="0" w:space="0" w:color="auto"/>
        <w:right w:val="none" w:sz="0" w:space="0" w:color="auto"/>
      </w:divBdr>
      <w:divsChild>
        <w:div w:id="1057706609">
          <w:marLeft w:val="0"/>
          <w:marRight w:val="0"/>
          <w:marTop w:val="0"/>
          <w:marBottom w:val="0"/>
          <w:divBdr>
            <w:top w:val="none" w:sz="0" w:space="0" w:color="auto"/>
            <w:left w:val="none" w:sz="0" w:space="0" w:color="auto"/>
            <w:bottom w:val="none" w:sz="0" w:space="0" w:color="auto"/>
            <w:right w:val="none" w:sz="0" w:space="0" w:color="auto"/>
          </w:divBdr>
        </w:div>
      </w:divsChild>
    </w:div>
    <w:div w:id="1693799367">
      <w:bodyDiv w:val="1"/>
      <w:marLeft w:val="0"/>
      <w:marRight w:val="0"/>
      <w:marTop w:val="0"/>
      <w:marBottom w:val="0"/>
      <w:divBdr>
        <w:top w:val="none" w:sz="0" w:space="0" w:color="auto"/>
        <w:left w:val="none" w:sz="0" w:space="0" w:color="auto"/>
        <w:bottom w:val="none" w:sz="0" w:space="0" w:color="auto"/>
        <w:right w:val="none" w:sz="0" w:space="0" w:color="auto"/>
      </w:divBdr>
      <w:divsChild>
        <w:div w:id="456529864">
          <w:marLeft w:val="0"/>
          <w:marRight w:val="0"/>
          <w:marTop w:val="0"/>
          <w:marBottom w:val="0"/>
          <w:divBdr>
            <w:top w:val="none" w:sz="0" w:space="0" w:color="auto"/>
            <w:left w:val="none" w:sz="0" w:space="0" w:color="auto"/>
            <w:bottom w:val="none" w:sz="0" w:space="0" w:color="auto"/>
            <w:right w:val="none" w:sz="0" w:space="0" w:color="auto"/>
          </w:divBdr>
        </w:div>
      </w:divsChild>
    </w:div>
    <w:div w:id="1700400247">
      <w:bodyDiv w:val="1"/>
      <w:marLeft w:val="0"/>
      <w:marRight w:val="0"/>
      <w:marTop w:val="0"/>
      <w:marBottom w:val="0"/>
      <w:divBdr>
        <w:top w:val="none" w:sz="0" w:space="0" w:color="auto"/>
        <w:left w:val="none" w:sz="0" w:space="0" w:color="auto"/>
        <w:bottom w:val="none" w:sz="0" w:space="0" w:color="auto"/>
        <w:right w:val="none" w:sz="0" w:space="0" w:color="auto"/>
      </w:divBdr>
      <w:divsChild>
        <w:div w:id="1324092153">
          <w:marLeft w:val="0"/>
          <w:marRight w:val="0"/>
          <w:marTop w:val="0"/>
          <w:marBottom w:val="0"/>
          <w:divBdr>
            <w:top w:val="none" w:sz="0" w:space="0" w:color="auto"/>
            <w:left w:val="none" w:sz="0" w:space="0" w:color="auto"/>
            <w:bottom w:val="none" w:sz="0" w:space="0" w:color="auto"/>
            <w:right w:val="none" w:sz="0" w:space="0" w:color="auto"/>
          </w:divBdr>
        </w:div>
        <w:div w:id="7029560">
          <w:marLeft w:val="0"/>
          <w:marRight w:val="0"/>
          <w:marTop w:val="0"/>
          <w:marBottom w:val="0"/>
          <w:divBdr>
            <w:top w:val="none" w:sz="0" w:space="0" w:color="auto"/>
            <w:left w:val="none" w:sz="0" w:space="0" w:color="auto"/>
            <w:bottom w:val="none" w:sz="0" w:space="0" w:color="auto"/>
            <w:right w:val="none" w:sz="0" w:space="0" w:color="auto"/>
          </w:divBdr>
        </w:div>
      </w:divsChild>
    </w:div>
    <w:div w:id="1717895431">
      <w:bodyDiv w:val="1"/>
      <w:marLeft w:val="0"/>
      <w:marRight w:val="0"/>
      <w:marTop w:val="0"/>
      <w:marBottom w:val="0"/>
      <w:divBdr>
        <w:top w:val="none" w:sz="0" w:space="0" w:color="auto"/>
        <w:left w:val="none" w:sz="0" w:space="0" w:color="auto"/>
        <w:bottom w:val="none" w:sz="0" w:space="0" w:color="auto"/>
        <w:right w:val="none" w:sz="0" w:space="0" w:color="auto"/>
      </w:divBdr>
    </w:div>
    <w:div w:id="1724712842">
      <w:bodyDiv w:val="1"/>
      <w:marLeft w:val="0"/>
      <w:marRight w:val="0"/>
      <w:marTop w:val="0"/>
      <w:marBottom w:val="0"/>
      <w:divBdr>
        <w:top w:val="none" w:sz="0" w:space="0" w:color="auto"/>
        <w:left w:val="none" w:sz="0" w:space="0" w:color="auto"/>
        <w:bottom w:val="none" w:sz="0" w:space="0" w:color="auto"/>
        <w:right w:val="none" w:sz="0" w:space="0" w:color="auto"/>
      </w:divBdr>
      <w:divsChild>
        <w:div w:id="1139492788">
          <w:marLeft w:val="0"/>
          <w:marRight w:val="0"/>
          <w:marTop w:val="0"/>
          <w:marBottom w:val="0"/>
          <w:divBdr>
            <w:top w:val="none" w:sz="0" w:space="0" w:color="auto"/>
            <w:left w:val="none" w:sz="0" w:space="0" w:color="auto"/>
            <w:bottom w:val="none" w:sz="0" w:space="0" w:color="auto"/>
            <w:right w:val="none" w:sz="0" w:space="0" w:color="auto"/>
          </w:divBdr>
        </w:div>
      </w:divsChild>
    </w:div>
    <w:div w:id="1728843098">
      <w:bodyDiv w:val="1"/>
      <w:marLeft w:val="0"/>
      <w:marRight w:val="0"/>
      <w:marTop w:val="0"/>
      <w:marBottom w:val="0"/>
      <w:divBdr>
        <w:top w:val="none" w:sz="0" w:space="0" w:color="auto"/>
        <w:left w:val="none" w:sz="0" w:space="0" w:color="auto"/>
        <w:bottom w:val="none" w:sz="0" w:space="0" w:color="auto"/>
        <w:right w:val="none" w:sz="0" w:space="0" w:color="auto"/>
      </w:divBdr>
    </w:div>
    <w:div w:id="1775904313">
      <w:bodyDiv w:val="1"/>
      <w:marLeft w:val="0"/>
      <w:marRight w:val="0"/>
      <w:marTop w:val="0"/>
      <w:marBottom w:val="0"/>
      <w:divBdr>
        <w:top w:val="none" w:sz="0" w:space="0" w:color="auto"/>
        <w:left w:val="none" w:sz="0" w:space="0" w:color="auto"/>
        <w:bottom w:val="none" w:sz="0" w:space="0" w:color="auto"/>
        <w:right w:val="none" w:sz="0" w:space="0" w:color="auto"/>
      </w:divBdr>
    </w:div>
    <w:div w:id="1778913217">
      <w:bodyDiv w:val="1"/>
      <w:marLeft w:val="0"/>
      <w:marRight w:val="0"/>
      <w:marTop w:val="0"/>
      <w:marBottom w:val="0"/>
      <w:divBdr>
        <w:top w:val="none" w:sz="0" w:space="0" w:color="auto"/>
        <w:left w:val="none" w:sz="0" w:space="0" w:color="auto"/>
        <w:bottom w:val="none" w:sz="0" w:space="0" w:color="auto"/>
        <w:right w:val="none" w:sz="0" w:space="0" w:color="auto"/>
      </w:divBdr>
      <w:divsChild>
        <w:div w:id="100272738">
          <w:marLeft w:val="0"/>
          <w:marRight w:val="0"/>
          <w:marTop w:val="0"/>
          <w:marBottom w:val="0"/>
          <w:divBdr>
            <w:top w:val="none" w:sz="0" w:space="0" w:color="auto"/>
            <w:left w:val="none" w:sz="0" w:space="0" w:color="auto"/>
            <w:bottom w:val="none" w:sz="0" w:space="0" w:color="auto"/>
            <w:right w:val="none" w:sz="0" w:space="0" w:color="auto"/>
          </w:divBdr>
          <w:divsChild>
            <w:div w:id="1224826293">
              <w:marLeft w:val="0"/>
              <w:marRight w:val="0"/>
              <w:marTop w:val="0"/>
              <w:marBottom w:val="0"/>
              <w:divBdr>
                <w:top w:val="none" w:sz="0" w:space="0" w:color="auto"/>
                <w:left w:val="none" w:sz="0" w:space="0" w:color="auto"/>
                <w:bottom w:val="none" w:sz="0" w:space="0" w:color="auto"/>
                <w:right w:val="none" w:sz="0" w:space="0" w:color="auto"/>
              </w:divBdr>
              <w:divsChild>
                <w:div w:id="119417370">
                  <w:marLeft w:val="0"/>
                  <w:marRight w:val="0"/>
                  <w:marTop w:val="0"/>
                  <w:marBottom w:val="0"/>
                  <w:divBdr>
                    <w:top w:val="none" w:sz="0" w:space="0" w:color="auto"/>
                    <w:left w:val="none" w:sz="0" w:space="0" w:color="auto"/>
                    <w:bottom w:val="none" w:sz="0" w:space="0" w:color="auto"/>
                    <w:right w:val="none" w:sz="0" w:space="0" w:color="auto"/>
                  </w:divBdr>
                  <w:divsChild>
                    <w:div w:id="8186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19288">
          <w:marLeft w:val="0"/>
          <w:marRight w:val="0"/>
          <w:marTop w:val="0"/>
          <w:marBottom w:val="0"/>
          <w:divBdr>
            <w:top w:val="none" w:sz="0" w:space="0" w:color="auto"/>
            <w:left w:val="none" w:sz="0" w:space="0" w:color="auto"/>
            <w:bottom w:val="none" w:sz="0" w:space="0" w:color="auto"/>
            <w:right w:val="none" w:sz="0" w:space="0" w:color="auto"/>
          </w:divBdr>
          <w:divsChild>
            <w:div w:id="252009112">
              <w:marLeft w:val="0"/>
              <w:marRight w:val="0"/>
              <w:marTop w:val="0"/>
              <w:marBottom w:val="0"/>
              <w:divBdr>
                <w:top w:val="none" w:sz="0" w:space="0" w:color="auto"/>
                <w:left w:val="none" w:sz="0" w:space="0" w:color="auto"/>
                <w:bottom w:val="none" w:sz="0" w:space="0" w:color="auto"/>
                <w:right w:val="none" w:sz="0" w:space="0" w:color="auto"/>
              </w:divBdr>
              <w:divsChild>
                <w:div w:id="9322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699">
          <w:marLeft w:val="0"/>
          <w:marRight w:val="0"/>
          <w:marTop w:val="0"/>
          <w:marBottom w:val="0"/>
          <w:divBdr>
            <w:top w:val="none" w:sz="0" w:space="0" w:color="auto"/>
            <w:left w:val="none" w:sz="0" w:space="0" w:color="auto"/>
            <w:bottom w:val="none" w:sz="0" w:space="0" w:color="auto"/>
            <w:right w:val="none" w:sz="0" w:space="0" w:color="auto"/>
          </w:divBdr>
          <w:divsChild>
            <w:div w:id="843324374">
              <w:marLeft w:val="0"/>
              <w:marRight w:val="0"/>
              <w:marTop w:val="0"/>
              <w:marBottom w:val="0"/>
              <w:divBdr>
                <w:top w:val="none" w:sz="0" w:space="0" w:color="auto"/>
                <w:left w:val="none" w:sz="0" w:space="0" w:color="auto"/>
                <w:bottom w:val="none" w:sz="0" w:space="0" w:color="auto"/>
                <w:right w:val="none" w:sz="0" w:space="0" w:color="auto"/>
              </w:divBdr>
              <w:divsChild>
                <w:div w:id="1714114894">
                  <w:marLeft w:val="0"/>
                  <w:marRight w:val="0"/>
                  <w:marTop w:val="0"/>
                  <w:marBottom w:val="0"/>
                  <w:divBdr>
                    <w:top w:val="none" w:sz="0" w:space="0" w:color="auto"/>
                    <w:left w:val="none" w:sz="0" w:space="0" w:color="auto"/>
                    <w:bottom w:val="none" w:sz="0" w:space="0" w:color="auto"/>
                    <w:right w:val="none" w:sz="0" w:space="0" w:color="auto"/>
                  </w:divBdr>
                  <w:divsChild>
                    <w:div w:id="12349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12374">
      <w:bodyDiv w:val="1"/>
      <w:marLeft w:val="0"/>
      <w:marRight w:val="0"/>
      <w:marTop w:val="0"/>
      <w:marBottom w:val="0"/>
      <w:divBdr>
        <w:top w:val="none" w:sz="0" w:space="0" w:color="auto"/>
        <w:left w:val="none" w:sz="0" w:space="0" w:color="auto"/>
        <w:bottom w:val="none" w:sz="0" w:space="0" w:color="auto"/>
        <w:right w:val="none" w:sz="0" w:space="0" w:color="auto"/>
      </w:divBdr>
      <w:divsChild>
        <w:div w:id="177816453">
          <w:marLeft w:val="0"/>
          <w:marRight w:val="0"/>
          <w:marTop w:val="0"/>
          <w:marBottom w:val="0"/>
          <w:divBdr>
            <w:top w:val="none" w:sz="0" w:space="0" w:color="auto"/>
            <w:left w:val="none" w:sz="0" w:space="0" w:color="auto"/>
            <w:bottom w:val="none" w:sz="0" w:space="0" w:color="auto"/>
            <w:right w:val="none" w:sz="0" w:space="0" w:color="auto"/>
          </w:divBdr>
          <w:divsChild>
            <w:div w:id="337584455">
              <w:marLeft w:val="0"/>
              <w:marRight w:val="0"/>
              <w:marTop w:val="0"/>
              <w:marBottom w:val="0"/>
              <w:divBdr>
                <w:top w:val="none" w:sz="0" w:space="0" w:color="auto"/>
                <w:left w:val="none" w:sz="0" w:space="0" w:color="auto"/>
                <w:bottom w:val="none" w:sz="0" w:space="0" w:color="auto"/>
                <w:right w:val="none" w:sz="0" w:space="0" w:color="auto"/>
              </w:divBdr>
              <w:divsChild>
                <w:div w:id="885141348">
                  <w:marLeft w:val="0"/>
                  <w:marRight w:val="0"/>
                  <w:marTop w:val="0"/>
                  <w:marBottom w:val="0"/>
                  <w:divBdr>
                    <w:top w:val="none" w:sz="0" w:space="0" w:color="auto"/>
                    <w:left w:val="none" w:sz="0" w:space="0" w:color="auto"/>
                    <w:bottom w:val="none" w:sz="0" w:space="0" w:color="auto"/>
                    <w:right w:val="none" w:sz="0" w:space="0" w:color="auto"/>
                  </w:divBdr>
                </w:div>
              </w:divsChild>
            </w:div>
            <w:div w:id="702176462">
              <w:marLeft w:val="0"/>
              <w:marRight w:val="0"/>
              <w:marTop w:val="0"/>
              <w:marBottom w:val="0"/>
              <w:divBdr>
                <w:top w:val="none" w:sz="0" w:space="0" w:color="auto"/>
                <w:left w:val="none" w:sz="0" w:space="0" w:color="auto"/>
                <w:bottom w:val="none" w:sz="0" w:space="0" w:color="auto"/>
                <w:right w:val="none" w:sz="0" w:space="0" w:color="auto"/>
              </w:divBdr>
            </w:div>
            <w:div w:id="2074547711">
              <w:marLeft w:val="0"/>
              <w:marRight w:val="0"/>
              <w:marTop w:val="0"/>
              <w:marBottom w:val="0"/>
              <w:divBdr>
                <w:top w:val="none" w:sz="0" w:space="0" w:color="auto"/>
                <w:left w:val="none" w:sz="0" w:space="0" w:color="auto"/>
                <w:bottom w:val="none" w:sz="0" w:space="0" w:color="auto"/>
                <w:right w:val="none" w:sz="0" w:space="0" w:color="auto"/>
              </w:divBdr>
            </w:div>
            <w:div w:id="1441529949">
              <w:marLeft w:val="0"/>
              <w:marRight w:val="0"/>
              <w:marTop w:val="0"/>
              <w:marBottom w:val="0"/>
              <w:divBdr>
                <w:top w:val="none" w:sz="0" w:space="0" w:color="auto"/>
                <w:left w:val="none" w:sz="0" w:space="0" w:color="auto"/>
                <w:bottom w:val="none" w:sz="0" w:space="0" w:color="auto"/>
                <w:right w:val="none" w:sz="0" w:space="0" w:color="auto"/>
              </w:divBdr>
            </w:div>
            <w:div w:id="2076123770">
              <w:marLeft w:val="0"/>
              <w:marRight w:val="0"/>
              <w:marTop w:val="0"/>
              <w:marBottom w:val="0"/>
              <w:divBdr>
                <w:top w:val="none" w:sz="0" w:space="0" w:color="auto"/>
                <w:left w:val="none" w:sz="0" w:space="0" w:color="auto"/>
                <w:bottom w:val="none" w:sz="0" w:space="0" w:color="auto"/>
                <w:right w:val="none" w:sz="0" w:space="0" w:color="auto"/>
              </w:divBdr>
            </w:div>
            <w:div w:id="9115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3693">
      <w:bodyDiv w:val="1"/>
      <w:marLeft w:val="0"/>
      <w:marRight w:val="0"/>
      <w:marTop w:val="0"/>
      <w:marBottom w:val="0"/>
      <w:divBdr>
        <w:top w:val="none" w:sz="0" w:space="0" w:color="auto"/>
        <w:left w:val="none" w:sz="0" w:space="0" w:color="auto"/>
        <w:bottom w:val="none" w:sz="0" w:space="0" w:color="auto"/>
        <w:right w:val="none" w:sz="0" w:space="0" w:color="auto"/>
      </w:divBdr>
    </w:div>
    <w:div w:id="1819034694">
      <w:bodyDiv w:val="1"/>
      <w:marLeft w:val="0"/>
      <w:marRight w:val="0"/>
      <w:marTop w:val="0"/>
      <w:marBottom w:val="0"/>
      <w:divBdr>
        <w:top w:val="none" w:sz="0" w:space="0" w:color="auto"/>
        <w:left w:val="none" w:sz="0" w:space="0" w:color="auto"/>
        <w:bottom w:val="none" w:sz="0" w:space="0" w:color="auto"/>
        <w:right w:val="none" w:sz="0" w:space="0" w:color="auto"/>
      </w:divBdr>
    </w:div>
    <w:div w:id="1819688347">
      <w:bodyDiv w:val="1"/>
      <w:marLeft w:val="0"/>
      <w:marRight w:val="0"/>
      <w:marTop w:val="0"/>
      <w:marBottom w:val="0"/>
      <w:divBdr>
        <w:top w:val="none" w:sz="0" w:space="0" w:color="auto"/>
        <w:left w:val="none" w:sz="0" w:space="0" w:color="auto"/>
        <w:bottom w:val="none" w:sz="0" w:space="0" w:color="auto"/>
        <w:right w:val="none" w:sz="0" w:space="0" w:color="auto"/>
      </w:divBdr>
      <w:divsChild>
        <w:div w:id="2141419474">
          <w:marLeft w:val="0"/>
          <w:marRight w:val="0"/>
          <w:marTop w:val="0"/>
          <w:marBottom w:val="0"/>
          <w:divBdr>
            <w:top w:val="none" w:sz="0" w:space="0" w:color="auto"/>
            <w:left w:val="none" w:sz="0" w:space="0" w:color="auto"/>
            <w:bottom w:val="none" w:sz="0" w:space="0" w:color="auto"/>
            <w:right w:val="none" w:sz="0" w:space="0" w:color="auto"/>
          </w:divBdr>
        </w:div>
      </w:divsChild>
    </w:div>
    <w:div w:id="1820070910">
      <w:bodyDiv w:val="1"/>
      <w:marLeft w:val="0"/>
      <w:marRight w:val="0"/>
      <w:marTop w:val="0"/>
      <w:marBottom w:val="0"/>
      <w:divBdr>
        <w:top w:val="none" w:sz="0" w:space="0" w:color="auto"/>
        <w:left w:val="none" w:sz="0" w:space="0" w:color="auto"/>
        <w:bottom w:val="none" w:sz="0" w:space="0" w:color="auto"/>
        <w:right w:val="none" w:sz="0" w:space="0" w:color="auto"/>
      </w:divBdr>
      <w:divsChild>
        <w:div w:id="514197299">
          <w:marLeft w:val="0"/>
          <w:marRight w:val="0"/>
          <w:marTop w:val="0"/>
          <w:marBottom w:val="0"/>
          <w:divBdr>
            <w:top w:val="none" w:sz="0" w:space="0" w:color="auto"/>
            <w:left w:val="none" w:sz="0" w:space="0" w:color="auto"/>
            <w:bottom w:val="none" w:sz="0" w:space="0" w:color="auto"/>
            <w:right w:val="none" w:sz="0" w:space="0" w:color="auto"/>
          </w:divBdr>
          <w:divsChild>
            <w:div w:id="261500018">
              <w:marLeft w:val="0"/>
              <w:marRight w:val="0"/>
              <w:marTop w:val="0"/>
              <w:marBottom w:val="0"/>
              <w:divBdr>
                <w:top w:val="none" w:sz="0" w:space="0" w:color="auto"/>
                <w:left w:val="none" w:sz="0" w:space="0" w:color="auto"/>
                <w:bottom w:val="none" w:sz="0" w:space="0" w:color="auto"/>
                <w:right w:val="none" w:sz="0" w:space="0" w:color="auto"/>
              </w:divBdr>
            </w:div>
          </w:divsChild>
        </w:div>
        <w:div w:id="1403332310">
          <w:marLeft w:val="0"/>
          <w:marRight w:val="0"/>
          <w:marTop w:val="0"/>
          <w:marBottom w:val="0"/>
          <w:divBdr>
            <w:top w:val="none" w:sz="0" w:space="0" w:color="auto"/>
            <w:left w:val="none" w:sz="0" w:space="0" w:color="auto"/>
            <w:bottom w:val="none" w:sz="0" w:space="0" w:color="auto"/>
            <w:right w:val="none" w:sz="0" w:space="0" w:color="auto"/>
          </w:divBdr>
          <w:divsChild>
            <w:div w:id="772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40191">
      <w:bodyDiv w:val="1"/>
      <w:marLeft w:val="0"/>
      <w:marRight w:val="0"/>
      <w:marTop w:val="0"/>
      <w:marBottom w:val="0"/>
      <w:divBdr>
        <w:top w:val="none" w:sz="0" w:space="0" w:color="auto"/>
        <w:left w:val="none" w:sz="0" w:space="0" w:color="auto"/>
        <w:bottom w:val="none" w:sz="0" w:space="0" w:color="auto"/>
        <w:right w:val="none" w:sz="0" w:space="0" w:color="auto"/>
      </w:divBdr>
      <w:divsChild>
        <w:div w:id="1478721377">
          <w:marLeft w:val="0"/>
          <w:marRight w:val="0"/>
          <w:marTop w:val="0"/>
          <w:marBottom w:val="0"/>
          <w:divBdr>
            <w:top w:val="none" w:sz="0" w:space="0" w:color="auto"/>
            <w:left w:val="none" w:sz="0" w:space="0" w:color="auto"/>
            <w:bottom w:val="none" w:sz="0" w:space="0" w:color="auto"/>
            <w:right w:val="none" w:sz="0" w:space="0" w:color="auto"/>
          </w:divBdr>
          <w:divsChild>
            <w:div w:id="88234386">
              <w:marLeft w:val="0"/>
              <w:marRight w:val="0"/>
              <w:marTop w:val="0"/>
              <w:marBottom w:val="0"/>
              <w:divBdr>
                <w:top w:val="none" w:sz="0" w:space="0" w:color="auto"/>
                <w:left w:val="none" w:sz="0" w:space="0" w:color="auto"/>
                <w:bottom w:val="none" w:sz="0" w:space="0" w:color="auto"/>
                <w:right w:val="none" w:sz="0" w:space="0" w:color="auto"/>
              </w:divBdr>
              <w:divsChild>
                <w:div w:id="17443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9286">
      <w:bodyDiv w:val="1"/>
      <w:marLeft w:val="0"/>
      <w:marRight w:val="0"/>
      <w:marTop w:val="0"/>
      <w:marBottom w:val="0"/>
      <w:divBdr>
        <w:top w:val="none" w:sz="0" w:space="0" w:color="auto"/>
        <w:left w:val="none" w:sz="0" w:space="0" w:color="auto"/>
        <w:bottom w:val="none" w:sz="0" w:space="0" w:color="auto"/>
        <w:right w:val="none" w:sz="0" w:space="0" w:color="auto"/>
      </w:divBdr>
      <w:divsChild>
        <w:div w:id="1660890804">
          <w:marLeft w:val="0"/>
          <w:marRight w:val="0"/>
          <w:marTop w:val="0"/>
          <w:marBottom w:val="0"/>
          <w:divBdr>
            <w:top w:val="none" w:sz="0" w:space="0" w:color="auto"/>
            <w:left w:val="none" w:sz="0" w:space="0" w:color="auto"/>
            <w:bottom w:val="none" w:sz="0" w:space="0" w:color="auto"/>
            <w:right w:val="none" w:sz="0" w:space="0" w:color="auto"/>
          </w:divBdr>
          <w:divsChild>
            <w:div w:id="241063234">
              <w:marLeft w:val="0"/>
              <w:marRight w:val="0"/>
              <w:marTop w:val="0"/>
              <w:marBottom w:val="0"/>
              <w:divBdr>
                <w:top w:val="none" w:sz="0" w:space="0" w:color="auto"/>
                <w:left w:val="none" w:sz="0" w:space="0" w:color="auto"/>
                <w:bottom w:val="none" w:sz="0" w:space="0" w:color="auto"/>
                <w:right w:val="none" w:sz="0" w:space="0" w:color="auto"/>
              </w:divBdr>
            </w:div>
          </w:divsChild>
        </w:div>
        <w:div w:id="1307663845">
          <w:marLeft w:val="0"/>
          <w:marRight w:val="0"/>
          <w:marTop w:val="0"/>
          <w:marBottom w:val="0"/>
          <w:divBdr>
            <w:top w:val="none" w:sz="0" w:space="0" w:color="auto"/>
            <w:left w:val="none" w:sz="0" w:space="0" w:color="auto"/>
            <w:bottom w:val="none" w:sz="0" w:space="0" w:color="auto"/>
            <w:right w:val="none" w:sz="0" w:space="0" w:color="auto"/>
          </w:divBdr>
        </w:div>
        <w:div w:id="975795866">
          <w:marLeft w:val="0"/>
          <w:marRight w:val="0"/>
          <w:marTop w:val="0"/>
          <w:marBottom w:val="0"/>
          <w:divBdr>
            <w:top w:val="none" w:sz="0" w:space="0" w:color="auto"/>
            <w:left w:val="none" w:sz="0" w:space="0" w:color="auto"/>
            <w:bottom w:val="none" w:sz="0" w:space="0" w:color="auto"/>
            <w:right w:val="none" w:sz="0" w:space="0" w:color="auto"/>
          </w:divBdr>
        </w:div>
        <w:div w:id="659162568">
          <w:marLeft w:val="0"/>
          <w:marRight w:val="0"/>
          <w:marTop w:val="0"/>
          <w:marBottom w:val="0"/>
          <w:divBdr>
            <w:top w:val="none" w:sz="0" w:space="0" w:color="auto"/>
            <w:left w:val="none" w:sz="0" w:space="0" w:color="auto"/>
            <w:bottom w:val="none" w:sz="0" w:space="0" w:color="auto"/>
            <w:right w:val="none" w:sz="0" w:space="0" w:color="auto"/>
          </w:divBdr>
        </w:div>
        <w:div w:id="1432705770">
          <w:marLeft w:val="0"/>
          <w:marRight w:val="0"/>
          <w:marTop w:val="0"/>
          <w:marBottom w:val="0"/>
          <w:divBdr>
            <w:top w:val="none" w:sz="0" w:space="0" w:color="auto"/>
            <w:left w:val="none" w:sz="0" w:space="0" w:color="auto"/>
            <w:bottom w:val="none" w:sz="0" w:space="0" w:color="auto"/>
            <w:right w:val="none" w:sz="0" w:space="0" w:color="auto"/>
          </w:divBdr>
        </w:div>
      </w:divsChild>
    </w:div>
    <w:div w:id="1893229701">
      <w:bodyDiv w:val="1"/>
      <w:marLeft w:val="0"/>
      <w:marRight w:val="0"/>
      <w:marTop w:val="0"/>
      <w:marBottom w:val="0"/>
      <w:divBdr>
        <w:top w:val="none" w:sz="0" w:space="0" w:color="auto"/>
        <w:left w:val="none" w:sz="0" w:space="0" w:color="auto"/>
        <w:bottom w:val="none" w:sz="0" w:space="0" w:color="auto"/>
        <w:right w:val="none" w:sz="0" w:space="0" w:color="auto"/>
      </w:divBdr>
    </w:div>
    <w:div w:id="1895774515">
      <w:bodyDiv w:val="1"/>
      <w:marLeft w:val="0"/>
      <w:marRight w:val="0"/>
      <w:marTop w:val="0"/>
      <w:marBottom w:val="0"/>
      <w:divBdr>
        <w:top w:val="none" w:sz="0" w:space="0" w:color="auto"/>
        <w:left w:val="none" w:sz="0" w:space="0" w:color="auto"/>
        <w:bottom w:val="none" w:sz="0" w:space="0" w:color="auto"/>
        <w:right w:val="none" w:sz="0" w:space="0" w:color="auto"/>
      </w:divBdr>
      <w:divsChild>
        <w:div w:id="169947695">
          <w:marLeft w:val="0"/>
          <w:marRight w:val="0"/>
          <w:marTop w:val="260"/>
          <w:marBottom w:val="0"/>
          <w:divBdr>
            <w:top w:val="none" w:sz="0" w:space="0" w:color="auto"/>
            <w:left w:val="none" w:sz="0" w:space="0" w:color="auto"/>
            <w:bottom w:val="none" w:sz="0" w:space="0" w:color="auto"/>
            <w:right w:val="none" w:sz="0" w:space="0" w:color="auto"/>
          </w:divBdr>
          <w:divsChild>
            <w:div w:id="995187632">
              <w:marLeft w:val="0"/>
              <w:marRight w:val="0"/>
              <w:marTop w:val="0"/>
              <w:marBottom w:val="0"/>
              <w:divBdr>
                <w:top w:val="none" w:sz="0" w:space="0" w:color="auto"/>
                <w:left w:val="none" w:sz="0" w:space="0" w:color="auto"/>
                <w:bottom w:val="none" w:sz="0" w:space="0" w:color="auto"/>
                <w:right w:val="none" w:sz="0" w:space="0" w:color="auto"/>
              </w:divBdr>
              <w:divsChild>
                <w:div w:id="825391701">
                  <w:marLeft w:val="0"/>
                  <w:marRight w:val="0"/>
                  <w:marTop w:val="0"/>
                  <w:marBottom w:val="0"/>
                  <w:divBdr>
                    <w:top w:val="none" w:sz="0" w:space="0" w:color="auto"/>
                    <w:left w:val="none" w:sz="0" w:space="0" w:color="auto"/>
                    <w:bottom w:val="none" w:sz="0" w:space="0" w:color="auto"/>
                    <w:right w:val="none" w:sz="0" w:space="0" w:color="auto"/>
                  </w:divBdr>
                  <w:divsChild>
                    <w:div w:id="307365843">
                      <w:marLeft w:val="0"/>
                      <w:marRight w:val="0"/>
                      <w:marTop w:val="0"/>
                      <w:marBottom w:val="0"/>
                      <w:divBdr>
                        <w:top w:val="none" w:sz="0" w:space="0" w:color="auto"/>
                        <w:left w:val="none" w:sz="0" w:space="0" w:color="auto"/>
                        <w:bottom w:val="none" w:sz="0" w:space="0" w:color="auto"/>
                        <w:right w:val="none" w:sz="0" w:space="0" w:color="auto"/>
                      </w:divBdr>
                      <w:divsChild>
                        <w:div w:id="12057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73685">
          <w:marLeft w:val="0"/>
          <w:marRight w:val="0"/>
          <w:marTop w:val="60"/>
          <w:marBottom w:val="0"/>
          <w:divBdr>
            <w:top w:val="none" w:sz="0" w:space="0" w:color="auto"/>
            <w:left w:val="none" w:sz="0" w:space="0" w:color="auto"/>
            <w:bottom w:val="none" w:sz="0" w:space="0" w:color="auto"/>
            <w:right w:val="none" w:sz="0" w:space="0" w:color="auto"/>
          </w:divBdr>
          <w:divsChild>
            <w:div w:id="1496646861">
              <w:marLeft w:val="0"/>
              <w:marRight w:val="0"/>
              <w:marTop w:val="0"/>
              <w:marBottom w:val="0"/>
              <w:divBdr>
                <w:top w:val="none" w:sz="0" w:space="0" w:color="auto"/>
                <w:left w:val="none" w:sz="0" w:space="0" w:color="auto"/>
                <w:bottom w:val="none" w:sz="0" w:space="0" w:color="auto"/>
                <w:right w:val="none" w:sz="0" w:space="0" w:color="auto"/>
              </w:divBdr>
              <w:divsChild>
                <w:div w:id="302661305">
                  <w:marLeft w:val="0"/>
                  <w:marRight w:val="0"/>
                  <w:marTop w:val="0"/>
                  <w:marBottom w:val="0"/>
                  <w:divBdr>
                    <w:top w:val="none" w:sz="0" w:space="0" w:color="auto"/>
                    <w:left w:val="none" w:sz="0" w:space="0" w:color="auto"/>
                    <w:bottom w:val="none" w:sz="0" w:space="0" w:color="auto"/>
                    <w:right w:val="none" w:sz="0" w:space="0" w:color="auto"/>
                  </w:divBdr>
                  <w:divsChild>
                    <w:div w:id="1634939728">
                      <w:marLeft w:val="0"/>
                      <w:marRight w:val="0"/>
                      <w:marTop w:val="0"/>
                      <w:marBottom w:val="0"/>
                      <w:divBdr>
                        <w:top w:val="none" w:sz="0" w:space="0" w:color="auto"/>
                        <w:left w:val="none" w:sz="0" w:space="0" w:color="auto"/>
                        <w:bottom w:val="none" w:sz="0" w:space="0" w:color="auto"/>
                        <w:right w:val="none" w:sz="0" w:space="0" w:color="auto"/>
                      </w:divBdr>
                      <w:divsChild>
                        <w:div w:id="13188772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021820">
      <w:bodyDiv w:val="1"/>
      <w:marLeft w:val="0"/>
      <w:marRight w:val="0"/>
      <w:marTop w:val="0"/>
      <w:marBottom w:val="0"/>
      <w:divBdr>
        <w:top w:val="none" w:sz="0" w:space="0" w:color="auto"/>
        <w:left w:val="none" w:sz="0" w:space="0" w:color="auto"/>
        <w:bottom w:val="none" w:sz="0" w:space="0" w:color="auto"/>
        <w:right w:val="none" w:sz="0" w:space="0" w:color="auto"/>
      </w:divBdr>
    </w:div>
    <w:div w:id="1919897906">
      <w:bodyDiv w:val="1"/>
      <w:marLeft w:val="0"/>
      <w:marRight w:val="0"/>
      <w:marTop w:val="0"/>
      <w:marBottom w:val="0"/>
      <w:divBdr>
        <w:top w:val="none" w:sz="0" w:space="0" w:color="auto"/>
        <w:left w:val="none" w:sz="0" w:space="0" w:color="auto"/>
        <w:bottom w:val="none" w:sz="0" w:space="0" w:color="auto"/>
        <w:right w:val="none" w:sz="0" w:space="0" w:color="auto"/>
      </w:divBdr>
      <w:divsChild>
        <w:div w:id="1445927487">
          <w:marLeft w:val="0"/>
          <w:marRight w:val="0"/>
          <w:marTop w:val="0"/>
          <w:marBottom w:val="0"/>
          <w:divBdr>
            <w:top w:val="none" w:sz="0" w:space="0" w:color="auto"/>
            <w:left w:val="none" w:sz="0" w:space="0" w:color="auto"/>
            <w:bottom w:val="none" w:sz="0" w:space="0" w:color="auto"/>
            <w:right w:val="none" w:sz="0" w:space="0" w:color="auto"/>
          </w:divBdr>
        </w:div>
      </w:divsChild>
    </w:div>
    <w:div w:id="1956671240">
      <w:bodyDiv w:val="1"/>
      <w:marLeft w:val="0"/>
      <w:marRight w:val="0"/>
      <w:marTop w:val="0"/>
      <w:marBottom w:val="0"/>
      <w:divBdr>
        <w:top w:val="none" w:sz="0" w:space="0" w:color="auto"/>
        <w:left w:val="none" w:sz="0" w:space="0" w:color="auto"/>
        <w:bottom w:val="none" w:sz="0" w:space="0" w:color="auto"/>
        <w:right w:val="none" w:sz="0" w:space="0" w:color="auto"/>
      </w:divBdr>
    </w:div>
    <w:div w:id="1961641235">
      <w:bodyDiv w:val="1"/>
      <w:marLeft w:val="0"/>
      <w:marRight w:val="0"/>
      <w:marTop w:val="0"/>
      <w:marBottom w:val="0"/>
      <w:divBdr>
        <w:top w:val="none" w:sz="0" w:space="0" w:color="auto"/>
        <w:left w:val="none" w:sz="0" w:space="0" w:color="auto"/>
        <w:bottom w:val="none" w:sz="0" w:space="0" w:color="auto"/>
        <w:right w:val="none" w:sz="0" w:space="0" w:color="auto"/>
      </w:divBdr>
    </w:div>
    <w:div w:id="1995142441">
      <w:bodyDiv w:val="1"/>
      <w:marLeft w:val="0"/>
      <w:marRight w:val="0"/>
      <w:marTop w:val="0"/>
      <w:marBottom w:val="0"/>
      <w:divBdr>
        <w:top w:val="none" w:sz="0" w:space="0" w:color="auto"/>
        <w:left w:val="none" w:sz="0" w:space="0" w:color="auto"/>
        <w:bottom w:val="none" w:sz="0" w:space="0" w:color="auto"/>
        <w:right w:val="none" w:sz="0" w:space="0" w:color="auto"/>
      </w:divBdr>
    </w:div>
    <w:div w:id="1995178019">
      <w:bodyDiv w:val="1"/>
      <w:marLeft w:val="0"/>
      <w:marRight w:val="0"/>
      <w:marTop w:val="0"/>
      <w:marBottom w:val="0"/>
      <w:divBdr>
        <w:top w:val="none" w:sz="0" w:space="0" w:color="auto"/>
        <w:left w:val="none" w:sz="0" w:space="0" w:color="auto"/>
        <w:bottom w:val="none" w:sz="0" w:space="0" w:color="auto"/>
        <w:right w:val="none" w:sz="0" w:space="0" w:color="auto"/>
      </w:divBdr>
      <w:divsChild>
        <w:div w:id="1635214880">
          <w:marLeft w:val="0"/>
          <w:marRight w:val="0"/>
          <w:marTop w:val="0"/>
          <w:marBottom w:val="0"/>
          <w:divBdr>
            <w:top w:val="none" w:sz="0" w:space="0" w:color="auto"/>
            <w:left w:val="none" w:sz="0" w:space="0" w:color="auto"/>
            <w:bottom w:val="none" w:sz="0" w:space="0" w:color="auto"/>
            <w:right w:val="none" w:sz="0" w:space="0" w:color="auto"/>
          </w:divBdr>
          <w:divsChild>
            <w:div w:id="1776097590">
              <w:marLeft w:val="0"/>
              <w:marRight w:val="0"/>
              <w:marTop w:val="0"/>
              <w:marBottom w:val="0"/>
              <w:divBdr>
                <w:top w:val="none" w:sz="0" w:space="0" w:color="auto"/>
                <w:left w:val="none" w:sz="0" w:space="0" w:color="auto"/>
                <w:bottom w:val="none" w:sz="0" w:space="0" w:color="auto"/>
                <w:right w:val="none" w:sz="0" w:space="0" w:color="auto"/>
              </w:divBdr>
            </w:div>
            <w:div w:id="858009791">
              <w:marLeft w:val="0"/>
              <w:marRight w:val="0"/>
              <w:marTop w:val="0"/>
              <w:marBottom w:val="0"/>
              <w:divBdr>
                <w:top w:val="none" w:sz="0" w:space="0" w:color="auto"/>
                <w:left w:val="none" w:sz="0" w:space="0" w:color="auto"/>
                <w:bottom w:val="none" w:sz="0" w:space="0" w:color="auto"/>
                <w:right w:val="none" w:sz="0" w:space="0" w:color="auto"/>
              </w:divBdr>
            </w:div>
            <w:div w:id="854077142">
              <w:marLeft w:val="0"/>
              <w:marRight w:val="0"/>
              <w:marTop w:val="0"/>
              <w:marBottom w:val="0"/>
              <w:divBdr>
                <w:top w:val="none" w:sz="0" w:space="0" w:color="auto"/>
                <w:left w:val="none" w:sz="0" w:space="0" w:color="auto"/>
                <w:bottom w:val="none" w:sz="0" w:space="0" w:color="auto"/>
                <w:right w:val="none" w:sz="0" w:space="0" w:color="auto"/>
              </w:divBdr>
            </w:div>
            <w:div w:id="1717047185">
              <w:marLeft w:val="0"/>
              <w:marRight w:val="0"/>
              <w:marTop w:val="0"/>
              <w:marBottom w:val="0"/>
              <w:divBdr>
                <w:top w:val="none" w:sz="0" w:space="0" w:color="auto"/>
                <w:left w:val="none" w:sz="0" w:space="0" w:color="auto"/>
                <w:bottom w:val="none" w:sz="0" w:space="0" w:color="auto"/>
                <w:right w:val="none" w:sz="0" w:space="0" w:color="auto"/>
              </w:divBdr>
            </w:div>
            <w:div w:id="1287076834">
              <w:marLeft w:val="0"/>
              <w:marRight w:val="0"/>
              <w:marTop w:val="0"/>
              <w:marBottom w:val="0"/>
              <w:divBdr>
                <w:top w:val="none" w:sz="0" w:space="0" w:color="auto"/>
                <w:left w:val="none" w:sz="0" w:space="0" w:color="auto"/>
                <w:bottom w:val="none" w:sz="0" w:space="0" w:color="auto"/>
                <w:right w:val="none" w:sz="0" w:space="0" w:color="auto"/>
              </w:divBdr>
            </w:div>
            <w:div w:id="1683631143">
              <w:marLeft w:val="0"/>
              <w:marRight w:val="0"/>
              <w:marTop w:val="0"/>
              <w:marBottom w:val="0"/>
              <w:divBdr>
                <w:top w:val="none" w:sz="0" w:space="0" w:color="auto"/>
                <w:left w:val="none" w:sz="0" w:space="0" w:color="auto"/>
                <w:bottom w:val="none" w:sz="0" w:space="0" w:color="auto"/>
                <w:right w:val="none" w:sz="0" w:space="0" w:color="auto"/>
              </w:divBdr>
            </w:div>
            <w:div w:id="1533609120">
              <w:marLeft w:val="0"/>
              <w:marRight w:val="0"/>
              <w:marTop w:val="0"/>
              <w:marBottom w:val="0"/>
              <w:divBdr>
                <w:top w:val="none" w:sz="0" w:space="0" w:color="auto"/>
                <w:left w:val="none" w:sz="0" w:space="0" w:color="auto"/>
                <w:bottom w:val="none" w:sz="0" w:space="0" w:color="auto"/>
                <w:right w:val="none" w:sz="0" w:space="0" w:color="auto"/>
              </w:divBdr>
            </w:div>
            <w:div w:id="83843759">
              <w:marLeft w:val="0"/>
              <w:marRight w:val="0"/>
              <w:marTop w:val="0"/>
              <w:marBottom w:val="0"/>
              <w:divBdr>
                <w:top w:val="none" w:sz="0" w:space="0" w:color="auto"/>
                <w:left w:val="none" w:sz="0" w:space="0" w:color="auto"/>
                <w:bottom w:val="none" w:sz="0" w:space="0" w:color="auto"/>
                <w:right w:val="none" w:sz="0" w:space="0" w:color="auto"/>
              </w:divBdr>
            </w:div>
            <w:div w:id="341666910">
              <w:marLeft w:val="0"/>
              <w:marRight w:val="0"/>
              <w:marTop w:val="0"/>
              <w:marBottom w:val="0"/>
              <w:divBdr>
                <w:top w:val="none" w:sz="0" w:space="0" w:color="auto"/>
                <w:left w:val="none" w:sz="0" w:space="0" w:color="auto"/>
                <w:bottom w:val="none" w:sz="0" w:space="0" w:color="auto"/>
                <w:right w:val="none" w:sz="0" w:space="0" w:color="auto"/>
              </w:divBdr>
            </w:div>
            <w:div w:id="601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2654">
      <w:bodyDiv w:val="1"/>
      <w:marLeft w:val="0"/>
      <w:marRight w:val="0"/>
      <w:marTop w:val="0"/>
      <w:marBottom w:val="0"/>
      <w:divBdr>
        <w:top w:val="none" w:sz="0" w:space="0" w:color="auto"/>
        <w:left w:val="none" w:sz="0" w:space="0" w:color="auto"/>
        <w:bottom w:val="none" w:sz="0" w:space="0" w:color="auto"/>
        <w:right w:val="none" w:sz="0" w:space="0" w:color="auto"/>
      </w:divBdr>
      <w:divsChild>
        <w:div w:id="438598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565858">
      <w:bodyDiv w:val="1"/>
      <w:marLeft w:val="0"/>
      <w:marRight w:val="0"/>
      <w:marTop w:val="0"/>
      <w:marBottom w:val="0"/>
      <w:divBdr>
        <w:top w:val="none" w:sz="0" w:space="0" w:color="auto"/>
        <w:left w:val="none" w:sz="0" w:space="0" w:color="auto"/>
        <w:bottom w:val="none" w:sz="0" w:space="0" w:color="auto"/>
        <w:right w:val="none" w:sz="0" w:space="0" w:color="auto"/>
      </w:divBdr>
      <w:divsChild>
        <w:div w:id="1322733607">
          <w:marLeft w:val="0"/>
          <w:marRight w:val="0"/>
          <w:marTop w:val="0"/>
          <w:marBottom w:val="0"/>
          <w:divBdr>
            <w:top w:val="none" w:sz="0" w:space="0" w:color="auto"/>
            <w:left w:val="none" w:sz="0" w:space="0" w:color="auto"/>
            <w:bottom w:val="none" w:sz="0" w:space="0" w:color="auto"/>
            <w:right w:val="none" w:sz="0" w:space="0" w:color="auto"/>
          </w:divBdr>
        </w:div>
      </w:divsChild>
    </w:div>
    <w:div w:id="2033721952">
      <w:bodyDiv w:val="1"/>
      <w:marLeft w:val="0"/>
      <w:marRight w:val="0"/>
      <w:marTop w:val="0"/>
      <w:marBottom w:val="0"/>
      <w:divBdr>
        <w:top w:val="none" w:sz="0" w:space="0" w:color="auto"/>
        <w:left w:val="none" w:sz="0" w:space="0" w:color="auto"/>
        <w:bottom w:val="none" w:sz="0" w:space="0" w:color="auto"/>
        <w:right w:val="none" w:sz="0" w:space="0" w:color="auto"/>
      </w:divBdr>
      <w:divsChild>
        <w:div w:id="1260944903">
          <w:marLeft w:val="0"/>
          <w:marRight w:val="0"/>
          <w:marTop w:val="0"/>
          <w:marBottom w:val="0"/>
          <w:divBdr>
            <w:top w:val="none" w:sz="0" w:space="0" w:color="auto"/>
            <w:left w:val="none" w:sz="0" w:space="0" w:color="auto"/>
            <w:bottom w:val="none" w:sz="0" w:space="0" w:color="auto"/>
            <w:right w:val="none" w:sz="0" w:space="0" w:color="auto"/>
          </w:divBdr>
          <w:divsChild>
            <w:div w:id="929851785">
              <w:marLeft w:val="0"/>
              <w:marRight w:val="0"/>
              <w:marTop w:val="0"/>
              <w:marBottom w:val="0"/>
              <w:divBdr>
                <w:top w:val="none" w:sz="0" w:space="0" w:color="auto"/>
                <w:left w:val="none" w:sz="0" w:space="0" w:color="auto"/>
                <w:bottom w:val="none" w:sz="0" w:space="0" w:color="auto"/>
                <w:right w:val="none" w:sz="0" w:space="0" w:color="auto"/>
              </w:divBdr>
              <w:divsChild>
                <w:div w:id="16298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71421">
      <w:bodyDiv w:val="1"/>
      <w:marLeft w:val="0"/>
      <w:marRight w:val="0"/>
      <w:marTop w:val="0"/>
      <w:marBottom w:val="0"/>
      <w:divBdr>
        <w:top w:val="none" w:sz="0" w:space="0" w:color="auto"/>
        <w:left w:val="none" w:sz="0" w:space="0" w:color="auto"/>
        <w:bottom w:val="none" w:sz="0" w:space="0" w:color="auto"/>
        <w:right w:val="none" w:sz="0" w:space="0" w:color="auto"/>
      </w:divBdr>
    </w:div>
    <w:div w:id="2043742361">
      <w:bodyDiv w:val="1"/>
      <w:marLeft w:val="0"/>
      <w:marRight w:val="0"/>
      <w:marTop w:val="0"/>
      <w:marBottom w:val="0"/>
      <w:divBdr>
        <w:top w:val="none" w:sz="0" w:space="0" w:color="auto"/>
        <w:left w:val="none" w:sz="0" w:space="0" w:color="auto"/>
        <w:bottom w:val="none" w:sz="0" w:space="0" w:color="auto"/>
        <w:right w:val="none" w:sz="0" w:space="0" w:color="auto"/>
      </w:divBdr>
      <w:divsChild>
        <w:div w:id="1785266919">
          <w:marLeft w:val="0"/>
          <w:marRight w:val="0"/>
          <w:marTop w:val="260"/>
          <w:marBottom w:val="0"/>
          <w:divBdr>
            <w:top w:val="none" w:sz="0" w:space="0" w:color="auto"/>
            <w:left w:val="none" w:sz="0" w:space="0" w:color="auto"/>
            <w:bottom w:val="none" w:sz="0" w:space="0" w:color="auto"/>
            <w:right w:val="none" w:sz="0" w:space="0" w:color="auto"/>
          </w:divBdr>
          <w:divsChild>
            <w:div w:id="553202654">
              <w:marLeft w:val="0"/>
              <w:marRight w:val="0"/>
              <w:marTop w:val="0"/>
              <w:marBottom w:val="0"/>
              <w:divBdr>
                <w:top w:val="none" w:sz="0" w:space="0" w:color="auto"/>
                <w:left w:val="none" w:sz="0" w:space="0" w:color="auto"/>
                <w:bottom w:val="none" w:sz="0" w:space="0" w:color="auto"/>
                <w:right w:val="none" w:sz="0" w:space="0" w:color="auto"/>
              </w:divBdr>
              <w:divsChild>
                <w:div w:id="88233721">
                  <w:marLeft w:val="0"/>
                  <w:marRight w:val="0"/>
                  <w:marTop w:val="0"/>
                  <w:marBottom w:val="0"/>
                  <w:divBdr>
                    <w:top w:val="none" w:sz="0" w:space="0" w:color="auto"/>
                    <w:left w:val="none" w:sz="0" w:space="0" w:color="auto"/>
                    <w:bottom w:val="none" w:sz="0" w:space="0" w:color="auto"/>
                    <w:right w:val="none" w:sz="0" w:space="0" w:color="auto"/>
                  </w:divBdr>
                  <w:divsChild>
                    <w:div w:id="735712030">
                      <w:marLeft w:val="0"/>
                      <w:marRight w:val="0"/>
                      <w:marTop w:val="0"/>
                      <w:marBottom w:val="0"/>
                      <w:divBdr>
                        <w:top w:val="none" w:sz="0" w:space="0" w:color="auto"/>
                        <w:left w:val="none" w:sz="0" w:space="0" w:color="auto"/>
                        <w:bottom w:val="none" w:sz="0" w:space="0" w:color="auto"/>
                        <w:right w:val="none" w:sz="0" w:space="0" w:color="auto"/>
                      </w:divBdr>
                      <w:divsChild>
                        <w:div w:id="15901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2682">
          <w:marLeft w:val="0"/>
          <w:marRight w:val="0"/>
          <w:marTop w:val="60"/>
          <w:marBottom w:val="0"/>
          <w:divBdr>
            <w:top w:val="none" w:sz="0" w:space="0" w:color="auto"/>
            <w:left w:val="none" w:sz="0" w:space="0" w:color="auto"/>
            <w:bottom w:val="none" w:sz="0" w:space="0" w:color="auto"/>
            <w:right w:val="none" w:sz="0" w:space="0" w:color="auto"/>
          </w:divBdr>
          <w:divsChild>
            <w:div w:id="2098357368">
              <w:marLeft w:val="0"/>
              <w:marRight w:val="0"/>
              <w:marTop w:val="0"/>
              <w:marBottom w:val="0"/>
              <w:divBdr>
                <w:top w:val="none" w:sz="0" w:space="0" w:color="auto"/>
                <w:left w:val="none" w:sz="0" w:space="0" w:color="auto"/>
                <w:bottom w:val="none" w:sz="0" w:space="0" w:color="auto"/>
                <w:right w:val="none" w:sz="0" w:space="0" w:color="auto"/>
              </w:divBdr>
              <w:divsChild>
                <w:div w:id="1251693801">
                  <w:marLeft w:val="0"/>
                  <w:marRight w:val="0"/>
                  <w:marTop w:val="0"/>
                  <w:marBottom w:val="0"/>
                  <w:divBdr>
                    <w:top w:val="none" w:sz="0" w:space="0" w:color="auto"/>
                    <w:left w:val="none" w:sz="0" w:space="0" w:color="auto"/>
                    <w:bottom w:val="none" w:sz="0" w:space="0" w:color="auto"/>
                    <w:right w:val="none" w:sz="0" w:space="0" w:color="auto"/>
                  </w:divBdr>
                  <w:divsChild>
                    <w:div w:id="1056440562">
                      <w:marLeft w:val="0"/>
                      <w:marRight w:val="0"/>
                      <w:marTop w:val="0"/>
                      <w:marBottom w:val="0"/>
                      <w:divBdr>
                        <w:top w:val="none" w:sz="0" w:space="0" w:color="auto"/>
                        <w:left w:val="none" w:sz="0" w:space="0" w:color="auto"/>
                        <w:bottom w:val="none" w:sz="0" w:space="0" w:color="auto"/>
                        <w:right w:val="none" w:sz="0" w:space="0" w:color="auto"/>
                      </w:divBdr>
                      <w:divsChild>
                        <w:div w:id="17942454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099023">
      <w:bodyDiv w:val="1"/>
      <w:marLeft w:val="0"/>
      <w:marRight w:val="0"/>
      <w:marTop w:val="0"/>
      <w:marBottom w:val="0"/>
      <w:divBdr>
        <w:top w:val="none" w:sz="0" w:space="0" w:color="auto"/>
        <w:left w:val="none" w:sz="0" w:space="0" w:color="auto"/>
        <w:bottom w:val="none" w:sz="0" w:space="0" w:color="auto"/>
        <w:right w:val="none" w:sz="0" w:space="0" w:color="auto"/>
      </w:divBdr>
    </w:div>
    <w:div w:id="2091344847">
      <w:bodyDiv w:val="1"/>
      <w:marLeft w:val="0"/>
      <w:marRight w:val="0"/>
      <w:marTop w:val="0"/>
      <w:marBottom w:val="0"/>
      <w:divBdr>
        <w:top w:val="none" w:sz="0" w:space="0" w:color="auto"/>
        <w:left w:val="none" w:sz="0" w:space="0" w:color="auto"/>
        <w:bottom w:val="none" w:sz="0" w:space="0" w:color="auto"/>
        <w:right w:val="none" w:sz="0" w:space="0" w:color="auto"/>
      </w:divBdr>
      <w:divsChild>
        <w:div w:id="293682624">
          <w:marLeft w:val="0"/>
          <w:marRight w:val="0"/>
          <w:marTop w:val="0"/>
          <w:marBottom w:val="0"/>
          <w:divBdr>
            <w:top w:val="none" w:sz="0" w:space="0" w:color="auto"/>
            <w:left w:val="none" w:sz="0" w:space="0" w:color="auto"/>
            <w:bottom w:val="none" w:sz="0" w:space="0" w:color="auto"/>
            <w:right w:val="none" w:sz="0" w:space="0" w:color="auto"/>
          </w:divBdr>
          <w:divsChild>
            <w:div w:id="351107601">
              <w:marLeft w:val="0"/>
              <w:marRight w:val="0"/>
              <w:marTop w:val="0"/>
              <w:marBottom w:val="0"/>
              <w:divBdr>
                <w:top w:val="none" w:sz="0" w:space="0" w:color="auto"/>
                <w:left w:val="none" w:sz="0" w:space="0" w:color="auto"/>
                <w:bottom w:val="none" w:sz="0" w:space="0" w:color="auto"/>
                <w:right w:val="none" w:sz="0" w:space="0" w:color="auto"/>
              </w:divBdr>
            </w:div>
            <w:div w:id="865557577">
              <w:marLeft w:val="0"/>
              <w:marRight w:val="0"/>
              <w:marTop w:val="0"/>
              <w:marBottom w:val="0"/>
              <w:divBdr>
                <w:top w:val="none" w:sz="0" w:space="0" w:color="auto"/>
                <w:left w:val="none" w:sz="0" w:space="0" w:color="auto"/>
                <w:bottom w:val="none" w:sz="0" w:space="0" w:color="auto"/>
                <w:right w:val="none" w:sz="0" w:space="0" w:color="auto"/>
              </w:divBdr>
            </w:div>
            <w:div w:id="1019087604">
              <w:marLeft w:val="0"/>
              <w:marRight w:val="0"/>
              <w:marTop w:val="0"/>
              <w:marBottom w:val="0"/>
              <w:divBdr>
                <w:top w:val="none" w:sz="0" w:space="0" w:color="auto"/>
                <w:left w:val="none" w:sz="0" w:space="0" w:color="auto"/>
                <w:bottom w:val="none" w:sz="0" w:space="0" w:color="auto"/>
                <w:right w:val="none" w:sz="0" w:space="0" w:color="auto"/>
              </w:divBdr>
              <w:divsChild>
                <w:div w:id="1686055830">
                  <w:marLeft w:val="0"/>
                  <w:marRight w:val="0"/>
                  <w:marTop w:val="0"/>
                  <w:marBottom w:val="0"/>
                  <w:divBdr>
                    <w:top w:val="none" w:sz="0" w:space="0" w:color="auto"/>
                    <w:left w:val="none" w:sz="0" w:space="0" w:color="auto"/>
                    <w:bottom w:val="none" w:sz="0" w:space="0" w:color="auto"/>
                    <w:right w:val="none" w:sz="0" w:space="0" w:color="auto"/>
                  </w:divBdr>
                </w:div>
              </w:divsChild>
            </w:div>
            <w:div w:id="1643196016">
              <w:marLeft w:val="0"/>
              <w:marRight w:val="0"/>
              <w:marTop w:val="0"/>
              <w:marBottom w:val="0"/>
              <w:divBdr>
                <w:top w:val="none" w:sz="0" w:space="0" w:color="auto"/>
                <w:left w:val="none" w:sz="0" w:space="0" w:color="auto"/>
                <w:bottom w:val="none" w:sz="0" w:space="0" w:color="auto"/>
                <w:right w:val="none" w:sz="0" w:space="0" w:color="auto"/>
              </w:divBdr>
            </w:div>
            <w:div w:id="18913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147">
      <w:bodyDiv w:val="1"/>
      <w:marLeft w:val="0"/>
      <w:marRight w:val="0"/>
      <w:marTop w:val="0"/>
      <w:marBottom w:val="0"/>
      <w:divBdr>
        <w:top w:val="none" w:sz="0" w:space="0" w:color="auto"/>
        <w:left w:val="none" w:sz="0" w:space="0" w:color="auto"/>
        <w:bottom w:val="none" w:sz="0" w:space="0" w:color="auto"/>
        <w:right w:val="none" w:sz="0" w:space="0" w:color="auto"/>
      </w:divBdr>
      <w:divsChild>
        <w:div w:id="1894854264">
          <w:marLeft w:val="0"/>
          <w:marRight w:val="0"/>
          <w:marTop w:val="0"/>
          <w:marBottom w:val="0"/>
          <w:divBdr>
            <w:top w:val="none" w:sz="0" w:space="0" w:color="auto"/>
            <w:left w:val="none" w:sz="0" w:space="0" w:color="auto"/>
            <w:bottom w:val="none" w:sz="0" w:space="0" w:color="auto"/>
            <w:right w:val="none" w:sz="0" w:space="0" w:color="auto"/>
          </w:divBdr>
          <w:divsChild>
            <w:div w:id="730469187">
              <w:marLeft w:val="0"/>
              <w:marRight w:val="0"/>
              <w:marTop w:val="0"/>
              <w:marBottom w:val="0"/>
              <w:divBdr>
                <w:top w:val="none" w:sz="0" w:space="0" w:color="auto"/>
                <w:left w:val="none" w:sz="0" w:space="0" w:color="auto"/>
                <w:bottom w:val="none" w:sz="0" w:space="0" w:color="auto"/>
                <w:right w:val="none" w:sz="0" w:space="0" w:color="auto"/>
              </w:divBdr>
              <w:divsChild>
                <w:div w:id="10226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1153">
          <w:marLeft w:val="0"/>
          <w:marRight w:val="0"/>
          <w:marTop w:val="0"/>
          <w:marBottom w:val="0"/>
          <w:divBdr>
            <w:top w:val="none" w:sz="0" w:space="0" w:color="auto"/>
            <w:left w:val="none" w:sz="0" w:space="0" w:color="auto"/>
            <w:bottom w:val="none" w:sz="0" w:space="0" w:color="auto"/>
            <w:right w:val="none" w:sz="0" w:space="0" w:color="auto"/>
          </w:divBdr>
          <w:divsChild>
            <w:div w:id="2021540522">
              <w:marLeft w:val="0"/>
              <w:marRight w:val="0"/>
              <w:marTop w:val="0"/>
              <w:marBottom w:val="0"/>
              <w:divBdr>
                <w:top w:val="none" w:sz="0" w:space="0" w:color="auto"/>
                <w:left w:val="none" w:sz="0" w:space="0" w:color="auto"/>
                <w:bottom w:val="none" w:sz="0" w:space="0" w:color="auto"/>
                <w:right w:val="none" w:sz="0" w:space="0" w:color="auto"/>
              </w:divBdr>
              <w:divsChild>
                <w:div w:id="1319269290">
                  <w:marLeft w:val="0"/>
                  <w:marRight w:val="0"/>
                  <w:marTop w:val="0"/>
                  <w:marBottom w:val="0"/>
                  <w:divBdr>
                    <w:top w:val="none" w:sz="0" w:space="0" w:color="auto"/>
                    <w:left w:val="none" w:sz="0" w:space="0" w:color="auto"/>
                    <w:bottom w:val="none" w:sz="0" w:space="0" w:color="auto"/>
                    <w:right w:val="none" w:sz="0" w:space="0" w:color="auto"/>
                  </w:divBdr>
                  <w:divsChild>
                    <w:div w:id="12302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973122">
      <w:bodyDiv w:val="1"/>
      <w:marLeft w:val="0"/>
      <w:marRight w:val="0"/>
      <w:marTop w:val="0"/>
      <w:marBottom w:val="0"/>
      <w:divBdr>
        <w:top w:val="none" w:sz="0" w:space="0" w:color="auto"/>
        <w:left w:val="none" w:sz="0" w:space="0" w:color="auto"/>
        <w:bottom w:val="none" w:sz="0" w:space="0" w:color="auto"/>
        <w:right w:val="none" w:sz="0" w:space="0" w:color="auto"/>
      </w:divBdr>
      <w:divsChild>
        <w:div w:id="906643933">
          <w:marLeft w:val="0"/>
          <w:marRight w:val="0"/>
          <w:marTop w:val="0"/>
          <w:marBottom w:val="0"/>
          <w:divBdr>
            <w:top w:val="none" w:sz="0" w:space="0" w:color="auto"/>
            <w:left w:val="none" w:sz="0" w:space="0" w:color="auto"/>
            <w:bottom w:val="none" w:sz="0" w:space="0" w:color="auto"/>
            <w:right w:val="none" w:sz="0" w:space="0" w:color="auto"/>
          </w:divBdr>
        </w:div>
        <w:div w:id="1254776629">
          <w:marLeft w:val="0"/>
          <w:marRight w:val="0"/>
          <w:marTop w:val="0"/>
          <w:marBottom w:val="0"/>
          <w:divBdr>
            <w:top w:val="none" w:sz="0" w:space="0" w:color="auto"/>
            <w:left w:val="none" w:sz="0" w:space="0" w:color="auto"/>
            <w:bottom w:val="none" w:sz="0" w:space="0" w:color="auto"/>
            <w:right w:val="none" w:sz="0" w:space="0" w:color="auto"/>
          </w:divBdr>
        </w:div>
        <w:div w:id="639775353">
          <w:marLeft w:val="0"/>
          <w:marRight w:val="0"/>
          <w:marTop w:val="0"/>
          <w:marBottom w:val="0"/>
          <w:divBdr>
            <w:top w:val="none" w:sz="0" w:space="0" w:color="auto"/>
            <w:left w:val="none" w:sz="0" w:space="0" w:color="auto"/>
            <w:bottom w:val="none" w:sz="0" w:space="0" w:color="auto"/>
            <w:right w:val="none" w:sz="0" w:space="0" w:color="auto"/>
          </w:divBdr>
        </w:div>
        <w:div w:id="184944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ab/laws/stat/sa-2003-c-p-6.5/latest/sa-2003-c-p-6.5.html?autocompleteStr=persona&amp;autocompletePos=1" TargetMode="External"/><Relationship Id="rId13" Type="http://schemas.openxmlformats.org/officeDocument/2006/relationships/hyperlink" Target="https://www.canlii.org/en/ca/laws/stat/schedule-b-to-the-canada-act-1982-uk-1982-c-12/latest/schedule-b-to-the-canada-act-1982-uk-1982-c-1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lii.org/en/ca/laws/stat/schedule-b-to-the-canada-act-1982-uk-1982-c-11/latest/schedule-b-to-the-canada-act-1982-uk-1982-c-1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ca/scc/doc/1997/1997canlii403/1997canlii403.html" TargetMode="External"/><Relationship Id="rId5" Type="http://schemas.openxmlformats.org/officeDocument/2006/relationships/webSettings" Target="webSettings.xml"/><Relationship Id="rId15" Type="http://schemas.openxmlformats.org/officeDocument/2006/relationships/hyperlink" Target="http://www.canlii.org/en/ca/fct/doc/2012/2012fc1095/2012fc1095.html" TargetMode="External"/><Relationship Id="rId10" Type="http://schemas.openxmlformats.org/officeDocument/2006/relationships/hyperlink" Target="https://www.canlii.org/en/ca/laws/stat/schedule-b-to-the-canada-act-1982-uk-1982-c-11/latest/schedule-b-to-the-canada-act-1982-uk-1982-c-11.html" TargetMode="External"/><Relationship Id="rId4" Type="http://schemas.openxmlformats.org/officeDocument/2006/relationships/settings" Target="settings.xml"/><Relationship Id="rId9" Type="http://schemas.openxmlformats.org/officeDocument/2006/relationships/hyperlink" Target="https://www.canlii.org/en/ca/laws/stat/schedule-b-to-the-canada-act-1982-uk-1982-c-11/latest/schedule-b-to-the-canada-act-1982-uk-1982-c-11.html" TargetMode="External"/><Relationship Id="rId14" Type="http://schemas.openxmlformats.org/officeDocument/2006/relationships/hyperlink" Target="https://www.canlii.org/en/ca/laws/stat/schedule-b-to-the-canada-act-1982-uk-1982-c-12/latest/schedule-b-to-the-canada-act-1982-uk-1982-c-12.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eresascassa.ca/index.php?option=com_k2&amp;view=item&amp;id=318:a-troubling-new-twist-on-privacy-class-action-lawsuits-in-canada&amp;Itemid=80" TargetMode="External"/><Relationship Id="rId13" Type="http://schemas.openxmlformats.org/officeDocument/2006/relationships/hyperlink" Target="https://www.priv.gc.ca/en/opc-actions-and-decisions/investigations/investigations-into-businesses/2009/pipeda-2009-008/" TargetMode="External"/><Relationship Id="rId18" Type="http://schemas.openxmlformats.org/officeDocument/2006/relationships/hyperlink" Target="https://www.mccarthy.ca/en/insights/blogs/techlex/CPPAs-privacy-law-enforcement-regime" TargetMode="External"/><Relationship Id="rId3" Type="http://schemas.openxmlformats.org/officeDocument/2006/relationships/hyperlink" Target="https://www.dentons.com/en/insights/guides-reports-and-whitepapers/2021/january/28/dentons-cppa-in-depth-guide-a-detailed-review-of-key-provisions-in-canadas-proposed-new-privacy-law?utm_source=email&amp;utm_medium=email&amp;utm_campaign=vuture" TargetMode="External"/><Relationship Id="rId21" Type="http://schemas.openxmlformats.org/officeDocument/2006/relationships/hyperlink" Target="https://www.wired.com/2015/08/happened-hackers-posted-stolen-ashley-madison-data/" TargetMode="External"/><Relationship Id="rId7" Type="http://schemas.openxmlformats.org/officeDocument/2006/relationships/hyperlink" Target="https://canliiconnects-prod.s3.amazonaws.com/uploads/opinion/file/42318/Liam_O_Reilly__Getting_to_Damages_in_the_Health_Information_Privacy_Context__Is_the_Cost_Worth_the_Damages.pdf" TargetMode="External"/><Relationship Id="rId12" Type="http://schemas.openxmlformats.org/officeDocument/2006/relationships/hyperlink" Target="https://www.priv.gc.ca/en/privacy-topics/privacy-laws-in-canada/the-personal-information-protection-and-electronic-documents-act-pipeda/pipeda_r/pipeda_r_201305/" TargetMode="External"/><Relationship Id="rId17" Type="http://schemas.openxmlformats.org/officeDocument/2006/relationships/hyperlink" Target="https://www.priv.gc.ca/en/opc-actions-and-decisions/research/explore-privacy-research/2010/PIPEDA_h_s/" TargetMode="External"/><Relationship Id="rId2" Type="http://schemas.openxmlformats.org/officeDocument/2006/relationships/hyperlink" Target="https://www.parl.ca/LegisInfo/BillDetails.aspx?Language=en&amp;Mode=1&amp;billId=10950130&amp;View=0" TargetMode="External"/><Relationship Id="rId16" Type="http://schemas.openxmlformats.org/officeDocument/2006/relationships/hyperlink" Target="https://www.jpost.com/israel-news/rami-levi-mobile-officials-suspected-of-privacy-invasion-for-personal-gain-612431" TargetMode="External"/><Relationship Id="rId20" Type="http://schemas.openxmlformats.org/officeDocument/2006/relationships/hyperlink" Target="https://www.canlii.org/en/ca/fct/doc/2012/2012fc550/2012fc550.html" TargetMode="External"/><Relationship Id="rId1" Type="http://schemas.openxmlformats.org/officeDocument/2006/relationships/hyperlink" Target="https://parl.ca/DocumentViewer/en/43-2/bill/C-11/first-reading" TargetMode="External"/><Relationship Id="rId6" Type="http://schemas.openxmlformats.org/officeDocument/2006/relationships/hyperlink" Target="http://www.teresascassa.ca/index.php?option=com_k2&amp;view=item&amp;id=337:how-do-new-data-protection-enforcement-provisions-in-canadas-bill-c-11-measure-up?&amp;Itemid=80" TargetMode="External"/><Relationship Id="rId11" Type="http://schemas.openxmlformats.org/officeDocument/2006/relationships/hyperlink" Target="https://store.thomsonreuters.ca/en-ca/products/the-law-of-privacy-in-canada-30843657" TargetMode="External"/><Relationship Id="rId5" Type="http://schemas.openxmlformats.org/officeDocument/2006/relationships/hyperlink" Target="https://www.priv.gc.ca/en/privacy-topics/privacy-laws-in-canada/the-personal-information-protection-and-electronic-documents-act-pipeda/pipeda_r/?Page=7" TargetMode="External"/><Relationship Id="rId15" Type="http://schemas.openxmlformats.org/officeDocument/2006/relationships/hyperlink" Target="https://www.priv.gc.ca/en/privacy-topics/privacy-laws-in-canada/the-personal-information-protection-and-electronic-documents-act-pipeda/pipeda-complaints-and-enforcement-process/court_p/na_fb_20200206/" TargetMode="External"/><Relationship Id="rId23" Type="http://schemas.openxmlformats.org/officeDocument/2006/relationships/hyperlink" Target="https://www2.gov.bc.ca/gov/content/justice/about-bcs-justice-system/legislation-policy/current-reviews/civil-jury-trials" TargetMode="External"/><Relationship Id="rId10" Type="http://schemas.openxmlformats.org/officeDocument/2006/relationships/hyperlink" Target="https://store.thomsonreuters.ca/en-ca/products/the-law-of-privacy-in-canada-30843657" TargetMode="External"/><Relationship Id="rId19" Type="http://schemas.openxmlformats.org/officeDocument/2006/relationships/hyperlink" Target="https://www.canlii.org/en/ca/laws/stat/sc-2000-c-5/latest/sc-2000-c-5.html" TargetMode="External"/><Relationship Id="rId4" Type="http://schemas.openxmlformats.org/officeDocument/2006/relationships/hyperlink" Target="https://www.priv.gc.ca/en/opc-news/news-and-announcements/2021/nr-c_210511/" TargetMode="External"/><Relationship Id="rId9" Type="http://schemas.openxmlformats.org/officeDocument/2006/relationships/hyperlink" Target="https://lop.parl.ca/staticfiles/PublicWebsite/Home/ResearchPublications/BackgroundPapers/PDF/2007-44-e.pdf%20" TargetMode="External"/><Relationship Id="rId14" Type="http://schemas.openxmlformats.org/officeDocument/2006/relationships/hyperlink" Target="https://www.theglobeandmail.com/business/commentary/article-thank-facebook-for-reminding-us-canadas-privacy-protection-is-utterly/" TargetMode="External"/><Relationship Id="rId22" Type="http://schemas.openxmlformats.org/officeDocument/2006/relationships/hyperlink" Target="https://www.priv.gc.ca/en/opc-actions-and-decisions/investigations/investigations-into-businesses/2016/pipeda-2016-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0E62-360E-4631-A778-31787704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39</Pages>
  <Words>12312</Words>
  <Characters>70184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sobyrne</dc:creator>
  <cp:keywords/>
  <dc:description/>
  <cp:lastModifiedBy>Avner Levin</cp:lastModifiedBy>
  <cp:revision>25</cp:revision>
  <cp:lastPrinted>2021-09-16T12:47:00Z</cp:lastPrinted>
  <dcterms:created xsi:type="dcterms:W3CDTF">2021-09-19T12:40:00Z</dcterms:created>
  <dcterms:modified xsi:type="dcterms:W3CDTF">2022-03-21T17:06:00Z</dcterms:modified>
</cp:coreProperties>
</file>