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AF5F" w14:textId="6B8BA9ED" w:rsidR="00887E4D" w:rsidRDefault="00887E4D" w:rsidP="00887E4D">
      <w:pPr>
        <w:contextualSpacing/>
        <w:jc w:val="center"/>
      </w:pPr>
      <w:r>
        <w:rPr>
          <w:b/>
          <w:bCs/>
        </w:rPr>
        <w:t xml:space="preserve">“It Shouldn’t </w:t>
      </w:r>
      <w:proofErr w:type="gramStart"/>
      <w:r>
        <w:rPr>
          <w:b/>
          <w:bCs/>
        </w:rPr>
        <w:t>be</w:t>
      </w:r>
      <w:proofErr w:type="gramEnd"/>
      <w:r>
        <w:rPr>
          <w:b/>
          <w:bCs/>
        </w:rPr>
        <w:t xml:space="preserve"> Small Potatoes: The Future of Civil Damage </w:t>
      </w:r>
      <w:r w:rsidRPr="003061DB">
        <w:rPr>
          <w:b/>
          <w:bCs/>
        </w:rPr>
        <w:t>Awards</w:t>
      </w:r>
      <w:r>
        <w:rPr>
          <w:b/>
          <w:bCs/>
        </w:rPr>
        <w:t xml:space="preserve"> under</w:t>
      </w:r>
      <w:r w:rsidRPr="007667A1">
        <w:rPr>
          <w:b/>
          <w:bCs/>
        </w:rPr>
        <w:t xml:space="preserve"> </w:t>
      </w:r>
      <w:r w:rsidRPr="007667A1">
        <w:rPr>
          <w:b/>
          <w:bCs/>
          <w:lang w:val="en-US"/>
        </w:rPr>
        <w:t>Canada’s</w:t>
      </w:r>
      <w:r>
        <w:rPr>
          <w:b/>
          <w:bCs/>
          <w:lang w:val="en-US"/>
        </w:rPr>
        <w:t xml:space="preserve"> Personal Information Protection Legislation</w:t>
      </w:r>
      <w:r>
        <w:t>”</w:t>
      </w:r>
    </w:p>
    <w:p w14:paraId="6FF6D076" w14:textId="77777777" w:rsidR="00887E4D" w:rsidRDefault="00887E4D" w:rsidP="00887E4D">
      <w:pPr>
        <w:contextualSpacing/>
        <w:jc w:val="center"/>
      </w:pPr>
      <w:r>
        <w:t>By Professor Shannon O’Byrne</w:t>
      </w:r>
      <w:r w:rsidRPr="00EC393A">
        <w:rPr>
          <w:rStyle w:val="FootnoteReference"/>
        </w:rPr>
        <w:footnoteReference w:customMarkFollows="1" w:id="2"/>
        <w:sym w:font="Symbol" w:char="F02A"/>
      </w:r>
      <w:r>
        <w:t xml:space="preserve"> and Professor Avner Levin</w:t>
      </w:r>
      <w:r w:rsidRPr="00EC393A">
        <w:rPr>
          <w:rStyle w:val="FootnoteReference"/>
        </w:rPr>
        <w:footnoteReference w:customMarkFollows="1" w:id="3"/>
        <w:sym w:font="Symbol" w:char="F02A"/>
      </w:r>
      <w:r w:rsidRPr="00EC393A">
        <w:rPr>
          <w:rStyle w:val="FootnoteReference"/>
        </w:rPr>
        <w:sym w:font="Symbol" w:char="F02A"/>
      </w:r>
    </w:p>
    <w:p w14:paraId="537E9BC6" w14:textId="77777777" w:rsidR="00887E4D" w:rsidRDefault="00887E4D" w:rsidP="00AF61EA">
      <w:pPr>
        <w:jc w:val="center"/>
        <w:rPr>
          <w:b/>
          <w:bCs/>
          <w:highlight w:val="yellow"/>
          <w:lang w:bidi="he-IL"/>
        </w:rPr>
      </w:pPr>
    </w:p>
    <w:p w14:paraId="2B70EAAE" w14:textId="6E107EBD" w:rsidR="00AF61EA" w:rsidRDefault="00AF61EA" w:rsidP="00404DD9">
      <w:pPr>
        <w:jc w:val="center"/>
        <w:rPr>
          <w:b/>
          <w:bCs/>
          <w:lang w:bidi="he-IL"/>
        </w:rPr>
      </w:pPr>
      <w:r w:rsidRPr="007F4521">
        <w:rPr>
          <w:b/>
          <w:bCs/>
          <w:lang w:bidi="he-IL"/>
        </w:rPr>
        <w:t xml:space="preserve"> </w:t>
      </w:r>
      <w:r w:rsidR="009D3436" w:rsidRPr="007F4521">
        <w:rPr>
          <w:b/>
          <w:bCs/>
          <w:lang w:bidi="he-IL"/>
        </w:rPr>
        <w:t xml:space="preserve">Part </w:t>
      </w:r>
      <w:r w:rsidR="00851CCB" w:rsidRPr="007F4521">
        <w:rPr>
          <w:b/>
          <w:bCs/>
          <w:lang w:bidi="he-IL"/>
        </w:rPr>
        <w:t>Two</w:t>
      </w:r>
      <w:r w:rsidRPr="007F4521">
        <w:rPr>
          <w:b/>
          <w:bCs/>
          <w:lang w:bidi="he-IL"/>
        </w:rPr>
        <w:t xml:space="preserve">: </w:t>
      </w:r>
      <w:r w:rsidR="00D24326" w:rsidRPr="007F4521">
        <w:rPr>
          <w:b/>
          <w:bCs/>
          <w:lang w:bidi="he-IL"/>
        </w:rPr>
        <w:t xml:space="preserve">Inadequate </w:t>
      </w:r>
      <w:r w:rsidRPr="007F4521">
        <w:rPr>
          <w:b/>
          <w:bCs/>
          <w:i/>
          <w:iCs/>
          <w:lang w:bidi="he-IL"/>
        </w:rPr>
        <w:t>PIPEDA</w:t>
      </w:r>
      <w:r w:rsidRPr="007F4521">
        <w:rPr>
          <w:b/>
          <w:bCs/>
          <w:lang w:bidi="he-IL"/>
        </w:rPr>
        <w:t xml:space="preserve"> Damages</w:t>
      </w:r>
      <w:r w:rsidR="00851CCB" w:rsidRPr="007F4521">
        <w:rPr>
          <w:b/>
          <w:bCs/>
          <w:lang w:bidi="he-IL"/>
        </w:rPr>
        <w:t xml:space="preserve"> and the Way Forward</w:t>
      </w:r>
    </w:p>
    <w:p w14:paraId="4B04F1E3" w14:textId="6F19AA17" w:rsidR="00B57247" w:rsidRDefault="00B57247" w:rsidP="007F4521">
      <w:pPr>
        <w:rPr>
          <w:i/>
          <w:iCs/>
        </w:rPr>
      </w:pPr>
      <w:r w:rsidRPr="007F4521">
        <w:rPr>
          <w:i/>
          <w:iCs/>
        </w:rPr>
        <w:t xml:space="preserve">This is the second </w:t>
      </w:r>
      <w:r w:rsidR="009B3B51" w:rsidRPr="007F4521">
        <w:rPr>
          <w:i/>
          <w:iCs/>
        </w:rPr>
        <w:t>part</w:t>
      </w:r>
      <w:r w:rsidRPr="007F4521">
        <w:rPr>
          <w:i/>
          <w:iCs/>
        </w:rPr>
        <w:t xml:space="preserve"> of a </w:t>
      </w:r>
      <w:r w:rsidR="00D21EE0" w:rsidRPr="007F4521">
        <w:rPr>
          <w:i/>
          <w:iCs/>
        </w:rPr>
        <w:t>two-part</w:t>
      </w:r>
      <w:r w:rsidRPr="007F4521">
        <w:rPr>
          <w:i/>
          <w:iCs/>
        </w:rPr>
        <w:t xml:space="preserve"> article. The first </w:t>
      </w:r>
      <w:r w:rsidR="009D3436" w:rsidRPr="007F4521">
        <w:rPr>
          <w:i/>
          <w:iCs/>
        </w:rPr>
        <w:t xml:space="preserve">part </w:t>
      </w:r>
      <w:r w:rsidRPr="007F4521">
        <w:rPr>
          <w:i/>
          <w:iCs/>
        </w:rPr>
        <w:t xml:space="preserve">can be found at </w:t>
      </w:r>
      <w:r w:rsidR="007F4521" w:rsidRPr="007F4521">
        <w:rPr>
          <w:i/>
          <w:iCs/>
          <w:color w:val="222222"/>
          <w:shd w:val="clear" w:color="auto" w:fill="FFFFFF"/>
        </w:rPr>
        <w:t xml:space="preserve">52 </w:t>
      </w:r>
      <w:proofErr w:type="spellStart"/>
      <w:r w:rsidR="007F4521" w:rsidRPr="007F4521">
        <w:rPr>
          <w:i/>
          <w:iCs/>
          <w:color w:val="222222"/>
          <w:shd w:val="clear" w:color="auto" w:fill="FFFFFF"/>
        </w:rPr>
        <w:t>Adv</w:t>
      </w:r>
      <w:proofErr w:type="spellEnd"/>
      <w:r w:rsidR="007F4521" w:rsidRPr="007F4521">
        <w:rPr>
          <w:i/>
          <w:iCs/>
          <w:color w:val="222222"/>
          <w:shd w:val="clear" w:color="auto" w:fill="FFFFFF"/>
        </w:rPr>
        <w:t xml:space="preserve"> Q 427 (2022)</w:t>
      </w:r>
      <w:r w:rsidR="007F4521" w:rsidRPr="007F4521">
        <w:rPr>
          <w:color w:val="222222"/>
          <w:shd w:val="clear" w:color="auto" w:fill="FFFFFF"/>
        </w:rPr>
        <w:t>.</w:t>
      </w:r>
    </w:p>
    <w:p w14:paraId="2926778F" w14:textId="6C580941" w:rsidR="002F3D77" w:rsidRPr="009346AD" w:rsidRDefault="002F3D77" w:rsidP="002F3D77">
      <w:pPr>
        <w:rPr>
          <w:i/>
          <w:iCs/>
        </w:rPr>
      </w:pPr>
      <w:r w:rsidRPr="009346AD">
        <w:rPr>
          <w:i/>
          <w:iCs/>
        </w:rPr>
        <w:t>The Personal Information Protection and Electronic Document Act (</w:t>
      </w:r>
      <w:r w:rsidRPr="00B10490">
        <w:rPr>
          <w:i/>
          <w:iCs/>
        </w:rPr>
        <w:t>PIPEDA</w:t>
      </w:r>
      <w:r w:rsidRPr="009346AD">
        <w:rPr>
          <w:i/>
          <w:iCs/>
        </w:rPr>
        <w:t>) is well known as federal legislation governing the protection of personal information in the private sector. This article</w:t>
      </w:r>
      <w:r>
        <w:rPr>
          <w:i/>
          <w:iCs/>
        </w:rPr>
        <w:t xml:space="preserve">, </w:t>
      </w:r>
      <w:r w:rsidRPr="007F4521">
        <w:rPr>
          <w:i/>
          <w:iCs/>
        </w:rPr>
        <w:t xml:space="preserve">published over two </w:t>
      </w:r>
      <w:r w:rsidR="009B3B51" w:rsidRPr="007F4521">
        <w:rPr>
          <w:i/>
          <w:iCs/>
        </w:rPr>
        <w:t>parts</w:t>
      </w:r>
      <w:r w:rsidRPr="007F4521">
        <w:rPr>
          <w:i/>
          <w:iCs/>
        </w:rPr>
        <w:t>,</w:t>
      </w:r>
      <w:r w:rsidRPr="009346AD">
        <w:rPr>
          <w:i/>
          <w:iCs/>
        </w:rPr>
        <w:t xml:space="preserve"> focusses on a lesser explored but particularly concerning aspect of </w:t>
      </w:r>
      <w:r w:rsidRPr="00C17EAD">
        <w:rPr>
          <w:i/>
          <w:iCs/>
        </w:rPr>
        <w:t>PIPEDA</w:t>
      </w:r>
      <w:r w:rsidRPr="009346AD">
        <w:rPr>
          <w:i/>
          <w:iCs/>
        </w:rPr>
        <w:t>, namely the low damage awards (</w:t>
      </w:r>
      <w:r>
        <w:rPr>
          <w:i/>
          <w:iCs/>
        </w:rPr>
        <w:t xml:space="preserve">averaging between </w:t>
      </w:r>
      <w:r w:rsidRPr="009346AD">
        <w:rPr>
          <w:i/>
          <w:iCs/>
        </w:rPr>
        <w:t>$3,000 to $5,000) granted by courts to applicants who establish a breach of the Act</w:t>
      </w:r>
      <w:r>
        <w:rPr>
          <w:i/>
          <w:iCs/>
        </w:rPr>
        <w:t xml:space="preserve"> and the low number of actual applications</w:t>
      </w:r>
      <w:r w:rsidR="0017703C">
        <w:rPr>
          <w:i/>
          <w:iCs/>
        </w:rPr>
        <w:t xml:space="preserve"> (24 applications in 20 years)</w:t>
      </w:r>
      <w:r>
        <w:rPr>
          <w:i/>
          <w:iCs/>
        </w:rPr>
        <w:t>.</w:t>
      </w:r>
      <w:r w:rsidRPr="009346AD">
        <w:rPr>
          <w:i/>
          <w:iCs/>
        </w:rPr>
        <w:t xml:space="preserve"> Chronically low monetary awards threaten PIPEDA</w:t>
      </w:r>
      <w:r>
        <w:rPr>
          <w:i/>
          <w:iCs/>
        </w:rPr>
        <w:t>’s</w:t>
      </w:r>
      <w:r w:rsidRPr="009346AD">
        <w:rPr>
          <w:i/>
          <w:iCs/>
        </w:rPr>
        <w:t xml:space="preserve"> legislative objective o</w:t>
      </w:r>
      <w:r>
        <w:rPr>
          <w:i/>
          <w:iCs/>
        </w:rPr>
        <w:t>f</w:t>
      </w:r>
      <w:r w:rsidRPr="009346AD">
        <w:rPr>
          <w:i/>
          <w:iCs/>
        </w:rPr>
        <w:t xml:space="preserve"> recogniz</w:t>
      </w:r>
      <w:r>
        <w:rPr>
          <w:i/>
          <w:iCs/>
        </w:rPr>
        <w:t>ing</w:t>
      </w:r>
      <w:r w:rsidRPr="009346AD">
        <w:rPr>
          <w:i/>
          <w:iCs/>
        </w:rPr>
        <w:t xml:space="preserve"> the individual’s right of privacy in their personal information. </w:t>
      </w:r>
      <w:r>
        <w:rPr>
          <w:i/>
          <w:iCs/>
        </w:rPr>
        <w:t xml:space="preserve">As the low number of applications reflect, </w:t>
      </w:r>
      <w:r w:rsidRPr="009346AD">
        <w:rPr>
          <w:i/>
          <w:iCs/>
        </w:rPr>
        <w:t xml:space="preserve">when it makes no economic sense to do so, otherwise deserving complainants will be discouraged from seeking damages or simply driven to pursue solutions such as class actions. </w:t>
      </w:r>
      <w:r w:rsidRPr="00C17EAD">
        <w:rPr>
          <w:i/>
          <w:iCs/>
        </w:rPr>
        <w:t>PIPEDA</w:t>
      </w:r>
      <w:r>
        <w:rPr>
          <w:i/>
          <w:iCs/>
        </w:rPr>
        <w:t>’s damage provision thereby stands to wither away from disuse.</w:t>
      </w:r>
      <w:r w:rsidRPr="009346AD">
        <w:rPr>
          <w:i/>
          <w:iCs/>
        </w:rPr>
        <w:t xml:space="preserve">   </w:t>
      </w:r>
    </w:p>
    <w:p w14:paraId="47D3BF59" w14:textId="43C56498" w:rsidR="00FA4752" w:rsidRPr="00AF61EA" w:rsidRDefault="002F3D77" w:rsidP="002F3D77">
      <w:pPr>
        <w:rPr>
          <w:b/>
          <w:bCs/>
          <w:lang w:bidi="he-IL"/>
        </w:rPr>
      </w:pPr>
      <w:r w:rsidRPr="009346AD">
        <w:rPr>
          <w:i/>
          <w:iCs/>
        </w:rPr>
        <w:t xml:space="preserve">This </w:t>
      </w:r>
      <w:r>
        <w:rPr>
          <w:i/>
          <w:iCs/>
        </w:rPr>
        <w:t>article</w:t>
      </w:r>
      <w:r w:rsidRPr="009346AD">
        <w:rPr>
          <w:i/>
          <w:iCs/>
        </w:rPr>
        <w:t xml:space="preserve"> offers a three-fold solution to insufficient quantum </w:t>
      </w:r>
      <w:r>
        <w:rPr>
          <w:i/>
          <w:iCs/>
        </w:rPr>
        <w:t>an</w:t>
      </w:r>
      <w:r w:rsidRPr="009346AD">
        <w:rPr>
          <w:i/>
          <w:iCs/>
        </w:rPr>
        <w:t xml:space="preserve">d is inspired </w:t>
      </w:r>
      <w:r>
        <w:rPr>
          <w:i/>
          <w:iCs/>
        </w:rPr>
        <w:t xml:space="preserve">more generally </w:t>
      </w:r>
      <w:r w:rsidRPr="009346AD">
        <w:rPr>
          <w:i/>
          <w:iCs/>
        </w:rPr>
        <w:t xml:space="preserve">by </w:t>
      </w:r>
      <w:r>
        <w:rPr>
          <w:i/>
          <w:iCs/>
        </w:rPr>
        <w:t>the</w:t>
      </w:r>
      <w:r w:rsidRPr="009346AD">
        <w:rPr>
          <w:i/>
          <w:iCs/>
        </w:rPr>
        <w:t xml:space="preserve"> functional approach to monetary damages presented by Justice Cromwell in an Isaac Pitblado lecture. First, damage quanta </w:t>
      </w:r>
      <w:r>
        <w:rPr>
          <w:i/>
          <w:iCs/>
        </w:rPr>
        <w:t xml:space="preserve">under PIPEDA </w:t>
      </w:r>
      <w:r w:rsidRPr="009346AD">
        <w:rPr>
          <w:i/>
          <w:iCs/>
        </w:rPr>
        <w:t>must more rigorously reflect the status of personal information protection legislation</w:t>
      </w:r>
      <w:r>
        <w:rPr>
          <w:i/>
          <w:iCs/>
        </w:rPr>
        <w:t>,</w:t>
      </w:r>
      <w:r w:rsidRPr="009346AD">
        <w:rPr>
          <w:i/>
          <w:iCs/>
        </w:rPr>
        <w:t xml:space="preserve"> including its constitutional overlay and link to what have been termed “dignitary” torts such as the common law privacy torts and defamation. Second, courts should measure quantum based on insights from torts closely related to breach of privacy under </w:t>
      </w:r>
      <w:r w:rsidRPr="00C17EAD">
        <w:rPr>
          <w:i/>
          <w:iCs/>
        </w:rPr>
        <w:t>PIPEDA</w:t>
      </w:r>
      <w:r>
        <w:rPr>
          <w:i/>
          <w:iCs/>
        </w:rPr>
        <w:t xml:space="preserve"> which reflect a higher quantum</w:t>
      </w:r>
      <w:r w:rsidRPr="009346AD">
        <w:rPr>
          <w:i/>
          <w:iCs/>
        </w:rPr>
        <w:t xml:space="preserve">. Third, courts must firmly reject the Federal Court’s 2010 decision in Randall v </w:t>
      </w:r>
      <w:proofErr w:type="spellStart"/>
      <w:r w:rsidRPr="009346AD">
        <w:rPr>
          <w:i/>
          <w:iCs/>
        </w:rPr>
        <w:t>Nubody’s</w:t>
      </w:r>
      <w:proofErr w:type="spellEnd"/>
      <w:r w:rsidRPr="009346AD">
        <w:rPr>
          <w:i/>
          <w:iCs/>
        </w:rPr>
        <w:t xml:space="preserve"> Fitness Centres wh</w:t>
      </w:r>
      <w:r w:rsidRPr="009346AD">
        <w:rPr>
          <w:rStyle w:val="reflex3-block"/>
          <w:i/>
          <w:iCs/>
        </w:rPr>
        <w:t xml:space="preserve">ich held that damages </w:t>
      </w:r>
      <w:r>
        <w:rPr>
          <w:rStyle w:val="reflex3-block"/>
          <w:i/>
          <w:iCs/>
        </w:rPr>
        <w:t>under</w:t>
      </w:r>
      <w:r w:rsidRPr="009346AD">
        <w:rPr>
          <w:rStyle w:val="reflex3-block"/>
          <w:i/>
          <w:iCs/>
        </w:rPr>
        <w:t xml:space="preserve"> PIPEDA are only recoverable in </w:t>
      </w:r>
      <w:r w:rsidRPr="009346AD">
        <w:rPr>
          <w:i/>
          <w:iCs/>
        </w:rPr>
        <w:t xml:space="preserve">“the most egregious situations.” </w:t>
      </w:r>
      <w:r>
        <w:rPr>
          <w:i/>
          <w:iCs/>
        </w:rPr>
        <w:t>Egregiousness is not an ingredient required by the Act and wrongly reduces its scope.</w:t>
      </w:r>
    </w:p>
    <w:p w14:paraId="0FE074B6" w14:textId="77777777" w:rsidR="00887E4D" w:rsidRDefault="00887E4D" w:rsidP="00F64411">
      <w:pPr>
        <w:jc w:val="center"/>
      </w:pPr>
    </w:p>
    <w:p w14:paraId="2415F882" w14:textId="77777777" w:rsidR="00887E4D" w:rsidRDefault="00887E4D" w:rsidP="00F64411">
      <w:pPr>
        <w:jc w:val="center"/>
      </w:pPr>
    </w:p>
    <w:p w14:paraId="02204663" w14:textId="4386B54C" w:rsidR="00F64411" w:rsidRPr="00576100" w:rsidRDefault="009B3B51" w:rsidP="00D21EE0">
      <w:r>
        <w:t xml:space="preserve">Part </w:t>
      </w:r>
      <w:r w:rsidR="00F64411">
        <w:t>Two</w:t>
      </w:r>
      <w:r w:rsidR="00F64411" w:rsidRPr="00576100">
        <w:t xml:space="preserve">: </w:t>
      </w:r>
      <w:r w:rsidR="00F64411">
        <w:t xml:space="preserve">Inadequate </w:t>
      </w:r>
      <w:r w:rsidR="00F64411" w:rsidRPr="00C17EAD">
        <w:rPr>
          <w:i/>
          <w:iCs/>
        </w:rPr>
        <w:t>PIPEDA</w:t>
      </w:r>
      <w:r w:rsidR="00F64411" w:rsidRPr="00576100">
        <w:t xml:space="preserve"> Damages</w:t>
      </w:r>
      <w:r w:rsidR="00F64411">
        <w:t xml:space="preserve"> and the Way Forward</w:t>
      </w:r>
    </w:p>
    <w:p w14:paraId="2B38EE4D" w14:textId="77777777" w:rsidR="00F64411" w:rsidRDefault="00F64411" w:rsidP="00F64411">
      <w:r>
        <w:t xml:space="preserve">Introduction </w:t>
      </w:r>
    </w:p>
    <w:p w14:paraId="421ACB81" w14:textId="37448A26" w:rsidR="00F64411" w:rsidRPr="003250BF" w:rsidRDefault="009B3B51" w:rsidP="00F64411">
      <w:r>
        <w:t xml:space="preserve">Section </w:t>
      </w:r>
      <w:r w:rsidR="00F64411">
        <w:t>I</w:t>
      </w:r>
      <w:r w:rsidR="00F64411" w:rsidRPr="003250BF">
        <w:t xml:space="preserve">: </w:t>
      </w:r>
      <w:r w:rsidR="00F64411" w:rsidRPr="00C17EAD">
        <w:rPr>
          <w:i/>
          <w:iCs/>
        </w:rPr>
        <w:t>PIPEDA</w:t>
      </w:r>
      <w:r w:rsidR="00F64411" w:rsidRPr="003250BF">
        <w:t xml:space="preserve"> Damages</w:t>
      </w:r>
    </w:p>
    <w:p w14:paraId="18FDE1F1" w14:textId="77777777" w:rsidR="00F64411" w:rsidRPr="003250BF" w:rsidRDefault="00F64411" w:rsidP="00F64411">
      <w:pPr>
        <w:pStyle w:val="ListParagraph"/>
        <w:numPr>
          <w:ilvl w:val="0"/>
          <w:numId w:val="14"/>
        </w:numPr>
      </w:pPr>
      <w:bookmarkStart w:id="0" w:name="_Hlk74249008"/>
      <w:r w:rsidRPr="003250BF">
        <w:t xml:space="preserve">The Damages Framework </w:t>
      </w:r>
    </w:p>
    <w:p w14:paraId="5ED1985D" w14:textId="77777777" w:rsidR="00F64411" w:rsidRPr="003250BF" w:rsidRDefault="00F64411" w:rsidP="00F64411">
      <w:pPr>
        <w:pStyle w:val="ListParagraph"/>
        <w:numPr>
          <w:ilvl w:val="0"/>
          <w:numId w:val="2"/>
        </w:numPr>
      </w:pPr>
      <w:r w:rsidRPr="003250BF">
        <w:t>The Compensation Function</w:t>
      </w:r>
    </w:p>
    <w:p w14:paraId="29CF225F" w14:textId="77777777" w:rsidR="00F64411" w:rsidRPr="003250BF" w:rsidRDefault="00F64411" w:rsidP="00F64411">
      <w:pPr>
        <w:pStyle w:val="ListParagraph"/>
        <w:numPr>
          <w:ilvl w:val="0"/>
          <w:numId w:val="2"/>
        </w:numPr>
      </w:pPr>
      <w:r w:rsidRPr="003250BF">
        <w:t>The Vindication Function</w:t>
      </w:r>
    </w:p>
    <w:p w14:paraId="0A665049" w14:textId="77777777" w:rsidR="00F64411" w:rsidRPr="003250BF" w:rsidRDefault="00F64411" w:rsidP="00F64411">
      <w:pPr>
        <w:pStyle w:val="ListParagraph"/>
        <w:numPr>
          <w:ilvl w:val="0"/>
          <w:numId w:val="2"/>
        </w:numPr>
      </w:pPr>
      <w:r w:rsidRPr="003250BF">
        <w:t>The Deterrence Function</w:t>
      </w:r>
    </w:p>
    <w:p w14:paraId="1222B5B9" w14:textId="77777777" w:rsidR="00F64411" w:rsidRPr="003250BF" w:rsidRDefault="00F64411" w:rsidP="00F64411">
      <w:pPr>
        <w:pStyle w:val="ListParagraph"/>
        <w:numPr>
          <w:ilvl w:val="0"/>
          <w:numId w:val="14"/>
        </w:numPr>
      </w:pPr>
      <w:r w:rsidRPr="003250BF">
        <w:t xml:space="preserve">Breach of the </w:t>
      </w:r>
      <w:r w:rsidRPr="003250BF">
        <w:rPr>
          <w:i/>
          <w:iCs/>
        </w:rPr>
        <w:t>Charter</w:t>
      </w:r>
      <w:r w:rsidRPr="003250BF">
        <w:t xml:space="preserve"> and Breach of </w:t>
      </w:r>
      <w:r w:rsidRPr="00C17EAD">
        <w:rPr>
          <w:i/>
          <w:iCs/>
        </w:rPr>
        <w:t>PIPEDA</w:t>
      </w:r>
      <w:r w:rsidRPr="003250BF">
        <w:t xml:space="preserve"> as Actionable </w:t>
      </w:r>
      <w:r w:rsidRPr="003250BF">
        <w:rPr>
          <w:i/>
          <w:iCs/>
        </w:rPr>
        <w:t>per se</w:t>
      </w:r>
      <w:r w:rsidRPr="003250BF">
        <w:t xml:space="preserve">? </w:t>
      </w:r>
    </w:p>
    <w:p w14:paraId="58A22C55" w14:textId="77777777" w:rsidR="00F64411" w:rsidRPr="003250BF" w:rsidRDefault="00F64411" w:rsidP="00F64411">
      <w:pPr>
        <w:pStyle w:val="ListParagraph"/>
        <w:numPr>
          <w:ilvl w:val="0"/>
          <w:numId w:val="14"/>
        </w:numPr>
      </w:pPr>
      <w:r w:rsidRPr="00C17EAD">
        <w:rPr>
          <w:i/>
          <w:iCs/>
        </w:rPr>
        <w:t>PIPEDA</w:t>
      </w:r>
      <w:r w:rsidRPr="003250BF">
        <w:t xml:space="preserve"> Damages as Symbolic Damages  </w:t>
      </w:r>
    </w:p>
    <w:p w14:paraId="608BA692" w14:textId="77777777" w:rsidR="00F64411" w:rsidRPr="003250BF" w:rsidRDefault="00F64411" w:rsidP="00F64411">
      <w:pPr>
        <w:pStyle w:val="ListParagraph"/>
        <w:numPr>
          <w:ilvl w:val="0"/>
          <w:numId w:val="14"/>
        </w:numPr>
      </w:pPr>
      <w:r w:rsidRPr="003250BF">
        <w:t xml:space="preserve">Critique of </w:t>
      </w:r>
      <w:proofErr w:type="spellStart"/>
      <w:r w:rsidRPr="003250BF">
        <w:rPr>
          <w:i/>
          <w:iCs/>
        </w:rPr>
        <w:t>Nammo</w:t>
      </w:r>
      <w:proofErr w:type="spellEnd"/>
      <w:r w:rsidRPr="003250BF">
        <w:rPr>
          <w:i/>
          <w:iCs/>
        </w:rPr>
        <w:t xml:space="preserve"> v TransUnion of Canada Inc</w:t>
      </w:r>
      <w:r w:rsidRPr="003250BF">
        <w:t xml:space="preserve">, 2010 FC 1284 </w:t>
      </w:r>
    </w:p>
    <w:p w14:paraId="68822C3E" w14:textId="77777777" w:rsidR="00F64411" w:rsidRPr="003250BF" w:rsidRDefault="00F64411" w:rsidP="00F64411">
      <w:pPr>
        <w:pStyle w:val="ListParagraph"/>
        <w:numPr>
          <w:ilvl w:val="0"/>
          <w:numId w:val="14"/>
        </w:numPr>
      </w:pPr>
      <w:r w:rsidRPr="003250BF">
        <w:t xml:space="preserve">Critique of </w:t>
      </w:r>
      <w:r w:rsidRPr="003250BF">
        <w:rPr>
          <w:i/>
          <w:iCs/>
        </w:rPr>
        <w:t xml:space="preserve">Randall v </w:t>
      </w:r>
      <w:proofErr w:type="spellStart"/>
      <w:r w:rsidRPr="003250BF">
        <w:rPr>
          <w:i/>
          <w:iCs/>
        </w:rPr>
        <w:t>Nubody’s</w:t>
      </w:r>
      <w:proofErr w:type="spellEnd"/>
      <w:r w:rsidRPr="003250BF">
        <w:rPr>
          <w:i/>
          <w:iCs/>
        </w:rPr>
        <w:t xml:space="preserve"> Fitness Centres,</w:t>
      </w:r>
      <w:r w:rsidRPr="003250BF">
        <w:t xml:space="preserve"> 2010 FC 681</w:t>
      </w:r>
    </w:p>
    <w:bookmarkEnd w:id="0"/>
    <w:p w14:paraId="64E8345E" w14:textId="1E5F3A8E" w:rsidR="00F64411" w:rsidRPr="003250BF" w:rsidRDefault="009B3B51" w:rsidP="00F64411">
      <w:r>
        <w:t xml:space="preserve">Section </w:t>
      </w:r>
      <w:r w:rsidR="00F64411">
        <w:t>II</w:t>
      </w:r>
      <w:r w:rsidR="00F64411" w:rsidRPr="003250BF">
        <w:t xml:space="preserve">: Summary of </w:t>
      </w:r>
      <w:r w:rsidR="00F64411" w:rsidRPr="003250BF">
        <w:rPr>
          <w:i/>
          <w:iCs/>
        </w:rPr>
        <w:t>CPPA</w:t>
      </w:r>
      <w:r w:rsidR="00F64411" w:rsidRPr="003250BF">
        <w:t xml:space="preserve"> Deficiencies in Relation to Damages </w:t>
      </w:r>
    </w:p>
    <w:p w14:paraId="3B2DDEED" w14:textId="0F96220A" w:rsidR="00F64411" w:rsidRPr="003250BF" w:rsidRDefault="009B3B51" w:rsidP="00F64411">
      <w:r>
        <w:t xml:space="preserve">Section </w:t>
      </w:r>
      <w:r w:rsidR="00F64411">
        <w:t>III</w:t>
      </w:r>
      <w:r w:rsidR="00F64411" w:rsidRPr="003250BF">
        <w:t>: Brief Conclusion</w:t>
      </w:r>
    </w:p>
    <w:p w14:paraId="69CE0FB3" w14:textId="77777777" w:rsidR="00F64411" w:rsidRPr="003250BF" w:rsidRDefault="00F64411" w:rsidP="00F64411">
      <w:r w:rsidRPr="003250BF">
        <w:t>Appendices:</w:t>
      </w:r>
    </w:p>
    <w:p w14:paraId="213D2B8F" w14:textId="77777777" w:rsidR="00F64411" w:rsidRPr="003250BF" w:rsidRDefault="00F64411" w:rsidP="00F64411">
      <w:r w:rsidRPr="003250BF">
        <w:t xml:space="preserve">Appendix A:  Successful Applications for Damages under </w:t>
      </w:r>
      <w:r w:rsidRPr="00C17EAD">
        <w:rPr>
          <w:i/>
          <w:iCs/>
        </w:rPr>
        <w:t>PIPEDA</w:t>
      </w:r>
      <w:r w:rsidRPr="003250BF">
        <w:t xml:space="preserve"> in a Commercial Context</w:t>
      </w:r>
    </w:p>
    <w:p w14:paraId="42BCC525" w14:textId="77777777" w:rsidR="00F64411" w:rsidRPr="003250BF" w:rsidRDefault="00F64411" w:rsidP="00F64411">
      <w:r w:rsidRPr="003250BF">
        <w:t xml:space="preserve">Appendix B: Unsuccessful Applications for Damages under </w:t>
      </w:r>
      <w:r w:rsidRPr="00C17EAD">
        <w:rPr>
          <w:i/>
          <w:iCs/>
        </w:rPr>
        <w:t>PIPEDA</w:t>
      </w:r>
      <w:r w:rsidRPr="003250BF">
        <w:t xml:space="preserve"> in a Commercial Context</w:t>
      </w:r>
    </w:p>
    <w:p w14:paraId="29619493" w14:textId="0B15AFFD" w:rsidR="002F3D77" w:rsidRDefault="002F3D77" w:rsidP="00AF61EA">
      <w:pPr>
        <w:jc w:val="center"/>
        <w:rPr>
          <w:b/>
          <w:bCs/>
        </w:rPr>
      </w:pPr>
    </w:p>
    <w:p w14:paraId="58582DB4" w14:textId="63930585" w:rsidR="00AF61EA" w:rsidRPr="00AF61EA" w:rsidRDefault="00AF61EA" w:rsidP="00AF61EA">
      <w:pPr>
        <w:jc w:val="center"/>
        <w:rPr>
          <w:b/>
          <w:bCs/>
          <w:lang w:bidi="he-IL"/>
        </w:rPr>
      </w:pPr>
      <w:r w:rsidRPr="00AF61EA">
        <w:rPr>
          <w:b/>
          <w:bCs/>
        </w:rPr>
        <w:t>Introduction</w:t>
      </w:r>
      <w:r w:rsidR="00540587">
        <w:rPr>
          <w:b/>
          <w:bCs/>
        </w:rPr>
        <w:t xml:space="preserve"> to Part Two</w:t>
      </w:r>
    </w:p>
    <w:p w14:paraId="4C527509" w14:textId="53485576" w:rsidR="00B934B5" w:rsidRPr="00343728" w:rsidRDefault="005608D7" w:rsidP="0045438C">
      <w:pPr>
        <w:rPr>
          <w:lang w:bidi="he-IL"/>
        </w:rPr>
      </w:pPr>
      <w:r>
        <w:rPr>
          <w:lang w:bidi="he-IL"/>
        </w:rPr>
        <w:t xml:space="preserve">This </w:t>
      </w:r>
      <w:r w:rsidR="004360D8">
        <w:rPr>
          <w:lang w:bidi="he-IL"/>
        </w:rPr>
        <w:t xml:space="preserve">is </w:t>
      </w:r>
      <w:r w:rsidR="00540587">
        <w:rPr>
          <w:lang w:bidi="he-IL"/>
        </w:rPr>
        <w:t>Part</w:t>
      </w:r>
      <w:r w:rsidR="004360D8">
        <w:rPr>
          <w:lang w:bidi="he-IL"/>
        </w:rPr>
        <w:t xml:space="preserve"> Two</w:t>
      </w:r>
      <w:r>
        <w:rPr>
          <w:lang w:bidi="he-IL"/>
        </w:rPr>
        <w:t xml:space="preserve"> of </w:t>
      </w:r>
      <w:r w:rsidR="00D24326">
        <w:rPr>
          <w:lang w:bidi="he-IL"/>
        </w:rPr>
        <w:t xml:space="preserve">a </w:t>
      </w:r>
      <w:r>
        <w:rPr>
          <w:lang w:bidi="he-IL"/>
        </w:rPr>
        <w:t>two</w:t>
      </w:r>
      <w:r w:rsidR="008314A1">
        <w:rPr>
          <w:lang w:bidi="he-IL"/>
        </w:rPr>
        <w:t>-</w:t>
      </w:r>
      <w:r w:rsidR="00540587">
        <w:rPr>
          <w:lang w:bidi="he-IL"/>
        </w:rPr>
        <w:t xml:space="preserve">part </w:t>
      </w:r>
      <w:r>
        <w:rPr>
          <w:lang w:bidi="he-IL"/>
        </w:rPr>
        <w:t xml:space="preserve">article concerning </w:t>
      </w:r>
      <w:r w:rsidRPr="00751C8E">
        <w:rPr>
          <w:i/>
          <w:iCs/>
          <w:lang w:bidi="he-IL"/>
        </w:rPr>
        <w:t>PIPEDA</w:t>
      </w:r>
      <w:r>
        <w:rPr>
          <w:lang w:bidi="he-IL"/>
        </w:rPr>
        <w:t xml:space="preserve"> damages. </w:t>
      </w:r>
      <w:r w:rsidR="00540587">
        <w:rPr>
          <w:lang w:bidi="he-IL"/>
        </w:rPr>
        <w:t>Part</w:t>
      </w:r>
      <w:r w:rsidR="00343728">
        <w:rPr>
          <w:lang w:bidi="he-IL"/>
        </w:rPr>
        <w:t xml:space="preserve"> </w:t>
      </w:r>
      <w:r w:rsidR="00064EDA">
        <w:rPr>
          <w:lang w:bidi="he-IL"/>
        </w:rPr>
        <w:t>One</w:t>
      </w:r>
      <w:r w:rsidR="009D3436">
        <w:rPr>
          <w:lang w:bidi="he-IL"/>
        </w:rPr>
        <w:t>,</w:t>
      </w:r>
      <w:r w:rsidR="00343728">
        <w:rPr>
          <w:lang w:bidi="he-IL"/>
        </w:rPr>
        <w:t xml:space="preserve"> </w:t>
      </w:r>
      <w:r w:rsidR="00404DD9" w:rsidRPr="0045438C">
        <w:rPr>
          <w:lang w:bidi="he-IL"/>
        </w:rPr>
        <w:t xml:space="preserve">published in </w:t>
      </w:r>
      <w:r w:rsidR="0045438C">
        <w:rPr>
          <w:color w:val="222222"/>
          <w:shd w:val="clear" w:color="auto" w:fill="FFFFFF"/>
        </w:rPr>
        <w:t xml:space="preserve">52 </w:t>
      </w:r>
      <w:proofErr w:type="spellStart"/>
      <w:r w:rsidR="0045438C">
        <w:rPr>
          <w:color w:val="222222"/>
          <w:shd w:val="clear" w:color="auto" w:fill="FFFFFF"/>
        </w:rPr>
        <w:t>Adv</w:t>
      </w:r>
      <w:proofErr w:type="spellEnd"/>
      <w:r w:rsidR="0045438C">
        <w:rPr>
          <w:color w:val="222222"/>
          <w:shd w:val="clear" w:color="auto" w:fill="FFFFFF"/>
        </w:rPr>
        <w:t xml:space="preserve"> Q 427 (2022),</w:t>
      </w:r>
      <w:r>
        <w:rPr>
          <w:lang w:bidi="he-IL"/>
        </w:rPr>
        <w:t xml:space="preserve"> set the stage by assessing the </w:t>
      </w:r>
      <w:r w:rsidR="00EF5EDF">
        <w:rPr>
          <w:lang w:bidi="he-IL"/>
        </w:rPr>
        <w:t xml:space="preserve">constitutional </w:t>
      </w:r>
      <w:r>
        <w:rPr>
          <w:lang w:bidi="he-IL"/>
        </w:rPr>
        <w:t xml:space="preserve">purposes and interests protected by </w:t>
      </w:r>
      <w:r w:rsidRPr="00751C8E">
        <w:rPr>
          <w:i/>
          <w:iCs/>
          <w:lang w:bidi="he-IL"/>
        </w:rPr>
        <w:t>PIPEDA</w:t>
      </w:r>
      <w:r>
        <w:rPr>
          <w:lang w:bidi="he-IL"/>
        </w:rPr>
        <w:t xml:space="preserve"> </w:t>
      </w:r>
      <w:r w:rsidR="00343728">
        <w:rPr>
          <w:lang w:bidi="he-IL"/>
        </w:rPr>
        <w:t>in light of Justice Cromwell’s functional approach</w:t>
      </w:r>
      <w:r>
        <w:rPr>
          <w:lang w:bidi="he-IL"/>
        </w:rPr>
        <w:t xml:space="preserve"> to the question of damages</w:t>
      </w:r>
      <w:r w:rsidR="00343728">
        <w:rPr>
          <w:lang w:bidi="he-IL"/>
        </w:rPr>
        <w:t>, a</w:t>
      </w:r>
      <w:r w:rsidR="00886D0D">
        <w:rPr>
          <w:lang w:bidi="he-IL"/>
        </w:rPr>
        <w:t xml:space="preserve">s well as </w:t>
      </w:r>
      <w:r w:rsidR="00270210">
        <w:rPr>
          <w:lang w:bidi="he-IL"/>
        </w:rPr>
        <w:t xml:space="preserve">offering </w:t>
      </w:r>
      <w:r w:rsidR="00886D0D">
        <w:rPr>
          <w:lang w:bidi="he-IL"/>
        </w:rPr>
        <w:t>a brief account of rel</w:t>
      </w:r>
      <w:r w:rsidR="00892D2E">
        <w:rPr>
          <w:lang w:bidi="he-IL"/>
        </w:rPr>
        <w:t>evant</w:t>
      </w:r>
      <w:r w:rsidR="00886D0D">
        <w:rPr>
          <w:lang w:bidi="he-IL"/>
        </w:rPr>
        <w:t xml:space="preserve"> provincial legislation. It also considered</w:t>
      </w:r>
      <w:r w:rsidR="00D27BDB">
        <w:rPr>
          <w:lang w:bidi="he-IL"/>
        </w:rPr>
        <w:t xml:space="preserve"> </w:t>
      </w:r>
      <w:r w:rsidR="00343728">
        <w:rPr>
          <w:lang w:bidi="he-IL"/>
        </w:rPr>
        <w:t>the dignitary interests protected by privacy torts in Canada</w:t>
      </w:r>
      <w:r w:rsidR="00886D0D">
        <w:rPr>
          <w:lang w:bidi="he-IL"/>
        </w:rPr>
        <w:t xml:space="preserve"> and </w:t>
      </w:r>
      <w:r>
        <w:rPr>
          <w:lang w:bidi="he-IL"/>
        </w:rPr>
        <w:t xml:space="preserve">linked them </w:t>
      </w:r>
      <w:r w:rsidR="00886D0D">
        <w:rPr>
          <w:lang w:bidi="he-IL"/>
        </w:rPr>
        <w:t xml:space="preserve">to </w:t>
      </w:r>
      <w:r>
        <w:rPr>
          <w:lang w:bidi="he-IL"/>
        </w:rPr>
        <w:t xml:space="preserve">the importance of </w:t>
      </w:r>
      <w:r w:rsidR="00886D0D">
        <w:rPr>
          <w:lang w:bidi="he-IL"/>
        </w:rPr>
        <w:t xml:space="preserve">informational privacy under </w:t>
      </w:r>
      <w:r w:rsidR="00886D0D" w:rsidRPr="00751C8E">
        <w:rPr>
          <w:i/>
          <w:iCs/>
          <w:lang w:bidi="he-IL"/>
        </w:rPr>
        <w:t>PIPEDA</w:t>
      </w:r>
      <w:r w:rsidR="00343728">
        <w:rPr>
          <w:lang w:bidi="he-IL"/>
        </w:rPr>
        <w:t xml:space="preserve">. In </w:t>
      </w:r>
      <w:r w:rsidR="00A67169">
        <w:rPr>
          <w:lang w:bidi="he-IL"/>
        </w:rPr>
        <w:t xml:space="preserve">this Part, </w:t>
      </w:r>
      <w:r w:rsidR="00AB0B52">
        <w:rPr>
          <w:lang w:bidi="he-IL"/>
        </w:rPr>
        <w:t>s</w:t>
      </w:r>
      <w:r w:rsidR="00EF5EDF">
        <w:rPr>
          <w:lang w:bidi="he-IL"/>
        </w:rPr>
        <w:t>uch a context is brought into application</w:t>
      </w:r>
      <w:r w:rsidR="00A67169">
        <w:rPr>
          <w:lang w:bidi="he-IL"/>
        </w:rPr>
        <w:t xml:space="preserve"> over several sections</w:t>
      </w:r>
      <w:r w:rsidR="00EF5EDF">
        <w:rPr>
          <w:lang w:bidi="he-IL"/>
        </w:rPr>
        <w:t xml:space="preserve">. </w:t>
      </w:r>
      <w:r w:rsidR="00540587">
        <w:rPr>
          <w:lang w:bidi="he-IL"/>
        </w:rPr>
        <w:t>Section I</w:t>
      </w:r>
      <w:r>
        <w:rPr>
          <w:lang w:bidi="he-IL"/>
        </w:rPr>
        <w:t xml:space="preserve"> </w:t>
      </w:r>
      <w:r w:rsidR="00EF5EDF">
        <w:rPr>
          <w:lang w:bidi="he-IL"/>
        </w:rPr>
        <w:t>assesses</w:t>
      </w:r>
      <w:r w:rsidR="00C17EAD">
        <w:rPr>
          <w:lang w:bidi="he-IL"/>
        </w:rPr>
        <w:t xml:space="preserve"> </w:t>
      </w:r>
      <w:r>
        <w:rPr>
          <w:lang w:bidi="he-IL"/>
        </w:rPr>
        <w:t xml:space="preserve">relevant </w:t>
      </w:r>
      <w:r w:rsidRPr="00751C8E">
        <w:rPr>
          <w:i/>
          <w:iCs/>
          <w:lang w:bidi="he-IL"/>
        </w:rPr>
        <w:t>PIPEDA</w:t>
      </w:r>
      <w:r>
        <w:rPr>
          <w:lang w:bidi="he-IL"/>
        </w:rPr>
        <w:t xml:space="preserve"> </w:t>
      </w:r>
      <w:r w:rsidR="00D27BDB">
        <w:rPr>
          <w:lang w:bidi="he-IL"/>
        </w:rPr>
        <w:t>case law</w:t>
      </w:r>
      <w:r>
        <w:rPr>
          <w:lang w:bidi="he-IL"/>
        </w:rPr>
        <w:t>,</w:t>
      </w:r>
      <w:r w:rsidR="00D27BDB">
        <w:rPr>
          <w:lang w:bidi="he-IL"/>
        </w:rPr>
        <w:t xml:space="preserve"> </w:t>
      </w:r>
      <w:r w:rsidR="000400F3">
        <w:rPr>
          <w:lang w:bidi="he-IL"/>
        </w:rPr>
        <w:t>in</w:t>
      </w:r>
      <w:r w:rsidR="00D27BDB">
        <w:rPr>
          <w:lang w:bidi="he-IL"/>
        </w:rPr>
        <w:t>cluding</w:t>
      </w:r>
      <w:r w:rsidR="000400F3">
        <w:rPr>
          <w:lang w:bidi="he-IL"/>
        </w:rPr>
        <w:t xml:space="preserve"> </w:t>
      </w:r>
      <w:r w:rsidR="00892D2E">
        <w:rPr>
          <w:lang w:bidi="he-IL"/>
        </w:rPr>
        <w:t xml:space="preserve">the influential </w:t>
      </w:r>
      <w:r w:rsidR="00D24326">
        <w:rPr>
          <w:lang w:bidi="he-IL"/>
        </w:rPr>
        <w:t>decision</w:t>
      </w:r>
      <w:r w:rsidR="00892D2E">
        <w:rPr>
          <w:lang w:bidi="he-IL"/>
        </w:rPr>
        <w:t xml:space="preserve">s of </w:t>
      </w:r>
      <w:proofErr w:type="spellStart"/>
      <w:r w:rsidR="000400F3">
        <w:rPr>
          <w:i/>
          <w:iCs/>
          <w:lang w:bidi="he-IL"/>
        </w:rPr>
        <w:t>Nammo</w:t>
      </w:r>
      <w:proofErr w:type="spellEnd"/>
      <w:r w:rsidR="000400F3">
        <w:rPr>
          <w:i/>
          <w:iCs/>
          <w:lang w:bidi="he-IL"/>
        </w:rPr>
        <w:t xml:space="preserve"> </w:t>
      </w:r>
      <w:r w:rsidR="000400F3" w:rsidRPr="000400F3">
        <w:rPr>
          <w:lang w:bidi="he-IL"/>
        </w:rPr>
        <w:t>and</w:t>
      </w:r>
      <w:r w:rsidR="000400F3">
        <w:rPr>
          <w:i/>
          <w:iCs/>
          <w:lang w:bidi="he-IL"/>
        </w:rPr>
        <w:t xml:space="preserve"> Randall</w:t>
      </w:r>
      <w:r w:rsidR="00C17EAD">
        <w:rPr>
          <w:i/>
          <w:iCs/>
          <w:lang w:bidi="he-IL"/>
        </w:rPr>
        <w:t>.</w:t>
      </w:r>
      <w:r w:rsidR="000400F3">
        <w:rPr>
          <w:lang w:bidi="he-IL"/>
        </w:rPr>
        <w:t xml:space="preserve"> </w:t>
      </w:r>
      <w:r w:rsidR="004360D8">
        <w:rPr>
          <w:lang w:bidi="he-IL"/>
        </w:rPr>
        <w:t>It</w:t>
      </w:r>
      <w:r>
        <w:rPr>
          <w:lang w:bidi="he-IL"/>
        </w:rPr>
        <w:t xml:space="preserve"> argue</w:t>
      </w:r>
      <w:r w:rsidR="004360D8">
        <w:rPr>
          <w:lang w:bidi="he-IL"/>
        </w:rPr>
        <w:t>s</w:t>
      </w:r>
      <w:r>
        <w:rPr>
          <w:lang w:bidi="he-IL"/>
        </w:rPr>
        <w:t xml:space="preserve"> </w:t>
      </w:r>
      <w:r w:rsidR="00B934B5">
        <w:t xml:space="preserve">that </w:t>
      </w:r>
      <w:r>
        <w:t xml:space="preserve">the chronically </w:t>
      </w:r>
      <w:r w:rsidR="00B934B5">
        <w:t xml:space="preserve">low quanta awarded </w:t>
      </w:r>
      <w:r>
        <w:t xml:space="preserve">under </w:t>
      </w:r>
      <w:r w:rsidRPr="00751C8E">
        <w:rPr>
          <w:i/>
          <w:iCs/>
        </w:rPr>
        <w:t>PIPEDA</w:t>
      </w:r>
      <w:r>
        <w:t xml:space="preserve"> </w:t>
      </w:r>
      <w:r w:rsidR="00892D2E">
        <w:t xml:space="preserve">are </w:t>
      </w:r>
      <w:r w:rsidR="00EF5EDF">
        <w:t xml:space="preserve">troubling </w:t>
      </w:r>
      <w:r w:rsidR="00892D2E">
        <w:t xml:space="preserve">because they </w:t>
      </w:r>
      <w:r w:rsidR="00B934B5">
        <w:t xml:space="preserve">compromise privacy values and interests by discouraging their enforcement. </w:t>
      </w:r>
      <w:r w:rsidR="00540587">
        <w:t>Section</w:t>
      </w:r>
      <w:r w:rsidR="00B934B5">
        <w:t xml:space="preserve"> I</w:t>
      </w:r>
      <w:r w:rsidR="00623007">
        <w:t>I</w:t>
      </w:r>
      <w:r w:rsidR="00B934B5" w:rsidRPr="00A14966">
        <w:rPr>
          <w:b/>
          <w:bCs/>
        </w:rPr>
        <w:t xml:space="preserve"> </w:t>
      </w:r>
      <w:r w:rsidR="00D27BDB">
        <w:t>briefly turns to</w:t>
      </w:r>
      <w:r w:rsidR="00270210">
        <w:t xml:space="preserve"> the </w:t>
      </w:r>
      <w:r w:rsidR="00270210">
        <w:rPr>
          <w:i/>
          <w:iCs/>
        </w:rPr>
        <w:t>Consumer Privacy Protection Act (</w:t>
      </w:r>
      <w:r w:rsidR="00D27BDB" w:rsidRPr="00751C8E">
        <w:rPr>
          <w:i/>
          <w:iCs/>
        </w:rPr>
        <w:t>CPPA</w:t>
      </w:r>
      <w:r w:rsidR="00270210">
        <w:rPr>
          <w:i/>
          <w:iCs/>
        </w:rPr>
        <w:t xml:space="preserve">), </w:t>
      </w:r>
      <w:r w:rsidR="00270210">
        <w:t xml:space="preserve">the proposed successor legislation to PIPEDA and which recently died on the order paper. With an eye to future reform, we </w:t>
      </w:r>
      <w:r w:rsidR="00B934B5">
        <w:t xml:space="preserve">summarize </w:t>
      </w:r>
      <w:r w:rsidR="00270210" w:rsidRPr="00751C8E">
        <w:rPr>
          <w:i/>
          <w:iCs/>
        </w:rPr>
        <w:t>CPPA</w:t>
      </w:r>
      <w:r w:rsidR="00270210">
        <w:t>’s</w:t>
      </w:r>
      <w:r w:rsidR="00B934B5">
        <w:t xml:space="preserve"> </w:t>
      </w:r>
      <w:r w:rsidR="00892D2E">
        <w:t xml:space="preserve">major </w:t>
      </w:r>
      <w:r w:rsidR="00B934B5">
        <w:t>deficiencies in relation to damages</w:t>
      </w:r>
      <w:r w:rsidR="00886D0D">
        <w:t xml:space="preserve">. </w:t>
      </w:r>
      <w:r w:rsidR="00540587">
        <w:t>Section</w:t>
      </w:r>
      <w:r w:rsidR="00886D0D">
        <w:t xml:space="preserve"> </w:t>
      </w:r>
      <w:r w:rsidR="00623007">
        <w:t>III</w:t>
      </w:r>
      <w:r w:rsidR="00D27BDB">
        <w:t xml:space="preserve"> offers </w:t>
      </w:r>
      <w:r w:rsidR="00EF5EDF">
        <w:t xml:space="preserve">the broad conclusion </w:t>
      </w:r>
      <w:r w:rsidR="00D27BDB">
        <w:t xml:space="preserve">that damage claims under </w:t>
      </w:r>
      <w:r w:rsidR="00D27BDB" w:rsidRPr="00751C8E">
        <w:rPr>
          <w:i/>
          <w:iCs/>
        </w:rPr>
        <w:t>PIPEDA</w:t>
      </w:r>
      <w:r w:rsidR="00D27BDB">
        <w:t xml:space="preserve"> face an</w:t>
      </w:r>
      <w:r w:rsidR="00D24326">
        <w:t xml:space="preserve"> </w:t>
      </w:r>
      <w:r w:rsidR="00D27BDB">
        <w:t>existential threat without more robust quant</w:t>
      </w:r>
      <w:r w:rsidR="00270210">
        <w:t xml:space="preserve">a </w:t>
      </w:r>
      <w:r w:rsidR="00892D2E">
        <w:t>going forward</w:t>
      </w:r>
      <w:r w:rsidR="00C17EAD">
        <w:t xml:space="preserve">. </w:t>
      </w:r>
    </w:p>
    <w:p w14:paraId="04B1C8E0" w14:textId="227C8202" w:rsidR="009D1976" w:rsidRPr="009B68E3" w:rsidRDefault="00540587" w:rsidP="00D46F4A">
      <w:pPr>
        <w:jc w:val="center"/>
        <w:rPr>
          <w:b/>
          <w:bCs/>
          <w:lang w:bidi="he-IL"/>
        </w:rPr>
      </w:pPr>
      <w:r>
        <w:rPr>
          <w:b/>
          <w:bCs/>
          <w:lang w:bidi="he-IL"/>
        </w:rPr>
        <w:lastRenderedPageBreak/>
        <w:t xml:space="preserve">Section </w:t>
      </w:r>
      <w:r w:rsidR="009D1976" w:rsidRPr="00EC6BE7">
        <w:rPr>
          <w:b/>
          <w:bCs/>
          <w:lang w:bidi="he-IL"/>
        </w:rPr>
        <w:t xml:space="preserve">I: </w:t>
      </w:r>
      <w:r w:rsidR="003061DB" w:rsidRPr="003061DB">
        <w:rPr>
          <w:b/>
          <w:bCs/>
          <w:i/>
          <w:iCs/>
          <w:lang w:bidi="he-IL"/>
        </w:rPr>
        <w:t>PIPEDA</w:t>
      </w:r>
      <w:r w:rsidR="009B68E3">
        <w:rPr>
          <w:b/>
          <w:bCs/>
          <w:i/>
          <w:iCs/>
          <w:lang w:bidi="he-IL"/>
        </w:rPr>
        <w:t xml:space="preserve"> </w:t>
      </w:r>
      <w:r w:rsidR="009B68E3">
        <w:rPr>
          <w:b/>
          <w:bCs/>
          <w:lang w:bidi="he-IL"/>
        </w:rPr>
        <w:t>Damages</w:t>
      </w:r>
    </w:p>
    <w:p w14:paraId="02A8D2AE" w14:textId="0C6F317B" w:rsidR="00AD5EC9" w:rsidRDefault="00887E4D" w:rsidP="00B95662">
      <w:pPr>
        <w:spacing w:before="100" w:beforeAutospacing="1" w:after="100" w:afterAutospacing="1"/>
        <w:rPr>
          <w:lang w:bidi="he-IL"/>
        </w:rPr>
      </w:pPr>
      <w:r>
        <w:rPr>
          <w:lang w:bidi="he-IL"/>
        </w:rPr>
        <w:t xml:space="preserve">What follows is an assessment and critique of </w:t>
      </w:r>
      <w:r w:rsidR="00AD5EC9">
        <w:rPr>
          <w:lang w:bidi="he-IL"/>
        </w:rPr>
        <w:t xml:space="preserve">the case law in which </w:t>
      </w:r>
      <w:r w:rsidR="00AD5EC9" w:rsidRPr="00A471F2">
        <w:rPr>
          <w:i/>
          <w:iCs/>
          <w:lang w:bidi="he-IL"/>
        </w:rPr>
        <w:t xml:space="preserve">PIPEDA </w:t>
      </w:r>
      <w:r w:rsidR="00AD5EC9">
        <w:rPr>
          <w:lang w:bidi="he-IL"/>
        </w:rPr>
        <w:t>damages were awarded.</w:t>
      </w:r>
      <w:r w:rsidR="002731F0">
        <w:rPr>
          <w:lang w:bidi="he-IL"/>
        </w:rPr>
        <w:t xml:space="preserve"> As a federal statute, </w:t>
      </w:r>
      <w:r w:rsidR="002731F0" w:rsidRPr="002F0BF1">
        <w:rPr>
          <w:i/>
          <w:iCs/>
          <w:lang w:bidi="he-IL"/>
        </w:rPr>
        <w:t>PIPEDA</w:t>
      </w:r>
      <w:r w:rsidR="002F0BF1">
        <w:rPr>
          <w:lang w:bidi="he-IL"/>
        </w:rPr>
        <w:t xml:space="preserve"> – </w:t>
      </w:r>
      <w:r w:rsidR="002731F0">
        <w:rPr>
          <w:lang w:bidi="he-IL"/>
        </w:rPr>
        <w:t>a</w:t>
      </w:r>
      <w:r w:rsidR="00F61281">
        <w:rPr>
          <w:lang w:bidi="he-IL"/>
        </w:rPr>
        <w:t>nd</w:t>
      </w:r>
      <w:r w:rsidR="002731F0">
        <w:rPr>
          <w:lang w:bidi="he-IL"/>
        </w:rPr>
        <w:t xml:space="preserve"> presumably its legislative successor –  is influenced by both common law and civil law principles. The focus of this </w:t>
      </w:r>
      <w:r w:rsidR="00595E8A">
        <w:rPr>
          <w:lang w:bidi="he-IL"/>
        </w:rPr>
        <w:t>s</w:t>
      </w:r>
      <w:r w:rsidR="00B95662">
        <w:rPr>
          <w:lang w:bidi="he-IL"/>
        </w:rPr>
        <w:t>ection</w:t>
      </w:r>
      <w:r w:rsidR="002731F0">
        <w:rPr>
          <w:lang w:bidi="he-IL"/>
        </w:rPr>
        <w:t>, however, is on the common law.</w:t>
      </w:r>
      <w:r w:rsidR="00A471F2">
        <w:rPr>
          <w:lang w:bidi="he-IL"/>
        </w:rPr>
        <w:t xml:space="preserve"> </w:t>
      </w:r>
      <w:r w:rsidR="00AD5EC9">
        <w:rPr>
          <w:lang w:bidi="he-IL"/>
        </w:rPr>
        <w:t xml:space="preserve"> </w:t>
      </w:r>
    </w:p>
    <w:p w14:paraId="2D449A53" w14:textId="550AFAE3" w:rsidR="00F657A9" w:rsidRDefault="007554E8" w:rsidP="00EE3451">
      <w:pPr>
        <w:spacing w:before="100" w:beforeAutospacing="1" w:after="100" w:afterAutospacing="1"/>
        <w:ind w:firstLine="720"/>
      </w:pPr>
      <w:r>
        <w:rPr>
          <w:lang w:bidi="he-IL"/>
        </w:rPr>
        <w:t xml:space="preserve">As noted, </w:t>
      </w:r>
      <w:r w:rsidR="002C23F1">
        <w:rPr>
          <w:lang w:bidi="he-IL"/>
        </w:rPr>
        <w:t>section</w:t>
      </w:r>
      <w:r>
        <w:rPr>
          <w:lang w:bidi="he-IL"/>
        </w:rPr>
        <w:t xml:space="preserve"> 16(c) </w:t>
      </w:r>
      <w:r w:rsidR="00330F62">
        <w:rPr>
          <w:lang w:bidi="he-IL"/>
        </w:rPr>
        <w:t xml:space="preserve">of </w:t>
      </w:r>
      <w:r w:rsidR="003061DB" w:rsidRPr="003061DB">
        <w:rPr>
          <w:i/>
          <w:iCs/>
          <w:lang w:bidi="he-IL"/>
        </w:rPr>
        <w:t>PIPEDA</w:t>
      </w:r>
      <w:r w:rsidR="00330F62">
        <w:rPr>
          <w:lang w:bidi="he-IL"/>
        </w:rPr>
        <w:t xml:space="preserve"> </w:t>
      </w:r>
      <w:r>
        <w:rPr>
          <w:lang w:bidi="he-IL"/>
        </w:rPr>
        <w:t>gives the court jurisdiction to “</w:t>
      </w:r>
      <w:r w:rsidR="003061DB" w:rsidRPr="003061DB">
        <w:t>award</w:t>
      </w:r>
      <w:r>
        <w:t xml:space="preserve"> damages to the complainant, including damages for any humiliation that the complainant has suffered.”</w:t>
      </w:r>
      <w:r>
        <w:rPr>
          <w:lang w:bidi="he-IL"/>
        </w:rPr>
        <w:t xml:space="preserve"> </w:t>
      </w:r>
      <w:r w:rsidR="00CB4358">
        <w:rPr>
          <w:lang w:bidi="he-IL"/>
        </w:rPr>
        <w:t xml:space="preserve">Appendix A </w:t>
      </w:r>
      <w:r w:rsidR="004360D8">
        <w:rPr>
          <w:lang w:bidi="he-IL"/>
        </w:rPr>
        <w:t>(</w:t>
      </w:r>
      <w:r w:rsidR="004360D8">
        <w:rPr>
          <w:i/>
          <w:iCs/>
          <w:lang w:bidi="he-IL"/>
        </w:rPr>
        <w:t xml:space="preserve">infra) </w:t>
      </w:r>
      <w:r w:rsidR="00CB4358">
        <w:rPr>
          <w:lang w:bidi="he-IL"/>
        </w:rPr>
        <w:t xml:space="preserve">contains a chart summarizing successful </w:t>
      </w:r>
      <w:r w:rsidR="002C23F1">
        <w:rPr>
          <w:lang w:bidi="he-IL"/>
        </w:rPr>
        <w:t>section</w:t>
      </w:r>
      <w:r w:rsidR="00474F8E">
        <w:rPr>
          <w:lang w:bidi="he-IL"/>
        </w:rPr>
        <w:t xml:space="preserve"> 16 </w:t>
      </w:r>
      <w:r w:rsidR="000B0A60">
        <w:rPr>
          <w:lang w:bidi="he-IL"/>
        </w:rPr>
        <w:t xml:space="preserve">damage </w:t>
      </w:r>
      <w:r w:rsidR="00CB4358">
        <w:rPr>
          <w:lang w:bidi="he-IL"/>
        </w:rPr>
        <w:t xml:space="preserve">claims </w:t>
      </w:r>
      <w:r w:rsidR="00474F8E">
        <w:rPr>
          <w:lang w:bidi="he-IL"/>
        </w:rPr>
        <w:t xml:space="preserve">pursued </w:t>
      </w:r>
      <w:r w:rsidR="004C4B8A">
        <w:rPr>
          <w:lang w:bidi="he-IL"/>
        </w:rPr>
        <w:t xml:space="preserve">in a commercial context </w:t>
      </w:r>
      <w:r w:rsidR="00CB4358">
        <w:rPr>
          <w:lang w:bidi="he-IL"/>
        </w:rPr>
        <w:t>while Appendix B summarizes unsuccessful claims.</w:t>
      </w:r>
      <w:r w:rsidR="00346651">
        <w:rPr>
          <w:lang w:bidi="he-IL"/>
        </w:rPr>
        <w:t xml:space="preserve"> The charts show that</w:t>
      </w:r>
      <w:r w:rsidR="005E3CA2">
        <w:rPr>
          <w:lang w:bidi="he-IL"/>
        </w:rPr>
        <w:t xml:space="preserve"> in the twenty years that have passed since </w:t>
      </w:r>
      <w:r w:rsidR="005E3CA2">
        <w:rPr>
          <w:i/>
          <w:iCs/>
          <w:lang w:bidi="he-IL"/>
        </w:rPr>
        <w:t>PIPEDA</w:t>
      </w:r>
      <w:r w:rsidR="005E3CA2">
        <w:t xml:space="preserve"> took effect in 2001, and up to</w:t>
      </w:r>
      <w:r w:rsidR="00F61281">
        <w:t xml:space="preserve"> May</w:t>
      </w:r>
      <w:r w:rsidR="005E3CA2">
        <w:t xml:space="preserve"> 2021,</w:t>
      </w:r>
      <w:r w:rsidR="00346651">
        <w:rPr>
          <w:lang w:bidi="he-IL"/>
        </w:rPr>
        <w:t xml:space="preserve"> there have been 24 cases brought to court, with 10 resulting in a damage </w:t>
      </w:r>
      <w:r w:rsidR="003061DB" w:rsidRPr="003061DB">
        <w:rPr>
          <w:lang w:bidi="he-IL"/>
        </w:rPr>
        <w:t>award</w:t>
      </w:r>
      <w:r w:rsidR="00346651">
        <w:rPr>
          <w:lang w:bidi="he-IL"/>
        </w:rPr>
        <w:t xml:space="preserve">. The average </w:t>
      </w:r>
      <w:r w:rsidR="003061DB" w:rsidRPr="003061DB">
        <w:rPr>
          <w:lang w:bidi="he-IL"/>
        </w:rPr>
        <w:t>award</w:t>
      </w:r>
      <w:r w:rsidR="00346651">
        <w:rPr>
          <w:lang w:bidi="he-IL"/>
        </w:rPr>
        <w:t xml:space="preserve"> </w:t>
      </w:r>
      <w:r w:rsidR="00291290">
        <w:rPr>
          <w:lang w:bidi="he-IL"/>
        </w:rPr>
        <w:t xml:space="preserve">in those 10 cases was </w:t>
      </w:r>
      <w:r w:rsidR="00346651">
        <w:rPr>
          <w:lang w:bidi="he-IL"/>
        </w:rPr>
        <w:t xml:space="preserve">approximately $5,000. </w:t>
      </w:r>
      <w:r w:rsidR="00CA28DE">
        <w:rPr>
          <w:lang w:bidi="he-IL"/>
        </w:rPr>
        <w:t>I</w:t>
      </w:r>
      <w:r w:rsidR="00F657A9">
        <w:rPr>
          <w:lang w:bidi="he-IL"/>
        </w:rPr>
        <w:t xml:space="preserve">f the outlier quantum in </w:t>
      </w:r>
      <w:proofErr w:type="spellStart"/>
      <w:r w:rsidR="00F657A9" w:rsidRPr="00B14A9D">
        <w:rPr>
          <w:i/>
          <w:iCs/>
          <w:lang w:bidi="he-IL"/>
        </w:rPr>
        <w:t>Chitrakar</w:t>
      </w:r>
      <w:proofErr w:type="spellEnd"/>
      <w:r w:rsidR="00F657A9">
        <w:rPr>
          <w:lang w:bidi="he-IL"/>
        </w:rPr>
        <w:t xml:space="preserve"> is removed, the average </w:t>
      </w:r>
      <w:r w:rsidR="003061DB" w:rsidRPr="003061DB">
        <w:rPr>
          <w:lang w:bidi="he-IL"/>
        </w:rPr>
        <w:t>award</w:t>
      </w:r>
      <w:r w:rsidR="00F657A9">
        <w:rPr>
          <w:lang w:bidi="he-IL"/>
        </w:rPr>
        <w:t xml:space="preserve"> falls to approximately $3,000.</w:t>
      </w:r>
      <w:bookmarkStart w:id="1" w:name="_Ref82551028"/>
      <w:r w:rsidR="00F657A9">
        <w:rPr>
          <w:rStyle w:val="FootnoteReference"/>
          <w:lang w:bidi="he-IL"/>
        </w:rPr>
        <w:footnoteReference w:id="4"/>
      </w:r>
      <w:bookmarkEnd w:id="1"/>
      <w:r w:rsidR="00F657A9">
        <w:rPr>
          <w:lang w:bidi="he-IL"/>
        </w:rPr>
        <w:t xml:space="preserve"> </w:t>
      </w:r>
      <w:r w:rsidR="00DF6E64">
        <w:rPr>
          <w:lang w:bidi="he-IL"/>
        </w:rPr>
        <w:t>I</w:t>
      </w:r>
      <w:r w:rsidR="00F657A9">
        <w:rPr>
          <w:lang w:bidi="he-IL"/>
        </w:rPr>
        <w:t>t</w:t>
      </w:r>
      <w:r w:rsidR="00DF6E64">
        <w:rPr>
          <w:lang w:bidi="he-IL"/>
        </w:rPr>
        <w:t xml:space="preserve"> </w:t>
      </w:r>
      <w:r w:rsidR="00F657A9">
        <w:rPr>
          <w:lang w:bidi="he-IL"/>
        </w:rPr>
        <w:t xml:space="preserve">seems reasonable to observe that </w:t>
      </w:r>
      <w:r w:rsidR="00431F9C">
        <w:rPr>
          <w:lang w:bidi="he-IL"/>
        </w:rPr>
        <w:t xml:space="preserve">both </w:t>
      </w:r>
      <w:r w:rsidR="00F657A9">
        <w:rPr>
          <w:lang w:bidi="he-IL"/>
        </w:rPr>
        <w:t>the</w:t>
      </w:r>
      <w:r w:rsidR="00B57247">
        <w:rPr>
          <w:lang w:bidi="he-IL"/>
        </w:rPr>
        <w:t xml:space="preserve"> </w:t>
      </w:r>
      <w:r w:rsidR="00F657A9">
        <w:rPr>
          <w:lang w:bidi="he-IL"/>
        </w:rPr>
        <w:t xml:space="preserve">number </w:t>
      </w:r>
      <w:r w:rsidR="00116B0A">
        <w:rPr>
          <w:lang w:bidi="he-IL"/>
        </w:rPr>
        <w:t xml:space="preserve">of </w:t>
      </w:r>
      <w:r w:rsidR="00116B0A" w:rsidRPr="00825473">
        <w:rPr>
          <w:i/>
          <w:iCs/>
          <w:lang w:bidi="he-IL"/>
        </w:rPr>
        <w:t>PIPEDA</w:t>
      </w:r>
      <w:r w:rsidR="00116B0A">
        <w:rPr>
          <w:lang w:bidi="he-IL"/>
        </w:rPr>
        <w:t xml:space="preserve"> cases</w:t>
      </w:r>
      <w:r w:rsidR="0091608C">
        <w:rPr>
          <w:lang w:bidi="he-IL"/>
        </w:rPr>
        <w:t xml:space="preserve"> and </w:t>
      </w:r>
      <w:r w:rsidR="003061DB" w:rsidRPr="003061DB">
        <w:rPr>
          <w:lang w:bidi="he-IL"/>
        </w:rPr>
        <w:t>award</w:t>
      </w:r>
      <w:r w:rsidR="0091608C">
        <w:rPr>
          <w:lang w:bidi="he-IL"/>
        </w:rPr>
        <w:t xml:space="preserve">ed quantum </w:t>
      </w:r>
      <w:r w:rsidR="00EE3451">
        <w:rPr>
          <w:lang w:bidi="he-IL"/>
        </w:rPr>
        <w:t>are</w:t>
      </w:r>
      <w:r w:rsidR="00F657A9">
        <w:rPr>
          <w:lang w:bidi="he-IL"/>
        </w:rPr>
        <w:t xml:space="preserve"> low</w:t>
      </w:r>
      <w:r w:rsidR="00431F9C">
        <w:rPr>
          <w:lang w:bidi="he-IL"/>
        </w:rPr>
        <w:t xml:space="preserve">. Likely these matters are intertwined. </w:t>
      </w:r>
      <w:r w:rsidR="00B57247">
        <w:rPr>
          <w:lang w:bidi="he-IL"/>
        </w:rPr>
        <w:t xml:space="preserve">Put another way, </w:t>
      </w:r>
      <w:r w:rsidR="00F657A9">
        <w:rPr>
          <w:lang w:bidi="he-IL"/>
        </w:rPr>
        <w:t xml:space="preserve">chronically low damage </w:t>
      </w:r>
      <w:r w:rsidR="003061DB" w:rsidRPr="003061DB">
        <w:rPr>
          <w:lang w:bidi="he-IL"/>
        </w:rPr>
        <w:t>awards</w:t>
      </w:r>
      <w:r w:rsidR="00184324" w:rsidRPr="00B11899">
        <w:t xml:space="preserve"> </w:t>
      </w:r>
      <w:r w:rsidR="00184324">
        <w:t xml:space="preserve">– </w:t>
      </w:r>
      <w:r w:rsidR="00431F9C">
        <w:rPr>
          <w:lang w:bidi="he-IL"/>
        </w:rPr>
        <w:t>at le</w:t>
      </w:r>
      <w:r w:rsidR="007A4601">
        <w:rPr>
          <w:lang w:bidi="he-IL"/>
        </w:rPr>
        <w:t>a</w:t>
      </w:r>
      <w:r w:rsidR="00431F9C">
        <w:rPr>
          <w:lang w:bidi="he-IL"/>
        </w:rPr>
        <w:t>st in part</w:t>
      </w:r>
      <w:r w:rsidR="00184324" w:rsidRPr="00B11899">
        <w:t xml:space="preserve"> </w:t>
      </w:r>
      <w:r w:rsidR="00184324">
        <w:t xml:space="preserve">– </w:t>
      </w:r>
      <w:r w:rsidR="00F657A9">
        <w:rPr>
          <w:lang w:bidi="he-IL"/>
        </w:rPr>
        <w:t>are dampening the pursuit of otherwise meritorious litigation.</w:t>
      </w:r>
    </w:p>
    <w:p w14:paraId="15A650D2" w14:textId="2DE1AE0E" w:rsidR="00A50334" w:rsidRPr="000A55EC" w:rsidRDefault="00D33107" w:rsidP="00B05BE7">
      <w:pPr>
        <w:spacing w:before="100" w:beforeAutospacing="1" w:after="100" w:afterAutospacing="1"/>
        <w:ind w:firstLine="720"/>
        <w:rPr>
          <w:lang w:bidi="he-IL"/>
        </w:rPr>
      </w:pPr>
      <w:r>
        <w:rPr>
          <w:lang w:bidi="he-IL"/>
        </w:rPr>
        <w:t xml:space="preserve">This </w:t>
      </w:r>
      <w:r w:rsidR="002775FE">
        <w:rPr>
          <w:lang w:bidi="he-IL"/>
        </w:rPr>
        <w:t xml:space="preserve">following </w:t>
      </w:r>
      <w:r w:rsidR="00887E4D">
        <w:rPr>
          <w:lang w:bidi="he-IL"/>
        </w:rPr>
        <w:t xml:space="preserve">analysis </w:t>
      </w:r>
      <w:r w:rsidR="009D3436">
        <w:rPr>
          <w:lang w:bidi="he-IL"/>
        </w:rPr>
        <w:t>chooses</w:t>
      </w:r>
      <w:r w:rsidR="00AB0B52">
        <w:rPr>
          <w:lang w:bidi="he-IL"/>
        </w:rPr>
        <w:t xml:space="preserve"> </w:t>
      </w:r>
      <w:r w:rsidR="00024FCB">
        <w:rPr>
          <w:lang w:bidi="he-IL"/>
        </w:rPr>
        <w:t xml:space="preserve">several </w:t>
      </w:r>
      <w:r>
        <w:rPr>
          <w:lang w:bidi="he-IL"/>
        </w:rPr>
        <w:t xml:space="preserve">of the more influential cases </w:t>
      </w:r>
      <w:r w:rsidR="00787F5D">
        <w:rPr>
          <w:lang w:bidi="he-IL"/>
        </w:rPr>
        <w:t xml:space="preserve">from Appendix A </w:t>
      </w:r>
      <w:r>
        <w:rPr>
          <w:lang w:bidi="he-IL"/>
        </w:rPr>
        <w:t>for review</w:t>
      </w:r>
      <w:r w:rsidR="00D10912">
        <w:rPr>
          <w:lang w:bidi="he-IL"/>
        </w:rPr>
        <w:t>.</w:t>
      </w:r>
      <w:r w:rsidR="00116B0A">
        <w:rPr>
          <w:lang w:bidi="he-IL"/>
        </w:rPr>
        <w:t xml:space="preserve"> </w:t>
      </w:r>
      <w:r w:rsidR="00B05BE7">
        <w:rPr>
          <w:color w:val="222222"/>
          <w:shd w:val="clear" w:color="auto" w:fill="FFFFFF"/>
        </w:rPr>
        <w:t>Based on this case law, this Section examines how courts could legitimately and appropriately increase damage awards to better fulfil the legislative objects of PIPEDA. They would better accord with a functional approach to</w:t>
      </w:r>
      <w:r w:rsidR="0011110E">
        <w:rPr>
          <w:lang w:bidi="he-IL"/>
        </w:rPr>
        <w:t xml:space="preserve"> monetary damages described in </w:t>
      </w:r>
      <w:r w:rsidR="00540587">
        <w:rPr>
          <w:lang w:bidi="he-IL"/>
        </w:rPr>
        <w:t xml:space="preserve">Part </w:t>
      </w:r>
      <w:r w:rsidR="004360D8">
        <w:rPr>
          <w:lang w:bidi="he-IL"/>
        </w:rPr>
        <w:t xml:space="preserve">One of this article </w:t>
      </w:r>
      <w:r w:rsidR="004360D8" w:rsidRPr="0045438C">
        <w:rPr>
          <w:lang w:bidi="he-IL"/>
        </w:rPr>
        <w:t xml:space="preserve">published in </w:t>
      </w:r>
      <w:r w:rsidR="0045438C">
        <w:rPr>
          <w:color w:val="222222"/>
          <w:shd w:val="clear" w:color="auto" w:fill="FFFFFF"/>
        </w:rPr>
        <w:t xml:space="preserve">52 </w:t>
      </w:r>
      <w:proofErr w:type="spellStart"/>
      <w:r w:rsidR="0045438C">
        <w:rPr>
          <w:color w:val="222222"/>
          <w:shd w:val="clear" w:color="auto" w:fill="FFFFFF"/>
        </w:rPr>
        <w:t>Adv</w:t>
      </w:r>
      <w:proofErr w:type="spellEnd"/>
      <w:r w:rsidR="0045438C">
        <w:rPr>
          <w:color w:val="222222"/>
          <w:shd w:val="clear" w:color="auto" w:fill="FFFFFF"/>
        </w:rPr>
        <w:t xml:space="preserve"> Q 427 (2022).</w:t>
      </w:r>
      <w:r w:rsidR="000A55EC" w:rsidRPr="000A55EC">
        <w:rPr>
          <w:rStyle w:val="FootnoteReference"/>
          <w:lang w:bidi="he-IL"/>
        </w:rPr>
        <w:footnoteReference w:id="5"/>
      </w:r>
      <w:r w:rsidR="00611824">
        <w:rPr>
          <w:i/>
          <w:iCs/>
          <w:lang w:bidi="he-IL"/>
        </w:rPr>
        <w:t xml:space="preserve"> </w:t>
      </w:r>
    </w:p>
    <w:p w14:paraId="3E68C4FC" w14:textId="2F253EBE" w:rsidR="00A20144" w:rsidRPr="00A20144" w:rsidRDefault="00F93D25" w:rsidP="00A97F99">
      <w:pPr>
        <w:pStyle w:val="ListParagraph"/>
        <w:numPr>
          <w:ilvl w:val="0"/>
          <w:numId w:val="19"/>
        </w:numPr>
      </w:pPr>
      <w:r w:rsidRPr="00A97F99">
        <w:rPr>
          <w:b/>
          <w:bCs/>
          <w:lang w:bidi="he-IL"/>
        </w:rPr>
        <w:t xml:space="preserve">The Damages Framework </w:t>
      </w:r>
    </w:p>
    <w:p w14:paraId="3C03841D" w14:textId="5C951D5F" w:rsidR="00BF66F4" w:rsidRDefault="00291290" w:rsidP="0079030E">
      <w:proofErr w:type="spellStart"/>
      <w:r w:rsidRPr="00A20144">
        <w:rPr>
          <w:i/>
          <w:iCs/>
          <w:lang w:bidi="he-IL"/>
        </w:rPr>
        <w:t>Nammo</w:t>
      </w:r>
      <w:proofErr w:type="spellEnd"/>
      <w:r w:rsidR="00F01A9A">
        <w:rPr>
          <w:lang w:bidi="he-IL"/>
        </w:rPr>
        <w:t>,</w:t>
      </w:r>
      <w:r w:rsidR="008556D8">
        <w:rPr>
          <w:lang w:bidi="he-IL"/>
        </w:rPr>
        <w:t xml:space="preserve"> a 2010 decision of the Federal Court of Canada</w:t>
      </w:r>
      <w:bookmarkStart w:id="2" w:name="_Ref82597430"/>
      <w:r w:rsidR="00116B0A">
        <w:rPr>
          <w:rStyle w:val="FootnoteReference"/>
          <w:lang w:bidi="he-IL"/>
        </w:rPr>
        <w:footnoteReference w:id="6"/>
      </w:r>
      <w:bookmarkEnd w:id="2"/>
      <w:r w:rsidR="00102A5A">
        <w:rPr>
          <w:lang w:bidi="he-IL"/>
        </w:rPr>
        <w:t xml:space="preserve"> </w:t>
      </w:r>
      <w:r w:rsidR="00F01A9A">
        <w:rPr>
          <w:lang w:bidi="he-IL"/>
        </w:rPr>
        <w:t xml:space="preserve">referred to </w:t>
      </w:r>
      <w:r w:rsidR="00D10912">
        <w:rPr>
          <w:lang w:bidi="he-IL"/>
        </w:rPr>
        <w:t xml:space="preserve">throughout </w:t>
      </w:r>
      <w:r w:rsidR="009D3436">
        <w:rPr>
          <w:lang w:bidi="he-IL"/>
        </w:rPr>
        <w:t>Part</w:t>
      </w:r>
      <w:r w:rsidR="00887E4D">
        <w:rPr>
          <w:lang w:bidi="he-IL"/>
        </w:rPr>
        <w:t xml:space="preserve"> One of this article, </w:t>
      </w:r>
      <w:r w:rsidR="00F01A9A">
        <w:rPr>
          <w:lang w:bidi="he-IL"/>
        </w:rPr>
        <w:t xml:space="preserve">is </w:t>
      </w:r>
      <w:r w:rsidR="003B3121">
        <w:rPr>
          <w:lang w:bidi="he-IL"/>
        </w:rPr>
        <w:t xml:space="preserve">significant for actively </w:t>
      </w:r>
      <w:r w:rsidR="00F01A9A">
        <w:rPr>
          <w:lang w:bidi="he-IL"/>
        </w:rPr>
        <w:t>engag</w:t>
      </w:r>
      <w:r w:rsidR="003B3121">
        <w:rPr>
          <w:lang w:bidi="he-IL"/>
        </w:rPr>
        <w:t>ing</w:t>
      </w:r>
      <w:r w:rsidR="00F01A9A">
        <w:rPr>
          <w:lang w:bidi="he-IL"/>
        </w:rPr>
        <w:t xml:space="preserve"> the</w:t>
      </w:r>
      <w:r w:rsidR="003B3121">
        <w:rPr>
          <w:lang w:bidi="he-IL"/>
        </w:rPr>
        <w:t xml:space="preserve"> </w:t>
      </w:r>
      <w:r w:rsidR="004E4A00">
        <w:rPr>
          <w:lang w:bidi="he-IL"/>
        </w:rPr>
        <w:t>quasi-</w:t>
      </w:r>
      <w:r w:rsidR="003B3121">
        <w:rPr>
          <w:lang w:bidi="he-IL"/>
        </w:rPr>
        <w:t xml:space="preserve">constitutional </w:t>
      </w:r>
      <w:r w:rsidR="004E4A00">
        <w:rPr>
          <w:lang w:bidi="he-IL"/>
        </w:rPr>
        <w:t>status</w:t>
      </w:r>
      <w:r w:rsidR="003B3121">
        <w:rPr>
          <w:lang w:bidi="he-IL"/>
        </w:rPr>
        <w:t xml:space="preserve"> of </w:t>
      </w:r>
      <w:r w:rsidR="003061DB" w:rsidRPr="003061DB">
        <w:rPr>
          <w:i/>
          <w:iCs/>
          <w:lang w:bidi="he-IL"/>
        </w:rPr>
        <w:t>PIPEDA</w:t>
      </w:r>
      <w:r w:rsidR="00001634">
        <w:rPr>
          <w:lang w:bidi="he-IL"/>
        </w:rPr>
        <w:t xml:space="preserve"> and offering a cogent framework for the </w:t>
      </w:r>
      <w:r w:rsidR="003061DB" w:rsidRPr="003061DB">
        <w:rPr>
          <w:lang w:bidi="he-IL"/>
        </w:rPr>
        <w:t>award</w:t>
      </w:r>
      <w:r w:rsidR="00001634">
        <w:rPr>
          <w:lang w:bidi="he-IL"/>
        </w:rPr>
        <w:t xml:space="preserve"> of damages.</w:t>
      </w:r>
      <w:r w:rsidR="003B3121">
        <w:rPr>
          <w:lang w:bidi="he-IL"/>
        </w:rPr>
        <w:t xml:space="preserve"> </w:t>
      </w:r>
      <w:r w:rsidR="00452DB8">
        <w:rPr>
          <w:lang w:bidi="he-IL"/>
        </w:rPr>
        <w:t xml:space="preserve">It has </w:t>
      </w:r>
      <w:r w:rsidR="00BF66F4">
        <w:rPr>
          <w:lang w:bidi="he-IL"/>
        </w:rPr>
        <w:t xml:space="preserve">also </w:t>
      </w:r>
      <w:r w:rsidR="00452DB8">
        <w:rPr>
          <w:lang w:bidi="he-IL"/>
        </w:rPr>
        <w:t xml:space="preserve">been </w:t>
      </w:r>
      <w:r w:rsidR="00BF66F4">
        <w:rPr>
          <w:lang w:bidi="he-IL"/>
        </w:rPr>
        <w:t xml:space="preserve">justifiably </w:t>
      </w:r>
      <w:r w:rsidR="00452DB8">
        <w:rPr>
          <w:lang w:bidi="he-IL"/>
        </w:rPr>
        <w:t>described by subsequent court</w:t>
      </w:r>
      <w:r w:rsidR="00BF66F4">
        <w:rPr>
          <w:lang w:bidi="he-IL"/>
        </w:rPr>
        <w:t>s</w:t>
      </w:r>
      <w:r w:rsidR="00452DB8">
        <w:rPr>
          <w:lang w:bidi="he-IL"/>
        </w:rPr>
        <w:t xml:space="preserve"> as “</w:t>
      </w:r>
      <w:r w:rsidR="00452DB8">
        <w:t>[o]ne of the most comprehensive reviews”</w:t>
      </w:r>
      <w:r w:rsidR="00BF66F4">
        <w:t xml:space="preserve"> </w:t>
      </w:r>
      <w:r w:rsidR="00BF66F4">
        <w:lastRenderedPageBreak/>
        <w:t xml:space="preserve">of </w:t>
      </w:r>
      <w:r w:rsidR="003061DB" w:rsidRPr="003061DB">
        <w:rPr>
          <w:i/>
          <w:iCs/>
        </w:rPr>
        <w:t>PIPEDA</w:t>
      </w:r>
      <w:r w:rsidR="00BF66F4">
        <w:t xml:space="preserve"> and one that provide</w:t>
      </w:r>
      <w:r w:rsidR="00CA443D">
        <w:t>s</w:t>
      </w:r>
      <w:r w:rsidR="00BF66F4">
        <w:t xml:space="preserve"> “helpful guidelines” </w:t>
      </w:r>
      <w:r w:rsidR="00CA443D">
        <w:t>in damage assessment process.</w:t>
      </w:r>
      <w:r w:rsidR="00BF66F4">
        <w:rPr>
          <w:rStyle w:val="FootnoteReference"/>
        </w:rPr>
        <w:footnoteReference w:id="7"/>
      </w:r>
      <w:r w:rsidR="00BF66F4">
        <w:t xml:space="preserve"> </w:t>
      </w:r>
      <w:proofErr w:type="spellStart"/>
      <w:r w:rsidR="00310479" w:rsidRPr="00310479">
        <w:rPr>
          <w:i/>
          <w:iCs/>
        </w:rPr>
        <w:t>Nammo</w:t>
      </w:r>
      <w:proofErr w:type="spellEnd"/>
      <w:r w:rsidR="00310479">
        <w:t xml:space="preserve"> forms the centre-piece of privacy law under </w:t>
      </w:r>
      <w:r w:rsidR="003061DB" w:rsidRPr="003061DB">
        <w:rPr>
          <w:i/>
          <w:iCs/>
        </w:rPr>
        <w:t>PIPEDA</w:t>
      </w:r>
      <w:r w:rsidR="00310479">
        <w:t>.</w:t>
      </w:r>
      <w:r w:rsidR="0090480D">
        <w:t xml:space="preserve">  </w:t>
      </w:r>
    </w:p>
    <w:p w14:paraId="3DCE90F2" w14:textId="166D629F" w:rsidR="00001634" w:rsidRDefault="003B3121" w:rsidP="008A30A9">
      <w:pPr>
        <w:ind w:firstLine="720"/>
        <w:rPr>
          <w:lang w:bidi="he-IL"/>
        </w:rPr>
      </w:pPr>
      <w:r>
        <w:rPr>
          <w:lang w:bidi="he-IL"/>
        </w:rPr>
        <w:t xml:space="preserve">At issue in </w:t>
      </w:r>
      <w:proofErr w:type="spellStart"/>
      <w:r w:rsidR="00291290" w:rsidRPr="00291290">
        <w:rPr>
          <w:i/>
          <w:iCs/>
          <w:lang w:bidi="he-IL"/>
        </w:rPr>
        <w:t>Nammo</w:t>
      </w:r>
      <w:proofErr w:type="spellEnd"/>
      <w:r>
        <w:rPr>
          <w:lang w:bidi="he-IL"/>
        </w:rPr>
        <w:t xml:space="preserve"> was the applicant’s failure to secure a business loan from </w:t>
      </w:r>
      <w:r w:rsidR="00937A5E">
        <w:rPr>
          <w:lang w:bidi="he-IL"/>
        </w:rPr>
        <w:t>the Royal Bank of Canada</w:t>
      </w:r>
      <w:r w:rsidR="008556D8">
        <w:rPr>
          <w:lang w:bidi="he-IL"/>
        </w:rPr>
        <w:t xml:space="preserve"> </w:t>
      </w:r>
      <w:r>
        <w:rPr>
          <w:lang w:bidi="he-IL"/>
        </w:rPr>
        <w:t>due to a negative and false credit report provided by the respondent, TransUnion of Canada Inc</w:t>
      </w:r>
      <w:r w:rsidR="00431F9C">
        <w:rPr>
          <w:lang w:bidi="he-IL"/>
        </w:rPr>
        <w:t>.</w:t>
      </w:r>
      <w:r w:rsidR="00001634">
        <w:rPr>
          <w:rStyle w:val="FootnoteReference"/>
          <w:lang w:bidi="he-IL"/>
        </w:rPr>
        <w:footnoteReference w:id="8"/>
      </w:r>
      <w:r w:rsidR="005065CC">
        <w:rPr>
          <w:lang w:bidi="he-IL"/>
        </w:rPr>
        <w:t xml:space="preserve"> </w:t>
      </w:r>
      <w:r>
        <w:rPr>
          <w:lang w:bidi="he-IL"/>
        </w:rPr>
        <w:t xml:space="preserve">This failure ended </w:t>
      </w:r>
      <w:r w:rsidR="00291290">
        <w:rPr>
          <w:lang w:bidi="he-IL"/>
        </w:rPr>
        <w:t xml:space="preserve">Mr. </w:t>
      </w:r>
      <w:proofErr w:type="spellStart"/>
      <w:r w:rsidR="00291290">
        <w:rPr>
          <w:lang w:bidi="he-IL"/>
        </w:rPr>
        <w:t>Nammo’s</w:t>
      </w:r>
      <w:proofErr w:type="spellEnd"/>
      <w:r>
        <w:rPr>
          <w:lang w:bidi="he-IL"/>
        </w:rPr>
        <w:t xml:space="preserve"> business opportunity to become a 50% partner in a proposed trucking business in “exchange for using</w:t>
      </w:r>
      <w:r w:rsidR="008556D8">
        <w:rPr>
          <w:lang w:bidi="he-IL"/>
        </w:rPr>
        <w:t xml:space="preserve"> </w:t>
      </w:r>
      <w:r>
        <w:rPr>
          <w:lang w:bidi="he-IL"/>
        </w:rPr>
        <w:t>his name, financial history, and expertise to secure the necessary business loan</w:t>
      </w:r>
      <w:r w:rsidR="00532C7E">
        <w:rPr>
          <w:lang w:bidi="he-IL"/>
        </w:rPr>
        <w:t>.</w:t>
      </w:r>
      <w:r>
        <w:rPr>
          <w:lang w:bidi="he-IL"/>
        </w:rPr>
        <w:t>”</w:t>
      </w:r>
      <w:r w:rsidR="00001634">
        <w:rPr>
          <w:rStyle w:val="FootnoteReference"/>
          <w:lang w:bidi="he-IL"/>
        </w:rPr>
        <w:footnoteReference w:id="9"/>
      </w:r>
      <w:r w:rsidR="00787F5D">
        <w:rPr>
          <w:lang w:bidi="he-IL"/>
        </w:rPr>
        <w:t xml:space="preserve"> </w:t>
      </w:r>
      <w:r w:rsidR="008556D8">
        <w:rPr>
          <w:lang w:bidi="he-IL"/>
        </w:rPr>
        <w:t xml:space="preserve">The court ruled that the respondent had breached </w:t>
      </w:r>
      <w:r w:rsidR="003061DB" w:rsidRPr="003061DB">
        <w:rPr>
          <w:i/>
          <w:iCs/>
          <w:lang w:bidi="he-IL"/>
        </w:rPr>
        <w:t>PIPEDA</w:t>
      </w:r>
      <w:r w:rsidR="008556D8">
        <w:rPr>
          <w:lang w:bidi="he-IL"/>
        </w:rPr>
        <w:t xml:space="preserve"> by supplying false credit information,</w:t>
      </w:r>
      <w:r w:rsidR="00001634">
        <w:rPr>
          <w:rStyle w:val="FootnoteReference"/>
          <w:lang w:bidi="he-IL"/>
        </w:rPr>
        <w:footnoteReference w:id="10"/>
      </w:r>
      <w:r w:rsidR="00001634">
        <w:rPr>
          <w:lang w:bidi="he-IL"/>
        </w:rPr>
        <w:t xml:space="preserve"> </w:t>
      </w:r>
      <w:r w:rsidR="008556D8">
        <w:rPr>
          <w:lang w:bidi="he-IL"/>
        </w:rPr>
        <w:t>and for failing to correct the record appropriately.</w:t>
      </w:r>
      <w:r w:rsidR="00001634">
        <w:rPr>
          <w:rStyle w:val="FootnoteReference"/>
          <w:lang w:bidi="he-IL"/>
        </w:rPr>
        <w:footnoteReference w:id="11"/>
      </w:r>
      <w:r w:rsidR="008556D8">
        <w:rPr>
          <w:lang w:bidi="he-IL"/>
        </w:rPr>
        <w:t xml:space="preserve"> It also observed that Tran</w:t>
      </w:r>
      <w:r w:rsidR="00937A5E">
        <w:rPr>
          <w:lang w:bidi="he-IL"/>
        </w:rPr>
        <w:t>s</w:t>
      </w:r>
      <w:r w:rsidR="00431F9C">
        <w:rPr>
          <w:lang w:bidi="he-IL"/>
        </w:rPr>
        <w:t>U</w:t>
      </w:r>
      <w:r w:rsidR="00937A5E">
        <w:rPr>
          <w:lang w:bidi="he-IL"/>
        </w:rPr>
        <w:t>nion</w:t>
      </w:r>
      <w:r w:rsidR="008556D8">
        <w:rPr>
          <w:lang w:bidi="he-IL"/>
        </w:rPr>
        <w:t>’s “was a serious breach involving financial information of high personal and professional importance</w:t>
      </w:r>
      <w:r w:rsidR="00001634">
        <w:rPr>
          <w:lang w:bidi="he-IL"/>
        </w:rPr>
        <w:t>.</w:t>
      </w:r>
      <w:r w:rsidR="008556D8">
        <w:rPr>
          <w:lang w:bidi="he-IL"/>
        </w:rPr>
        <w:t>”</w:t>
      </w:r>
      <w:r w:rsidR="00001634">
        <w:rPr>
          <w:rStyle w:val="FootnoteReference"/>
          <w:lang w:bidi="he-IL"/>
        </w:rPr>
        <w:footnoteReference w:id="12"/>
      </w:r>
      <w:r>
        <w:rPr>
          <w:lang w:bidi="he-IL"/>
        </w:rPr>
        <w:t xml:space="preserve"> </w:t>
      </w:r>
      <w:r w:rsidR="008556D8">
        <w:rPr>
          <w:lang w:bidi="he-IL"/>
        </w:rPr>
        <w:t xml:space="preserve">Though </w:t>
      </w:r>
      <w:proofErr w:type="spellStart"/>
      <w:r w:rsidR="00456507">
        <w:rPr>
          <w:lang w:bidi="he-IL"/>
        </w:rPr>
        <w:t>Nammo</w:t>
      </w:r>
      <w:proofErr w:type="spellEnd"/>
      <w:r w:rsidR="00456507">
        <w:rPr>
          <w:lang w:bidi="he-IL"/>
        </w:rPr>
        <w:t xml:space="preserve"> </w:t>
      </w:r>
      <w:r w:rsidR="008556D8">
        <w:rPr>
          <w:lang w:bidi="he-IL"/>
        </w:rPr>
        <w:t xml:space="preserve">could not prove any </w:t>
      </w:r>
      <w:r w:rsidR="000B0A60">
        <w:rPr>
          <w:lang w:bidi="he-IL"/>
        </w:rPr>
        <w:t>business</w:t>
      </w:r>
      <w:r w:rsidR="008556D8">
        <w:rPr>
          <w:lang w:bidi="he-IL"/>
        </w:rPr>
        <w:t xml:space="preserve"> loss, the court ruled that it had jurisdiction to </w:t>
      </w:r>
      <w:r w:rsidR="003061DB" w:rsidRPr="003061DB">
        <w:rPr>
          <w:lang w:bidi="he-IL"/>
        </w:rPr>
        <w:t>award</w:t>
      </w:r>
      <w:r w:rsidR="00986C1E">
        <w:rPr>
          <w:lang w:bidi="he-IL"/>
        </w:rPr>
        <w:t xml:space="preserve"> damages under </w:t>
      </w:r>
      <w:r w:rsidR="002C23F1">
        <w:rPr>
          <w:lang w:bidi="he-IL"/>
        </w:rPr>
        <w:t>section</w:t>
      </w:r>
      <w:r w:rsidR="008556D8">
        <w:rPr>
          <w:lang w:bidi="he-IL"/>
        </w:rPr>
        <w:t xml:space="preserve"> 16 of </w:t>
      </w:r>
      <w:r w:rsidR="003061DB" w:rsidRPr="003061DB">
        <w:rPr>
          <w:i/>
          <w:iCs/>
          <w:lang w:bidi="he-IL"/>
        </w:rPr>
        <w:t>PIPEDA</w:t>
      </w:r>
      <w:r w:rsidR="008556D8">
        <w:rPr>
          <w:lang w:bidi="he-IL"/>
        </w:rPr>
        <w:t xml:space="preserve"> “even when no actual financial loss is proven</w:t>
      </w:r>
      <w:r w:rsidR="00001634">
        <w:rPr>
          <w:lang w:bidi="he-IL"/>
        </w:rPr>
        <w:t>.</w:t>
      </w:r>
      <w:r w:rsidR="00937A5E">
        <w:rPr>
          <w:lang w:bidi="he-IL"/>
        </w:rPr>
        <w:t>”</w:t>
      </w:r>
      <w:r w:rsidR="00001634">
        <w:rPr>
          <w:rStyle w:val="FootnoteReference"/>
          <w:lang w:bidi="he-IL"/>
        </w:rPr>
        <w:footnoteReference w:id="13"/>
      </w:r>
      <w:r w:rsidR="00562520">
        <w:rPr>
          <w:lang w:bidi="he-IL"/>
        </w:rPr>
        <w:t xml:space="preserve"> </w:t>
      </w:r>
      <w:r w:rsidR="008556D8">
        <w:rPr>
          <w:lang w:bidi="he-IL"/>
        </w:rPr>
        <w:t xml:space="preserve">As part of this conclusion, the court relied on </w:t>
      </w:r>
      <w:r w:rsidR="003061DB" w:rsidRPr="003061DB">
        <w:rPr>
          <w:i/>
          <w:iCs/>
          <w:lang w:bidi="he-IL"/>
        </w:rPr>
        <w:t>Ward</w:t>
      </w:r>
      <w:r w:rsidR="000077A6">
        <w:rPr>
          <w:i/>
          <w:iCs/>
          <w:lang w:bidi="he-IL"/>
        </w:rPr>
        <w:t>,</w:t>
      </w:r>
      <w:bookmarkStart w:id="3" w:name="_Ref82598349"/>
      <w:r w:rsidR="000077A6">
        <w:rPr>
          <w:rStyle w:val="FootnoteReference"/>
          <w:i/>
          <w:iCs/>
          <w:lang w:bidi="he-IL"/>
        </w:rPr>
        <w:footnoteReference w:id="14"/>
      </w:r>
      <w:bookmarkEnd w:id="3"/>
      <w:r w:rsidR="000077A6">
        <w:rPr>
          <w:lang w:bidi="he-IL"/>
        </w:rPr>
        <w:t xml:space="preserve"> </w:t>
      </w:r>
      <w:r w:rsidR="00AB5357">
        <w:rPr>
          <w:lang w:bidi="he-IL"/>
        </w:rPr>
        <w:t xml:space="preserve">which </w:t>
      </w:r>
      <w:r w:rsidR="00001634">
        <w:rPr>
          <w:lang w:bidi="he-IL"/>
        </w:rPr>
        <w:t>identified</w:t>
      </w:r>
      <w:r w:rsidR="00AB5357">
        <w:rPr>
          <w:lang w:bidi="he-IL"/>
        </w:rPr>
        <w:t xml:space="preserve"> the </w:t>
      </w:r>
      <w:r w:rsidR="00001634">
        <w:rPr>
          <w:lang w:bidi="he-IL"/>
        </w:rPr>
        <w:t>parameters</w:t>
      </w:r>
      <w:r w:rsidR="00AB5357">
        <w:rPr>
          <w:lang w:bidi="he-IL"/>
        </w:rPr>
        <w:t xml:space="preserve"> for </w:t>
      </w:r>
      <w:r w:rsidR="003061DB" w:rsidRPr="003061DB">
        <w:rPr>
          <w:lang w:bidi="he-IL"/>
        </w:rPr>
        <w:t>awarding</w:t>
      </w:r>
      <w:r w:rsidR="00AB5357">
        <w:rPr>
          <w:lang w:bidi="he-IL"/>
        </w:rPr>
        <w:t xml:space="preserve"> damages in relation to </w:t>
      </w:r>
      <w:r w:rsidR="003061DB" w:rsidRPr="003061DB">
        <w:rPr>
          <w:i/>
          <w:iCs/>
          <w:lang w:bidi="he-IL"/>
        </w:rPr>
        <w:t>Charter</w:t>
      </w:r>
      <w:r w:rsidR="00AB5357">
        <w:rPr>
          <w:lang w:bidi="he-IL"/>
        </w:rPr>
        <w:t xml:space="preserve"> breaches</w:t>
      </w:r>
      <w:r w:rsidR="00C269EB">
        <w:rPr>
          <w:lang w:bidi="he-IL"/>
        </w:rPr>
        <w:t xml:space="preserve"> under </w:t>
      </w:r>
      <w:r w:rsidR="002C23F1">
        <w:rPr>
          <w:lang w:bidi="he-IL"/>
        </w:rPr>
        <w:t>section</w:t>
      </w:r>
      <w:r w:rsidR="00C269EB">
        <w:rPr>
          <w:lang w:bidi="he-IL"/>
        </w:rPr>
        <w:t xml:space="preserve"> 24 of the </w:t>
      </w:r>
      <w:r w:rsidR="00C269EB" w:rsidRPr="008A30A9">
        <w:rPr>
          <w:i/>
          <w:iCs/>
          <w:lang w:bidi="he-IL"/>
        </w:rPr>
        <w:t>Charter</w:t>
      </w:r>
      <w:r w:rsidR="000077A6">
        <w:rPr>
          <w:i/>
          <w:iCs/>
          <w:lang w:bidi="he-IL"/>
        </w:rPr>
        <w:t>.</w:t>
      </w:r>
      <w:r w:rsidR="000077A6">
        <w:rPr>
          <w:lang w:bidi="he-IL"/>
        </w:rPr>
        <w:t xml:space="preserve"> </w:t>
      </w:r>
      <w:r w:rsidR="00787F5D">
        <w:rPr>
          <w:lang w:bidi="he-IL"/>
        </w:rPr>
        <w:t xml:space="preserve">Since </w:t>
      </w:r>
      <w:r w:rsidR="003061DB" w:rsidRPr="003061DB">
        <w:rPr>
          <w:i/>
          <w:iCs/>
          <w:lang w:bidi="he-IL"/>
        </w:rPr>
        <w:t>Ward</w:t>
      </w:r>
      <w:r w:rsidR="00787F5D">
        <w:rPr>
          <w:lang w:bidi="he-IL"/>
        </w:rPr>
        <w:t xml:space="preserve"> involved a wrongful strip search</w:t>
      </w:r>
      <w:r w:rsidR="00C70C45">
        <w:rPr>
          <w:lang w:bidi="he-IL"/>
        </w:rPr>
        <w:t xml:space="preserve"> and vehicle impoundment</w:t>
      </w:r>
      <w:r w:rsidR="00787F5D">
        <w:rPr>
          <w:lang w:bidi="he-IL"/>
        </w:rPr>
        <w:t xml:space="preserve">, one may wonder what it would have to do with </w:t>
      </w:r>
      <w:r w:rsidR="003061DB" w:rsidRPr="003061DB">
        <w:rPr>
          <w:i/>
          <w:iCs/>
          <w:lang w:bidi="he-IL"/>
        </w:rPr>
        <w:t>PIPEDA</w:t>
      </w:r>
      <w:r w:rsidR="00787F5D">
        <w:rPr>
          <w:lang w:bidi="he-IL"/>
        </w:rPr>
        <w:t>.  However, as Johannes Chan observe</w:t>
      </w:r>
      <w:r w:rsidR="002A325A">
        <w:rPr>
          <w:lang w:bidi="he-IL"/>
        </w:rPr>
        <w:t>s</w:t>
      </w:r>
      <w:r w:rsidR="00BD0552">
        <w:rPr>
          <w:lang w:bidi="he-IL"/>
        </w:rPr>
        <w:t xml:space="preserve"> from a more general perspective</w:t>
      </w:r>
      <w:r w:rsidR="00787F5D">
        <w:rPr>
          <w:lang w:bidi="he-IL"/>
        </w:rPr>
        <w:t xml:space="preserve">, the Supreme Court of Canada in </w:t>
      </w:r>
      <w:r w:rsidR="003061DB" w:rsidRPr="003061DB">
        <w:rPr>
          <w:i/>
          <w:iCs/>
          <w:lang w:bidi="he-IL"/>
        </w:rPr>
        <w:t>Ward</w:t>
      </w:r>
      <w:r w:rsidR="00787F5D">
        <w:rPr>
          <w:lang w:bidi="he-IL"/>
        </w:rPr>
        <w:t xml:space="preserve"> has adopted “a </w:t>
      </w:r>
      <w:r w:rsidR="00787F5D">
        <w:t xml:space="preserve">composite approach that provides a comprehensive framework to bring together the public law and the private law dimensions in the </w:t>
      </w:r>
      <w:r w:rsidR="003061DB" w:rsidRPr="003061DB">
        <w:t>award</w:t>
      </w:r>
      <w:r w:rsidR="00787F5D">
        <w:t xml:space="preserve"> of damages for human rights violations.”</w:t>
      </w:r>
      <w:r w:rsidR="00787F5D">
        <w:rPr>
          <w:rStyle w:val="FootnoteReference"/>
        </w:rPr>
        <w:footnoteReference w:id="15"/>
      </w:r>
      <w:r w:rsidR="00787F5D">
        <w:t xml:space="preserve"> </w:t>
      </w:r>
      <w:r w:rsidR="008D156D">
        <w:rPr>
          <w:lang w:bidi="he-IL"/>
        </w:rPr>
        <w:t xml:space="preserve">Certainly, </w:t>
      </w:r>
      <w:r w:rsidR="003061DB" w:rsidRPr="003061DB">
        <w:rPr>
          <w:i/>
          <w:iCs/>
          <w:lang w:bidi="he-IL"/>
        </w:rPr>
        <w:t>PIPEDA</w:t>
      </w:r>
      <w:r w:rsidR="008D156D">
        <w:rPr>
          <w:lang w:bidi="he-IL"/>
        </w:rPr>
        <w:t xml:space="preserve"> </w:t>
      </w:r>
      <w:r w:rsidR="004C4B8A">
        <w:rPr>
          <w:lang w:bidi="he-IL"/>
        </w:rPr>
        <w:t xml:space="preserve">easily </w:t>
      </w:r>
      <w:r w:rsidR="008D156D">
        <w:rPr>
          <w:lang w:bidi="he-IL"/>
        </w:rPr>
        <w:t>occupies that framework too</w:t>
      </w:r>
      <w:r w:rsidR="007A4601">
        <w:rPr>
          <w:lang w:bidi="he-IL"/>
        </w:rPr>
        <w:t>,</w:t>
      </w:r>
      <w:r w:rsidR="008D156D">
        <w:rPr>
          <w:lang w:bidi="he-IL"/>
        </w:rPr>
        <w:t xml:space="preserve"> </w:t>
      </w:r>
      <w:r w:rsidR="00DF6E64">
        <w:rPr>
          <w:lang w:bidi="he-IL"/>
        </w:rPr>
        <w:t xml:space="preserve">on the slightly different footing </w:t>
      </w:r>
      <w:r w:rsidR="00B14A9D">
        <w:rPr>
          <w:lang w:bidi="he-IL"/>
        </w:rPr>
        <w:t xml:space="preserve">that </w:t>
      </w:r>
      <w:r w:rsidR="008D156D">
        <w:rPr>
          <w:lang w:bidi="he-IL"/>
        </w:rPr>
        <w:t xml:space="preserve">it involves private law rights </w:t>
      </w:r>
      <w:r w:rsidR="000B0A60">
        <w:rPr>
          <w:lang w:bidi="he-IL"/>
        </w:rPr>
        <w:t xml:space="preserve">in the context of quasi-constitutional legislation. </w:t>
      </w:r>
      <w:r w:rsidR="00787F5D">
        <w:rPr>
          <w:lang w:bidi="he-IL"/>
        </w:rPr>
        <w:t xml:space="preserve"> </w:t>
      </w:r>
    </w:p>
    <w:p w14:paraId="647D963F" w14:textId="27E0844C" w:rsidR="008B45B3" w:rsidRDefault="003263CF" w:rsidP="00DF6E64">
      <w:pPr>
        <w:ind w:firstLine="720"/>
        <w:rPr>
          <w:lang w:bidi="he-IL"/>
        </w:rPr>
      </w:pPr>
      <w:r>
        <w:rPr>
          <w:lang w:bidi="he-IL"/>
        </w:rPr>
        <w:t xml:space="preserve">Justice Zinn </w:t>
      </w:r>
      <w:r w:rsidR="000077A6">
        <w:rPr>
          <w:lang w:bidi="he-IL"/>
        </w:rPr>
        <w:t xml:space="preserve">relied on </w:t>
      </w:r>
      <w:r w:rsidR="003061DB" w:rsidRPr="003061DB">
        <w:rPr>
          <w:i/>
          <w:iCs/>
          <w:lang w:bidi="he-IL"/>
        </w:rPr>
        <w:t>Ward</w:t>
      </w:r>
      <w:r w:rsidR="00532C7E">
        <w:rPr>
          <w:lang w:bidi="he-IL"/>
        </w:rPr>
        <w:t xml:space="preserve"> </w:t>
      </w:r>
      <w:r w:rsidR="001B19CB">
        <w:rPr>
          <w:lang w:bidi="he-IL"/>
        </w:rPr>
        <w:t xml:space="preserve">to describe </w:t>
      </w:r>
      <w:r w:rsidR="003061DB" w:rsidRPr="003061DB">
        <w:rPr>
          <w:i/>
          <w:iCs/>
          <w:lang w:bidi="he-IL"/>
        </w:rPr>
        <w:t>Charter</w:t>
      </w:r>
      <w:r w:rsidR="001B19CB">
        <w:rPr>
          <w:lang w:bidi="he-IL"/>
        </w:rPr>
        <w:t xml:space="preserve"> damages</w:t>
      </w:r>
      <w:r w:rsidR="000077A6">
        <w:rPr>
          <w:lang w:bidi="he-IL"/>
        </w:rPr>
        <w:t xml:space="preserve">, a case which </w:t>
      </w:r>
      <w:r w:rsidR="00532C7E">
        <w:rPr>
          <w:lang w:bidi="he-IL"/>
        </w:rPr>
        <w:t xml:space="preserve">itself </w:t>
      </w:r>
      <w:r w:rsidR="000077A6">
        <w:rPr>
          <w:lang w:bidi="he-IL"/>
        </w:rPr>
        <w:t>adopts a</w:t>
      </w:r>
      <w:r w:rsidR="005972E5">
        <w:rPr>
          <w:lang w:bidi="he-IL"/>
        </w:rPr>
        <w:t xml:space="preserve"> functional approach to damages</w:t>
      </w:r>
      <w:bookmarkStart w:id="4" w:name="_Ref78154037"/>
      <w:r w:rsidR="00B7516C">
        <w:rPr>
          <w:rStyle w:val="FootnoteReference"/>
          <w:lang w:bidi="he-IL"/>
        </w:rPr>
        <w:footnoteReference w:id="16"/>
      </w:r>
      <w:bookmarkEnd w:id="4"/>
      <w:r w:rsidR="006D0346">
        <w:rPr>
          <w:lang w:bidi="he-IL"/>
        </w:rPr>
        <w:t xml:space="preserve"> </w:t>
      </w:r>
      <w:r w:rsidR="000077A6">
        <w:rPr>
          <w:lang w:bidi="he-IL"/>
        </w:rPr>
        <w:t xml:space="preserve">Indeed, Zinn J quoted </w:t>
      </w:r>
      <w:r w:rsidR="000077A6" w:rsidRPr="008A30A9">
        <w:rPr>
          <w:i/>
          <w:iCs/>
          <w:lang w:bidi="he-IL"/>
        </w:rPr>
        <w:t>Ward</w:t>
      </w:r>
      <w:r w:rsidR="000077A6">
        <w:rPr>
          <w:lang w:bidi="he-IL"/>
        </w:rPr>
        <w:t xml:space="preserve"> as follows:</w:t>
      </w:r>
      <w:r w:rsidR="004B7A5E">
        <w:rPr>
          <w:lang w:bidi="he-IL"/>
        </w:rPr>
        <w:t xml:space="preserve"> </w:t>
      </w:r>
    </w:p>
    <w:p w14:paraId="1B3BB306" w14:textId="340A64B0" w:rsidR="005440FB" w:rsidRDefault="003263CF" w:rsidP="00B95662">
      <w:pPr>
        <w:spacing w:after="0"/>
        <w:ind w:left="720" w:right="1440"/>
        <w:jc w:val="both"/>
        <w:rPr>
          <w:rFonts w:eastAsia="Times New Roman"/>
          <w:bCs/>
          <w:lang w:eastAsia="en-CA"/>
        </w:rPr>
      </w:pPr>
      <w:r w:rsidRPr="003263CF">
        <w:rPr>
          <w:rFonts w:eastAsia="Times New Roman"/>
          <w:bCs/>
          <w:lang w:eastAsia="en-CA"/>
        </w:rPr>
        <w:t xml:space="preserve">For damages to be </w:t>
      </w:r>
      <w:r w:rsidR="003061DB" w:rsidRPr="003061DB">
        <w:rPr>
          <w:rFonts w:eastAsia="Times New Roman"/>
          <w:bCs/>
          <w:lang w:eastAsia="en-CA"/>
        </w:rPr>
        <w:t>award</w:t>
      </w:r>
      <w:r w:rsidRPr="003263CF">
        <w:rPr>
          <w:rFonts w:eastAsia="Times New Roman"/>
          <w:bCs/>
          <w:lang w:eastAsia="en-CA"/>
        </w:rPr>
        <w:t xml:space="preserve">ed, they must further the general objects of the </w:t>
      </w:r>
      <w:r w:rsidR="003061DB" w:rsidRPr="003061DB">
        <w:rPr>
          <w:rFonts w:eastAsia="Times New Roman"/>
          <w:bCs/>
          <w:i/>
          <w:iCs/>
          <w:lang w:eastAsia="en-CA"/>
        </w:rPr>
        <w:t>Charter</w:t>
      </w:r>
      <w:r w:rsidRPr="003263CF">
        <w:rPr>
          <w:rFonts w:eastAsia="Times New Roman"/>
          <w:bCs/>
          <w:lang w:eastAsia="en-CA"/>
        </w:rPr>
        <w:t>. This reflects itself in three interrelated functions that damages may serve. </w:t>
      </w:r>
      <w:r w:rsidR="00986C1E">
        <w:rPr>
          <w:rFonts w:eastAsia="Times New Roman"/>
          <w:bCs/>
          <w:lang w:eastAsia="en-CA"/>
        </w:rPr>
        <w:t>T</w:t>
      </w:r>
      <w:r w:rsidRPr="003263CF">
        <w:rPr>
          <w:rFonts w:eastAsia="Times New Roman"/>
          <w:bCs/>
          <w:lang w:eastAsia="en-CA"/>
        </w:rPr>
        <w:t xml:space="preserve">he function of </w:t>
      </w:r>
      <w:r w:rsidRPr="003263CF">
        <w:rPr>
          <w:rFonts w:eastAsia="Times New Roman"/>
          <w:bCs/>
          <w:i/>
          <w:iCs/>
          <w:lang w:eastAsia="en-CA"/>
        </w:rPr>
        <w:t>compensation</w:t>
      </w:r>
      <w:r w:rsidRPr="003263CF">
        <w:rPr>
          <w:rFonts w:eastAsia="Times New Roman"/>
          <w:bCs/>
          <w:lang w:eastAsia="en-CA"/>
        </w:rPr>
        <w:t xml:space="preserve">, usually the most </w:t>
      </w:r>
      <w:r w:rsidRPr="003263CF">
        <w:rPr>
          <w:rFonts w:eastAsia="Times New Roman"/>
          <w:bCs/>
          <w:lang w:eastAsia="en-CA"/>
        </w:rPr>
        <w:lastRenderedPageBreak/>
        <w:t xml:space="preserve">prominent function, recognizes that breach of an individual’s </w:t>
      </w:r>
      <w:r w:rsidR="003061DB" w:rsidRPr="003061DB">
        <w:rPr>
          <w:rFonts w:eastAsia="Times New Roman"/>
          <w:bCs/>
          <w:i/>
          <w:iCs/>
          <w:lang w:eastAsia="en-CA"/>
        </w:rPr>
        <w:t>Charter</w:t>
      </w:r>
      <w:r w:rsidRPr="003263CF">
        <w:rPr>
          <w:rFonts w:eastAsia="Times New Roman"/>
          <w:bCs/>
          <w:lang w:eastAsia="en-CA"/>
        </w:rPr>
        <w:t xml:space="preserve"> rights may cause personal loss which should be remedied. The function of </w:t>
      </w:r>
      <w:r w:rsidRPr="003263CF">
        <w:rPr>
          <w:rFonts w:eastAsia="Times New Roman"/>
          <w:bCs/>
          <w:i/>
          <w:iCs/>
          <w:lang w:eastAsia="en-CA"/>
        </w:rPr>
        <w:t>vindication</w:t>
      </w:r>
      <w:r w:rsidRPr="003263CF">
        <w:rPr>
          <w:rFonts w:eastAsia="Times New Roman"/>
          <w:bCs/>
          <w:lang w:eastAsia="en-CA"/>
        </w:rPr>
        <w:t xml:space="preserve"> recognizes that </w:t>
      </w:r>
      <w:r w:rsidR="003061DB" w:rsidRPr="003061DB">
        <w:rPr>
          <w:rFonts w:eastAsia="Times New Roman"/>
          <w:bCs/>
          <w:i/>
          <w:iCs/>
          <w:lang w:eastAsia="en-CA"/>
        </w:rPr>
        <w:t>Charter</w:t>
      </w:r>
      <w:r w:rsidRPr="003263CF">
        <w:rPr>
          <w:rFonts w:eastAsia="Times New Roman"/>
          <w:bCs/>
          <w:lang w:eastAsia="en-CA"/>
        </w:rPr>
        <w:t xml:space="preserve"> rights must be maintained, and cannot be allowed to </w:t>
      </w:r>
      <w:r w:rsidRPr="00CA443D">
        <w:rPr>
          <w:rFonts w:eastAsia="Times New Roman"/>
          <w:bCs/>
          <w:lang w:eastAsia="en-CA"/>
        </w:rPr>
        <w:t xml:space="preserve">be whittled away by attrition. Finally, the function of </w:t>
      </w:r>
      <w:r w:rsidRPr="00CA443D">
        <w:rPr>
          <w:rFonts w:eastAsia="Times New Roman"/>
          <w:bCs/>
          <w:i/>
          <w:iCs/>
          <w:lang w:eastAsia="en-CA"/>
        </w:rPr>
        <w:t>deterrence</w:t>
      </w:r>
      <w:r w:rsidRPr="00CA443D">
        <w:rPr>
          <w:rFonts w:eastAsia="Times New Roman"/>
          <w:bCs/>
          <w:lang w:eastAsia="en-CA"/>
        </w:rPr>
        <w:t xml:space="preserve"> reco</w:t>
      </w:r>
      <w:r w:rsidRPr="003263CF">
        <w:rPr>
          <w:rFonts w:eastAsia="Times New Roman"/>
          <w:bCs/>
          <w:lang w:eastAsia="en-CA"/>
        </w:rPr>
        <w:t>gnizes that damages may serve to deter future breaches by state actors. [emphasis in original]</w:t>
      </w:r>
      <w:r w:rsidR="00610C4B">
        <w:rPr>
          <w:rFonts w:eastAsia="Times New Roman"/>
          <w:bCs/>
          <w:lang w:eastAsia="en-CA"/>
        </w:rPr>
        <w:t>.</w:t>
      </w:r>
    </w:p>
    <w:p w14:paraId="040ECB4A" w14:textId="55E64C55" w:rsidR="00610C4B" w:rsidRDefault="00610C4B" w:rsidP="00986C1E">
      <w:pPr>
        <w:spacing w:after="0"/>
        <w:ind w:left="720" w:right="1440"/>
        <w:jc w:val="both"/>
        <w:rPr>
          <w:rFonts w:eastAsia="Times New Roman"/>
          <w:bCs/>
          <w:lang w:eastAsia="en-CA"/>
        </w:rPr>
      </w:pPr>
      <w:r>
        <w:rPr>
          <w:rFonts w:eastAsia="Times New Roman"/>
          <w:bCs/>
          <w:lang w:eastAsia="en-CA"/>
        </w:rPr>
        <w:t>…</w:t>
      </w:r>
    </w:p>
    <w:p w14:paraId="58A73BB1" w14:textId="1E442C2C" w:rsidR="003263CF" w:rsidRPr="003263CF" w:rsidRDefault="003263CF" w:rsidP="005440FB">
      <w:pPr>
        <w:spacing w:after="0"/>
        <w:ind w:left="720" w:right="1440"/>
        <w:jc w:val="both"/>
        <w:rPr>
          <w:rFonts w:eastAsia="Times New Roman"/>
          <w:bCs/>
          <w:lang w:eastAsia="en-CA"/>
        </w:rPr>
      </w:pPr>
      <w:r w:rsidRPr="00DD45FE">
        <w:rPr>
          <w:rFonts w:eastAsia="Times New Roman"/>
          <w:b/>
          <w:lang w:eastAsia="en-CA"/>
        </w:rPr>
        <w:t xml:space="preserve">However, the fact that the claimant has not suffered personal loss does not preclude damages where the objectives of vindication or deterrence clearly call for an </w:t>
      </w:r>
      <w:r w:rsidR="003061DB" w:rsidRPr="00DD45FE">
        <w:rPr>
          <w:rFonts w:eastAsia="Times New Roman"/>
          <w:b/>
          <w:lang w:eastAsia="en-CA"/>
        </w:rPr>
        <w:t>award</w:t>
      </w:r>
      <w:r w:rsidR="00DD45FE">
        <w:rPr>
          <w:rFonts w:eastAsia="Times New Roman"/>
          <w:bCs/>
          <w:lang w:eastAsia="en-CA"/>
        </w:rPr>
        <w:t>…</w:t>
      </w:r>
      <w:r w:rsidR="005440FB">
        <w:rPr>
          <w:rFonts w:eastAsia="Times New Roman"/>
          <w:bCs/>
          <w:lang w:eastAsia="en-CA"/>
        </w:rPr>
        <w:t>[emphasis added]</w:t>
      </w:r>
      <w:r w:rsidR="00116B0A">
        <w:rPr>
          <w:rFonts w:eastAsia="Times New Roman"/>
          <w:bCs/>
          <w:lang w:eastAsia="en-CA"/>
        </w:rPr>
        <w:t>.</w:t>
      </w:r>
      <w:r w:rsidR="002B79DC">
        <w:rPr>
          <w:rStyle w:val="FootnoteReference"/>
          <w:rFonts w:eastAsia="Times New Roman"/>
          <w:bCs/>
          <w:lang w:eastAsia="en-CA"/>
        </w:rPr>
        <w:footnoteReference w:id="17"/>
      </w:r>
    </w:p>
    <w:p w14:paraId="29620B30" w14:textId="77777777" w:rsidR="004B7A5E" w:rsidRDefault="004B7A5E" w:rsidP="004B7A5E">
      <w:pPr>
        <w:pStyle w:val="FootnoteText"/>
        <w:rPr>
          <w:sz w:val="24"/>
          <w:szCs w:val="24"/>
          <w:lang w:bidi="he-IL"/>
        </w:rPr>
      </w:pPr>
    </w:p>
    <w:p w14:paraId="08982E3A" w14:textId="77777777" w:rsidR="004B7A5E" w:rsidRDefault="007A4601" w:rsidP="004B7A5E">
      <w:pPr>
        <w:pStyle w:val="FootnoteText"/>
        <w:rPr>
          <w:sz w:val="24"/>
          <w:szCs w:val="24"/>
          <w:lang w:bidi="he-IL"/>
        </w:rPr>
      </w:pPr>
      <w:r w:rsidRPr="008A30A9">
        <w:rPr>
          <w:sz w:val="24"/>
          <w:szCs w:val="24"/>
          <w:lang w:bidi="he-IL"/>
        </w:rPr>
        <w:t xml:space="preserve">As Kent Roach </w:t>
      </w:r>
      <w:r w:rsidR="00BE06F9" w:rsidRPr="008A30A9">
        <w:rPr>
          <w:sz w:val="24"/>
          <w:szCs w:val="24"/>
          <w:lang w:bidi="he-IL"/>
        </w:rPr>
        <w:t xml:space="preserve">aptly </w:t>
      </w:r>
      <w:r w:rsidRPr="008A30A9">
        <w:rPr>
          <w:sz w:val="24"/>
          <w:szCs w:val="24"/>
          <w:lang w:bidi="he-IL"/>
        </w:rPr>
        <w:t xml:space="preserve">describes the damages model in </w:t>
      </w:r>
      <w:r w:rsidR="003061DB" w:rsidRPr="008A30A9">
        <w:rPr>
          <w:i/>
          <w:iCs/>
          <w:sz w:val="24"/>
          <w:szCs w:val="24"/>
          <w:lang w:bidi="he-IL"/>
        </w:rPr>
        <w:t>Ward</w:t>
      </w:r>
      <w:r w:rsidRPr="008A30A9">
        <w:rPr>
          <w:sz w:val="24"/>
          <w:szCs w:val="24"/>
          <w:lang w:bidi="he-IL"/>
        </w:rPr>
        <w:t xml:space="preserve"> and its purposes, “[c]</w:t>
      </w:r>
      <w:proofErr w:type="spellStart"/>
      <w:r w:rsidRPr="008A30A9">
        <w:rPr>
          <w:sz w:val="24"/>
          <w:szCs w:val="24"/>
          <w:lang w:bidi="he-IL"/>
        </w:rPr>
        <w:t>ompensation</w:t>
      </w:r>
      <w:proofErr w:type="spellEnd"/>
      <w:r w:rsidRPr="008A30A9">
        <w:rPr>
          <w:sz w:val="24"/>
          <w:szCs w:val="24"/>
          <w:lang w:bidi="he-IL"/>
        </w:rPr>
        <w:t xml:space="preserve"> looks back</w:t>
      </w:r>
      <w:r w:rsidR="002E5AE1" w:rsidRPr="008A30A9">
        <w:rPr>
          <w:sz w:val="24"/>
          <w:szCs w:val="24"/>
          <w:lang w:bidi="he-IL"/>
        </w:rPr>
        <w:t>wards</w:t>
      </w:r>
      <w:r w:rsidRPr="008A30A9">
        <w:rPr>
          <w:sz w:val="24"/>
          <w:szCs w:val="24"/>
          <w:lang w:bidi="he-IL"/>
        </w:rPr>
        <w:t xml:space="preserve"> and attempts to correct or repair the effects of a </w:t>
      </w:r>
      <w:r w:rsidR="003061DB" w:rsidRPr="008A30A9">
        <w:rPr>
          <w:i/>
          <w:iCs/>
          <w:sz w:val="24"/>
          <w:szCs w:val="24"/>
          <w:lang w:bidi="he-IL"/>
        </w:rPr>
        <w:t>Charter</w:t>
      </w:r>
      <w:r w:rsidRPr="008A30A9">
        <w:rPr>
          <w:sz w:val="24"/>
          <w:szCs w:val="24"/>
          <w:lang w:bidi="he-IL"/>
        </w:rPr>
        <w:t xml:space="preserve"> violation on the particular person. Vindication and deterrence are more concerned with ensuring that the </w:t>
      </w:r>
      <w:r w:rsidR="003061DB" w:rsidRPr="008A30A9">
        <w:rPr>
          <w:i/>
          <w:iCs/>
          <w:sz w:val="24"/>
          <w:szCs w:val="24"/>
          <w:lang w:bidi="he-IL"/>
        </w:rPr>
        <w:t>Charter</w:t>
      </w:r>
      <w:r w:rsidRPr="008A30A9">
        <w:rPr>
          <w:i/>
          <w:iCs/>
          <w:sz w:val="24"/>
          <w:szCs w:val="24"/>
          <w:lang w:bidi="he-IL"/>
        </w:rPr>
        <w:t xml:space="preserve"> </w:t>
      </w:r>
      <w:r w:rsidRPr="008A30A9">
        <w:rPr>
          <w:sz w:val="24"/>
          <w:szCs w:val="24"/>
          <w:lang w:bidi="he-IL"/>
        </w:rPr>
        <w:t>is upheld and respected in the future.”</w:t>
      </w:r>
      <w:r w:rsidRPr="008A30A9">
        <w:rPr>
          <w:rStyle w:val="FootnoteReference"/>
          <w:sz w:val="24"/>
          <w:szCs w:val="24"/>
          <w:lang w:bidi="he-IL"/>
        </w:rPr>
        <w:footnoteReference w:id="18"/>
      </w:r>
      <w:r w:rsidR="004B7A5E" w:rsidRPr="008A30A9">
        <w:rPr>
          <w:sz w:val="24"/>
          <w:szCs w:val="24"/>
          <w:lang w:bidi="he-IL"/>
        </w:rPr>
        <w:t xml:space="preserve"> </w:t>
      </w:r>
    </w:p>
    <w:p w14:paraId="0028A37B" w14:textId="62A038EB" w:rsidR="002B79DC" w:rsidRDefault="002B79DC" w:rsidP="007A4601">
      <w:pPr>
        <w:spacing w:before="100" w:beforeAutospacing="1" w:after="100" w:afterAutospacing="1"/>
        <w:ind w:firstLine="720"/>
        <w:rPr>
          <w:lang w:bidi="he-IL"/>
        </w:rPr>
      </w:pPr>
      <w:r>
        <w:rPr>
          <w:lang w:bidi="he-IL"/>
        </w:rPr>
        <w:t xml:space="preserve">Justice Zinn’s overall assessment of </w:t>
      </w:r>
      <w:r w:rsidR="003061DB" w:rsidRPr="003061DB">
        <w:rPr>
          <w:i/>
          <w:iCs/>
          <w:lang w:bidi="he-IL"/>
        </w:rPr>
        <w:t>Ward</w:t>
      </w:r>
      <w:r>
        <w:rPr>
          <w:lang w:bidi="he-IL"/>
        </w:rPr>
        <w:t xml:space="preserve"> and its relationship to </w:t>
      </w:r>
      <w:r w:rsidR="003061DB" w:rsidRPr="003061DB">
        <w:rPr>
          <w:i/>
          <w:iCs/>
          <w:lang w:bidi="he-IL"/>
        </w:rPr>
        <w:t>PIPEDA</w:t>
      </w:r>
      <w:r w:rsidR="004E4A00">
        <w:rPr>
          <w:lang w:bidi="he-IL"/>
        </w:rPr>
        <w:t xml:space="preserve"> </w:t>
      </w:r>
      <w:r>
        <w:rPr>
          <w:lang w:bidi="he-IL"/>
        </w:rPr>
        <w:t xml:space="preserve">is succinctly made </w:t>
      </w:r>
      <w:r w:rsidR="003263CF">
        <w:rPr>
          <w:lang w:bidi="he-IL"/>
        </w:rPr>
        <w:t xml:space="preserve">as follows:  </w:t>
      </w:r>
    </w:p>
    <w:p w14:paraId="13269099" w14:textId="336E1491" w:rsidR="003263CF" w:rsidRDefault="003263CF" w:rsidP="00986C1E">
      <w:pPr>
        <w:spacing w:before="100" w:beforeAutospacing="1" w:after="100" w:afterAutospacing="1"/>
        <w:ind w:left="720"/>
      </w:pPr>
      <w:r>
        <w:t>The Supreme Court found that “to be ‘appropriate and just’</w:t>
      </w:r>
      <w:r w:rsidR="00BE06F9">
        <w:t xml:space="preserve"> [under </w:t>
      </w:r>
      <w:r w:rsidR="00957BBE">
        <w:t>section</w:t>
      </w:r>
      <w:r w:rsidR="00BE06F9">
        <w:t xml:space="preserve"> 24]</w:t>
      </w:r>
      <w:r>
        <w:t xml:space="preserve">, an </w:t>
      </w:r>
      <w:r w:rsidR="003061DB" w:rsidRPr="003061DB">
        <w:t>award</w:t>
      </w:r>
      <w:r>
        <w:t xml:space="preserve"> of damages must represent a meaningful response to the seriousness of the breach and the objectives of compensation, upholding </w:t>
      </w:r>
      <w:r w:rsidR="003061DB" w:rsidRPr="003061DB">
        <w:rPr>
          <w:i/>
          <w:iCs/>
        </w:rPr>
        <w:t>Charter</w:t>
      </w:r>
      <w:r>
        <w:t xml:space="preserve"> values, and deterring future breaches.” In my view, the same reasoning applies to a breach of </w:t>
      </w:r>
      <w:r w:rsidR="003061DB" w:rsidRPr="00986C1E">
        <w:rPr>
          <w:i/>
          <w:iCs/>
        </w:rPr>
        <w:t>PIPEDA</w:t>
      </w:r>
      <w:r>
        <w:t>, which is quasi-constitutional legislation.</w:t>
      </w:r>
      <w:r w:rsidR="00421302">
        <w:rPr>
          <w:rStyle w:val="FootnoteReference"/>
        </w:rPr>
        <w:footnoteReference w:id="19"/>
      </w:r>
    </w:p>
    <w:p w14:paraId="70E46CC7" w14:textId="3A0D0AF7" w:rsidR="00747F97" w:rsidRDefault="007A4601" w:rsidP="00B95662">
      <w:pPr>
        <w:spacing w:before="100" w:beforeAutospacing="1" w:after="100" w:afterAutospacing="1"/>
      </w:pPr>
      <w:r>
        <w:t xml:space="preserve">In this way, Zinn J applies a </w:t>
      </w:r>
      <w:r w:rsidR="003061DB" w:rsidRPr="003061DB">
        <w:rPr>
          <w:i/>
          <w:iCs/>
        </w:rPr>
        <w:t>Charter</w:t>
      </w:r>
      <w:r>
        <w:t xml:space="preserve"> model of damages to a dispute</w:t>
      </w:r>
      <w:r w:rsidR="000A55EC">
        <w:t xml:space="preserve"> over personal information with commercial consequences,</w:t>
      </w:r>
      <w:r>
        <w:t xml:space="preserve"> because that dispute also occurs in a public law context represented by </w:t>
      </w:r>
      <w:r w:rsidR="003061DB" w:rsidRPr="003061DB">
        <w:rPr>
          <w:i/>
          <w:iCs/>
        </w:rPr>
        <w:t>PIPEDA</w:t>
      </w:r>
      <w:r>
        <w:t xml:space="preserve">. Though the Supreme Court of Canada in </w:t>
      </w:r>
      <w:r w:rsidR="003061DB" w:rsidRPr="003061DB">
        <w:rPr>
          <w:i/>
          <w:iCs/>
        </w:rPr>
        <w:t>Ward</w:t>
      </w:r>
      <w:r>
        <w:t xml:space="preserve"> is clear that </w:t>
      </w:r>
      <w:r w:rsidR="003061DB" w:rsidRPr="003061DB">
        <w:rPr>
          <w:i/>
          <w:iCs/>
        </w:rPr>
        <w:t>Charter</w:t>
      </w:r>
      <w:r>
        <w:t xml:space="preserve"> damages cannot be </w:t>
      </w:r>
      <w:r w:rsidR="003061DB" w:rsidRPr="003061DB">
        <w:t>award</w:t>
      </w:r>
      <w:r>
        <w:t xml:space="preserve">ed in a </w:t>
      </w:r>
      <w:r w:rsidR="00BE06F9">
        <w:t>case</w:t>
      </w:r>
      <w:r>
        <w:t xml:space="preserve"> between private parties,</w:t>
      </w:r>
      <w:r>
        <w:rPr>
          <w:rStyle w:val="FootnoteReference"/>
        </w:rPr>
        <w:footnoteReference w:id="20"/>
      </w:r>
      <w:r>
        <w:t xml:space="preserve"> </w:t>
      </w:r>
      <w:proofErr w:type="spellStart"/>
      <w:r>
        <w:rPr>
          <w:i/>
          <w:iCs/>
        </w:rPr>
        <w:t>Nammo</w:t>
      </w:r>
      <w:proofErr w:type="spellEnd"/>
      <w:r>
        <w:t xml:space="preserve"> offers the possibility of </w:t>
      </w:r>
      <w:r w:rsidR="003061DB" w:rsidRPr="003061DB">
        <w:rPr>
          <w:i/>
          <w:iCs/>
        </w:rPr>
        <w:t>Charter</w:t>
      </w:r>
      <w:r>
        <w:t xml:space="preserve">-like damages inspired by the </w:t>
      </w:r>
      <w:r w:rsidR="003061DB" w:rsidRPr="003061DB">
        <w:rPr>
          <w:i/>
          <w:iCs/>
        </w:rPr>
        <w:t>Ward</w:t>
      </w:r>
      <w:r>
        <w:t xml:space="preserve"> model. </w:t>
      </w:r>
      <w:r w:rsidR="00A20144">
        <w:t xml:space="preserve">What follows is analysis of the three </w:t>
      </w:r>
      <w:r w:rsidR="002763E7">
        <w:t xml:space="preserve">functions or </w:t>
      </w:r>
      <w:r w:rsidR="00A20144">
        <w:t xml:space="preserve">interests protected by </w:t>
      </w:r>
      <w:r w:rsidR="003061DB" w:rsidRPr="003061DB">
        <w:rPr>
          <w:i/>
          <w:iCs/>
        </w:rPr>
        <w:t>Ward</w:t>
      </w:r>
      <w:r w:rsidR="00A20144">
        <w:t xml:space="preserve"> and </w:t>
      </w:r>
      <w:proofErr w:type="spellStart"/>
      <w:r w:rsidR="00A20144" w:rsidRPr="0065707A">
        <w:rPr>
          <w:i/>
          <w:iCs/>
        </w:rPr>
        <w:t>Nammo</w:t>
      </w:r>
      <w:proofErr w:type="spellEnd"/>
      <w:r w:rsidR="002763E7">
        <w:t xml:space="preserve"> in a privacy context</w:t>
      </w:r>
      <w:r w:rsidR="00A20144">
        <w:t>: compensation, vindication, and deterrence.</w:t>
      </w:r>
      <w:r w:rsidR="005972E5">
        <w:t xml:space="preserve">  </w:t>
      </w:r>
    </w:p>
    <w:p w14:paraId="216A66B2" w14:textId="77777777" w:rsidR="000070C4" w:rsidRDefault="000070C4" w:rsidP="00B95662">
      <w:pPr>
        <w:spacing w:before="100" w:beforeAutospacing="1" w:after="100" w:afterAutospacing="1"/>
      </w:pPr>
    </w:p>
    <w:p w14:paraId="4378F7E0" w14:textId="5AA480DD" w:rsidR="00747F97" w:rsidRPr="002763E7" w:rsidRDefault="002763E7" w:rsidP="00706E87">
      <w:pPr>
        <w:pStyle w:val="ListParagraph"/>
        <w:numPr>
          <w:ilvl w:val="0"/>
          <w:numId w:val="3"/>
        </w:numPr>
        <w:spacing w:before="100" w:beforeAutospacing="1" w:after="100" w:afterAutospacing="1"/>
        <w:rPr>
          <w:b/>
          <w:bCs/>
        </w:rPr>
      </w:pPr>
      <w:r>
        <w:rPr>
          <w:b/>
          <w:bCs/>
        </w:rPr>
        <w:lastRenderedPageBreak/>
        <w:t xml:space="preserve">The </w:t>
      </w:r>
      <w:r w:rsidR="00747F97" w:rsidRPr="002763E7">
        <w:rPr>
          <w:b/>
          <w:bCs/>
        </w:rPr>
        <w:t>Compensation</w:t>
      </w:r>
      <w:r>
        <w:rPr>
          <w:b/>
          <w:bCs/>
        </w:rPr>
        <w:t xml:space="preserve"> Function</w:t>
      </w:r>
      <w:r w:rsidR="00786C07">
        <w:rPr>
          <w:b/>
          <w:bCs/>
        </w:rPr>
        <w:t xml:space="preserve"> (pecuniary and non-pecuniary loss)</w:t>
      </w:r>
    </w:p>
    <w:p w14:paraId="53101720" w14:textId="70CF19D9" w:rsidR="00993E24" w:rsidRDefault="0065707A" w:rsidP="00BF04D0">
      <w:pPr>
        <w:spacing w:before="100" w:beforeAutospacing="1" w:after="100" w:afterAutospacing="1"/>
        <w:ind w:firstLine="360"/>
      </w:pPr>
      <w:r>
        <w:t xml:space="preserve">Pecuniary loss, including </w:t>
      </w:r>
      <w:r w:rsidR="002763E7">
        <w:t xml:space="preserve">out-of-pocket </w:t>
      </w:r>
      <w:r>
        <w:t>expenses</w:t>
      </w:r>
      <w:r w:rsidR="002763E7">
        <w:t xml:space="preserve"> for breach of </w:t>
      </w:r>
      <w:r w:rsidR="003061DB" w:rsidRPr="003061DB">
        <w:rPr>
          <w:i/>
          <w:iCs/>
        </w:rPr>
        <w:t>PIPEDA</w:t>
      </w:r>
      <w:r w:rsidR="002763E7">
        <w:t xml:space="preserve"> </w:t>
      </w:r>
      <w:r w:rsidR="00BF04D0">
        <w:t>is</w:t>
      </w:r>
      <w:r w:rsidR="002763E7">
        <w:t xml:space="preserve"> clearly compensable</w:t>
      </w:r>
      <w:r w:rsidR="0026670A">
        <w:t>,</w:t>
      </w:r>
      <w:r w:rsidR="00102A5A">
        <w:rPr>
          <w:rStyle w:val="FootnoteReference"/>
        </w:rPr>
        <w:footnoteReference w:id="21"/>
      </w:r>
      <w:r w:rsidR="002763E7">
        <w:t xml:space="preserve"> though it is interesting to note that no such </w:t>
      </w:r>
      <w:r w:rsidR="003061DB" w:rsidRPr="003061DB">
        <w:t>awards</w:t>
      </w:r>
      <w:r w:rsidR="002763E7">
        <w:t xml:space="preserve"> were granted in the cases collected under Appendix A.</w:t>
      </w:r>
      <w:r w:rsidR="0026670A">
        <w:t xml:space="preserve"> </w:t>
      </w:r>
      <w:r>
        <w:t xml:space="preserve">Non-pecuniary loss is </w:t>
      </w:r>
      <w:r w:rsidR="00310479">
        <w:t xml:space="preserve">also </w:t>
      </w:r>
      <w:r>
        <w:t>compensable</w:t>
      </w:r>
      <w:r w:rsidR="00102A5A">
        <w:t>,</w:t>
      </w:r>
      <w:r>
        <w:t xml:space="preserve"> with quantum tied to </w:t>
      </w:r>
      <w:r w:rsidR="00F14B63">
        <w:t xml:space="preserve">its </w:t>
      </w:r>
      <w:r>
        <w:t>severity</w:t>
      </w:r>
      <w:r w:rsidR="00F14B63">
        <w:t>.</w:t>
      </w:r>
      <w:r w:rsidR="00125BFF">
        <w:rPr>
          <w:rStyle w:val="FootnoteReference"/>
        </w:rPr>
        <w:footnoteReference w:id="22"/>
      </w:r>
      <w:r w:rsidR="00DD2F45">
        <w:t xml:space="preserve"> However, </w:t>
      </w:r>
      <w:r w:rsidR="00993E24">
        <w:t xml:space="preserve">the threshold </w:t>
      </w:r>
      <w:r w:rsidR="00DD2F45">
        <w:t xml:space="preserve">for recovery </w:t>
      </w:r>
      <w:r w:rsidR="004013FE">
        <w:t xml:space="preserve">of non-pecuniary loss </w:t>
      </w:r>
      <w:r w:rsidR="00382887">
        <w:t xml:space="preserve">under </w:t>
      </w:r>
      <w:r w:rsidR="003061DB" w:rsidRPr="003061DB">
        <w:rPr>
          <w:i/>
          <w:iCs/>
        </w:rPr>
        <w:t>Ward</w:t>
      </w:r>
      <w:r w:rsidR="00382887">
        <w:t xml:space="preserve"> </w:t>
      </w:r>
      <w:r w:rsidR="00776D97">
        <w:t xml:space="preserve">appears to </w:t>
      </w:r>
      <w:r w:rsidR="000C17A3">
        <w:t xml:space="preserve">be </w:t>
      </w:r>
      <w:r w:rsidR="00382887">
        <w:t>lower</w:t>
      </w:r>
      <w:r w:rsidR="00E571C1">
        <w:t xml:space="preserve"> </w:t>
      </w:r>
      <w:r w:rsidR="00993E24">
        <w:t>than the law of negligence</w:t>
      </w:r>
      <w:r w:rsidR="000C17A3">
        <w:t xml:space="preserve">. </w:t>
      </w:r>
      <w:r w:rsidR="00825473">
        <w:t xml:space="preserve">As is well known, </w:t>
      </w:r>
      <w:r w:rsidR="00993E24">
        <w:t xml:space="preserve"> compensable mental distress must reach the level of personal injury</w:t>
      </w:r>
      <w:bookmarkStart w:id="5" w:name="_Ref78154002"/>
      <w:r w:rsidR="00993E24">
        <w:rPr>
          <w:rStyle w:val="FootnoteReference"/>
        </w:rPr>
        <w:footnoteReference w:id="23"/>
      </w:r>
      <w:bookmarkEnd w:id="5"/>
      <w:r w:rsidR="00993E24">
        <w:t xml:space="preserve"> </w:t>
      </w:r>
      <w:r w:rsidR="00825473">
        <w:t xml:space="preserve">in a negligence action </w:t>
      </w:r>
      <w:r w:rsidR="00062AAA">
        <w:t>though no longer hav</w:t>
      </w:r>
      <w:r w:rsidR="00A07814">
        <w:t xml:space="preserve">ing to </w:t>
      </w:r>
      <w:r w:rsidR="00786C07">
        <w:t xml:space="preserve">amount to </w:t>
      </w:r>
      <w:r w:rsidR="007E7025">
        <w:t>a “</w:t>
      </w:r>
      <w:r w:rsidR="007E7025" w:rsidRPr="007E7025">
        <w:t>r</w:t>
      </w:r>
      <w:r w:rsidR="007E7025">
        <w:t>ecognizable psychiatric illness”.</w:t>
      </w:r>
      <w:r w:rsidR="00062AAA">
        <w:rPr>
          <w:rStyle w:val="FootnoteReference"/>
        </w:rPr>
        <w:footnoteReference w:id="24"/>
      </w:r>
      <w:r w:rsidR="00993E24">
        <w:t xml:space="preserve"> As the </w:t>
      </w:r>
      <w:r w:rsidR="00EF4ABD">
        <w:t>Supreme Court of Canada in</w:t>
      </w:r>
      <w:r w:rsidR="00062AAA">
        <w:t xml:space="preserve"> </w:t>
      </w:r>
      <w:r w:rsidR="00361399" w:rsidRPr="008A30A9">
        <w:rPr>
          <w:i/>
          <w:iCs/>
        </w:rPr>
        <w:t xml:space="preserve">Mustapha v </w:t>
      </w:r>
      <w:proofErr w:type="spellStart"/>
      <w:r w:rsidR="00361399" w:rsidRPr="008A30A9">
        <w:rPr>
          <w:i/>
          <w:iCs/>
        </w:rPr>
        <w:t>Culligan</w:t>
      </w:r>
      <w:proofErr w:type="spellEnd"/>
      <w:r w:rsidR="00361399" w:rsidRPr="008A30A9">
        <w:rPr>
          <w:i/>
          <w:iCs/>
        </w:rPr>
        <w:t xml:space="preserve"> of Canada Ltd</w:t>
      </w:r>
      <w:r w:rsidR="00361399" w:rsidRPr="00EF4ABD" w:rsidDel="00361399">
        <w:rPr>
          <w:i/>
          <w:iCs/>
        </w:rPr>
        <w:t xml:space="preserve"> </w:t>
      </w:r>
      <w:r w:rsidR="00993E24">
        <w:t>state</w:t>
      </w:r>
      <w:r w:rsidR="00EF4ABD">
        <w:t>d in 2008</w:t>
      </w:r>
      <w:r w:rsidR="00993E24">
        <w:t xml:space="preserve">: </w:t>
      </w:r>
    </w:p>
    <w:p w14:paraId="78C4FE7C" w14:textId="06CA0B24" w:rsidR="007B2F9D" w:rsidRDefault="00993E24" w:rsidP="00DB67B7">
      <w:pPr>
        <w:spacing w:before="100" w:beforeAutospacing="1" w:after="100" w:afterAutospacing="1"/>
        <w:ind w:left="360"/>
      </w:pPr>
      <w:r>
        <w:t xml:space="preserve">The law does not recognize upset, disgust, anxiety, agitation or other mental states that fall short of injury. I would not purport to define compensable injury exhaustively, except to say that it must be serious and prolonged and rise above the ordinary annoyances, anxieties and fears that people living in society routinely, if sometimes reluctantly, accept. The need to accept such upsets rather than seek redress in tort is what I take the Court of Appeal to be expressing in its quote from </w:t>
      </w:r>
      <w:r>
        <w:rPr>
          <w:i/>
          <w:iCs/>
        </w:rPr>
        <w:t>Vanek v. Great Atlantic &amp; Pacific Co. of Canada</w:t>
      </w:r>
      <w:r>
        <w:t xml:space="preserve"> (1999), </w:t>
      </w:r>
      <w:r w:rsidRPr="00DB67B7">
        <w:t>1999 CanLII 2863 (ON CA)</w:t>
      </w:r>
      <w:r>
        <w:t xml:space="preserve">, 48 O.R. (3d) 228 (C.A.): “Life goes on” (para. 60). Quite simply, minor and transient upsets do not constitute personal </w:t>
      </w:r>
      <w:r>
        <w:rPr>
          <w:i/>
          <w:iCs/>
        </w:rPr>
        <w:t>injury</w:t>
      </w:r>
      <w:r>
        <w:t>, and hence do not amount to damage.</w:t>
      </w:r>
      <w:r>
        <w:rPr>
          <w:rStyle w:val="FootnoteReference"/>
        </w:rPr>
        <w:footnoteReference w:id="25"/>
      </w:r>
      <w:r>
        <w:t> </w:t>
      </w:r>
    </w:p>
    <w:p w14:paraId="781EC46B" w14:textId="0BE9D43D" w:rsidR="00F14B63" w:rsidRDefault="00EF4ABD" w:rsidP="00B95662">
      <w:pPr>
        <w:spacing w:before="100" w:beforeAutospacing="1" w:after="100" w:afterAutospacing="1"/>
      </w:pPr>
      <w:r>
        <w:t xml:space="preserve">The </w:t>
      </w:r>
      <w:r w:rsidR="00DB67B7">
        <w:t>Supreme Court of Canada</w:t>
      </w:r>
      <w:r w:rsidR="007B2F9D">
        <w:t xml:space="preserve"> recent</w:t>
      </w:r>
      <w:r>
        <w:t>ly affirmed this approach in the 2017 case of</w:t>
      </w:r>
      <w:r w:rsidR="007B2F9D">
        <w:t xml:space="preserve"> </w:t>
      </w:r>
      <w:proofErr w:type="spellStart"/>
      <w:r w:rsidR="007B2F9D" w:rsidRPr="00EF4ABD">
        <w:rPr>
          <w:i/>
          <w:iCs/>
        </w:rPr>
        <w:t>Saadati</w:t>
      </w:r>
      <w:proofErr w:type="spellEnd"/>
      <w:r w:rsidR="00A55602">
        <w:t>, stating: “</w:t>
      </w:r>
      <w:r w:rsidR="007B2F9D">
        <w:t xml:space="preserve">[A]s </w:t>
      </w:r>
      <w:r w:rsidR="007B2F9D" w:rsidRPr="007B2F9D">
        <w:rPr>
          <w:i/>
          <w:iCs/>
        </w:rPr>
        <w:t>Mustapha</w:t>
      </w:r>
      <w:r w:rsidR="007B2F9D">
        <w:t xml:space="preserve"> makes clear, mental </w:t>
      </w:r>
      <w:r w:rsidR="007B2F9D" w:rsidRPr="008A30A9">
        <w:rPr>
          <w:i/>
          <w:iCs/>
        </w:rPr>
        <w:t>injury</w:t>
      </w:r>
      <w:r w:rsidR="007B2F9D">
        <w:t xml:space="preserve"> is not proven by the existence of mere psychological </w:t>
      </w:r>
      <w:r w:rsidR="007B2F9D" w:rsidRPr="008A30A9">
        <w:rPr>
          <w:i/>
          <w:iCs/>
        </w:rPr>
        <w:t>upset</w:t>
      </w:r>
      <w:r w:rsidR="007B2F9D">
        <w:t>. While, therefore, tort law protects persons from negligent interference with their mental health, there is no legally cognizable right to happiness</w:t>
      </w:r>
      <w:r w:rsidR="00D26767">
        <w:t xml:space="preserve"> [emphasis in original].</w:t>
      </w:r>
      <w:r w:rsidR="00A55602">
        <w:t>”</w:t>
      </w:r>
      <w:r w:rsidR="007B2F9D">
        <w:rPr>
          <w:rStyle w:val="FootnoteReference"/>
        </w:rPr>
        <w:footnoteReference w:id="26"/>
      </w:r>
      <w:r w:rsidR="00993E24">
        <w:t> </w:t>
      </w:r>
      <w:r w:rsidR="00062AAA">
        <w:t xml:space="preserve">In short, </w:t>
      </w:r>
      <w:r w:rsidR="00722847" w:rsidRPr="008A30A9">
        <w:rPr>
          <w:i/>
          <w:iCs/>
        </w:rPr>
        <w:t>Mustapha</w:t>
      </w:r>
      <w:r w:rsidR="00B64B9D">
        <w:t xml:space="preserve"> distinguishes between</w:t>
      </w:r>
      <w:r w:rsidR="00722847">
        <w:t xml:space="preserve"> mental </w:t>
      </w:r>
      <w:r w:rsidR="00722847">
        <w:lastRenderedPageBreak/>
        <w:t>injury</w:t>
      </w:r>
      <w:r w:rsidR="00F14B63">
        <w:t>,</w:t>
      </w:r>
      <w:r w:rsidR="00B64B9D">
        <w:t xml:space="preserve"> </w:t>
      </w:r>
      <w:r w:rsidR="00C269EB">
        <w:t>on the one hand,</w:t>
      </w:r>
      <w:r w:rsidR="0066105F">
        <w:t xml:space="preserve"> </w:t>
      </w:r>
      <w:r w:rsidR="006F39F6">
        <w:t xml:space="preserve">and </w:t>
      </w:r>
      <w:r w:rsidR="00062AAA">
        <w:t>upset</w:t>
      </w:r>
      <w:r w:rsidR="00C269EB">
        <w:t xml:space="preserve"> in the sense of “ordinary” and “routine” emotional discomfort,</w:t>
      </w:r>
      <w:r w:rsidR="00FA198C">
        <w:t xml:space="preserve"> on the other. </w:t>
      </w:r>
      <w:r w:rsidR="00F14B63">
        <w:t>O</w:t>
      </w:r>
      <w:r w:rsidR="00A07814">
        <w:t xml:space="preserve">nly the </w:t>
      </w:r>
      <w:r w:rsidR="006F39F6">
        <w:t>former</w:t>
      </w:r>
      <w:r w:rsidR="00FA198C">
        <w:t xml:space="preserve"> is </w:t>
      </w:r>
      <w:r w:rsidR="00A07814">
        <w:t xml:space="preserve">compensable </w:t>
      </w:r>
      <w:r w:rsidR="00A07814" w:rsidRPr="008A30A9">
        <w:t xml:space="preserve">under the </w:t>
      </w:r>
      <w:r w:rsidR="00F14B63" w:rsidRPr="008A30A9">
        <w:t xml:space="preserve">private </w:t>
      </w:r>
      <w:r w:rsidR="00A07814" w:rsidRPr="008A30A9">
        <w:t>law of negligence</w:t>
      </w:r>
      <w:r w:rsidR="00D26767">
        <w:t>.</w:t>
      </w:r>
      <w:r w:rsidR="00062AAA">
        <w:t xml:space="preserve">  </w:t>
      </w:r>
    </w:p>
    <w:p w14:paraId="26C0633B" w14:textId="7589E676" w:rsidR="00A07814" w:rsidRPr="00827AB2" w:rsidRDefault="007B2F9D" w:rsidP="00DB67B7">
      <w:pPr>
        <w:spacing w:before="100" w:beforeAutospacing="1" w:after="100" w:afterAutospacing="1"/>
        <w:ind w:firstLine="360"/>
        <w:rPr>
          <w:i/>
          <w:iCs/>
        </w:rPr>
      </w:pPr>
      <w:r>
        <w:t xml:space="preserve">In </w:t>
      </w:r>
      <w:r w:rsidR="00827AB2">
        <w:t xml:space="preserve">the public law arena of </w:t>
      </w:r>
      <w:r w:rsidR="003061DB" w:rsidRPr="003061DB">
        <w:rPr>
          <w:i/>
          <w:iCs/>
        </w:rPr>
        <w:t>Charter</w:t>
      </w:r>
      <w:r>
        <w:t xml:space="preserve"> breaches</w:t>
      </w:r>
      <w:r w:rsidR="00827AB2">
        <w:t>, however,</w:t>
      </w:r>
      <w:r w:rsidR="00DD2F45">
        <w:t xml:space="preserve"> something less than </w:t>
      </w:r>
      <w:r w:rsidR="005F6ED1">
        <w:t xml:space="preserve">mental </w:t>
      </w:r>
      <w:r w:rsidR="00DD2F45">
        <w:t>injury might</w:t>
      </w:r>
      <w:r w:rsidR="000C78F6">
        <w:t xml:space="preserve"> also</w:t>
      </w:r>
      <w:r w:rsidR="00DD2F45">
        <w:t xml:space="preserve"> do</w:t>
      </w:r>
      <w:r w:rsidR="00827AB2">
        <w:t>. According to th</w:t>
      </w:r>
      <w:r w:rsidR="00DD2F45">
        <w:t xml:space="preserve">e </w:t>
      </w:r>
      <w:r>
        <w:t xml:space="preserve">court in </w:t>
      </w:r>
      <w:r w:rsidR="003061DB" w:rsidRPr="003061DB">
        <w:rPr>
          <w:i/>
          <w:iCs/>
        </w:rPr>
        <w:t>Ward</w:t>
      </w:r>
      <w:r w:rsidR="00827AB2">
        <w:rPr>
          <w:i/>
          <w:iCs/>
        </w:rPr>
        <w:t xml:space="preserve">: </w:t>
      </w:r>
    </w:p>
    <w:p w14:paraId="439A6859" w14:textId="1A7870B9" w:rsidR="00B43ADA" w:rsidRDefault="00B43ADA" w:rsidP="00DB67B7">
      <w:pPr>
        <w:spacing w:before="100" w:beforeAutospacing="1" w:after="100" w:afterAutospacing="1"/>
        <w:ind w:left="360"/>
      </w:pPr>
      <w:r>
        <w:t xml:space="preserve">Compensation focuses on the claimant’s personal loss: physical, psychological and pecuniary. To these types of loss must be added harm to the claimant’s intangible interests. </w:t>
      </w:r>
      <w:r w:rsidRPr="00551551">
        <w:rPr>
          <w:b/>
          <w:bCs/>
        </w:rPr>
        <w:t>In the public law damages context</w:t>
      </w:r>
      <w:r>
        <w:t xml:space="preserve">, courts have variously recognized this harm as distress, humiliation, embarrassment, and anxiety: </w:t>
      </w:r>
      <w:proofErr w:type="spellStart"/>
      <w:r>
        <w:rPr>
          <w:i/>
          <w:iCs/>
        </w:rPr>
        <w:t>Dunlea</w:t>
      </w:r>
      <w:proofErr w:type="spellEnd"/>
      <w:r>
        <w:t xml:space="preserve">; </w:t>
      </w:r>
      <w:proofErr w:type="spellStart"/>
      <w:r>
        <w:rPr>
          <w:i/>
          <w:iCs/>
        </w:rPr>
        <w:t>Bivens</w:t>
      </w:r>
      <w:proofErr w:type="spellEnd"/>
      <w:r>
        <w:rPr>
          <w:i/>
          <w:iCs/>
        </w:rPr>
        <w:t xml:space="preserve"> v. Six Unknown Named Agents of Federal Bureau of Narcotics</w:t>
      </w:r>
      <w:r>
        <w:t xml:space="preserve">, 403 U.S. 388 (1971); </w:t>
      </w:r>
      <w:proofErr w:type="spellStart"/>
      <w:r>
        <w:rPr>
          <w:i/>
          <w:iCs/>
        </w:rPr>
        <w:t>Taunoa</w:t>
      </w:r>
      <w:proofErr w:type="spellEnd"/>
      <w:r>
        <w:rPr>
          <w:i/>
          <w:iCs/>
        </w:rPr>
        <w:t xml:space="preserve"> v. Attorney-General</w:t>
      </w:r>
      <w:r>
        <w:t xml:space="preserve">, [2007] NZSC 70, [2008] 1 N.Z.L.R. 429. </w:t>
      </w:r>
      <w:r w:rsidR="00102A5A">
        <w:t xml:space="preserve">Often the harm to intangible interests effected by a breach of rights will merge with psychological harm. But </w:t>
      </w:r>
      <w:r w:rsidR="00102A5A" w:rsidRPr="00D36D81">
        <w:rPr>
          <w:b/>
          <w:bCs/>
        </w:rPr>
        <w:t>a resilient claimant whose intangible interests are harmed should not be precluded from recovering damages simply because she cannot prove a substantial psychological injury</w:t>
      </w:r>
      <w:r w:rsidR="00FA198C">
        <w:t xml:space="preserve"> [emphas</w:t>
      </w:r>
      <w:r w:rsidR="00D36D81">
        <w:t>i</w:t>
      </w:r>
      <w:r w:rsidR="00FA198C">
        <w:t>s added].</w:t>
      </w:r>
      <w:r w:rsidR="00EF4ABD">
        <w:rPr>
          <w:rStyle w:val="FootnoteReference"/>
        </w:rPr>
        <w:footnoteReference w:id="27"/>
      </w:r>
    </w:p>
    <w:p w14:paraId="175016B6" w14:textId="0C13702B" w:rsidR="00DD2F45" w:rsidRDefault="005F6ED1" w:rsidP="008A30A9">
      <w:pPr>
        <w:spacing w:before="100" w:beforeAutospacing="1" w:after="100" w:afterAutospacing="1"/>
        <w:contextualSpacing/>
      </w:pPr>
      <w:r>
        <w:t xml:space="preserve">In this quotation, </w:t>
      </w:r>
      <w:r w:rsidRPr="00DB67B7">
        <w:rPr>
          <w:i/>
          <w:iCs/>
        </w:rPr>
        <w:t>Ward</w:t>
      </w:r>
      <w:r>
        <w:t xml:space="preserve"> establishes two categories of loss. The first </w:t>
      </w:r>
      <w:r w:rsidR="00B64B9D">
        <w:t>is personal loss</w:t>
      </w:r>
      <w:r w:rsidR="00A0306A">
        <w:t xml:space="preserve"> and this category </w:t>
      </w:r>
      <w:r w:rsidR="00F241DB">
        <w:t xml:space="preserve">expressly </w:t>
      </w:r>
      <w:r w:rsidR="00A0306A">
        <w:t>includes</w:t>
      </w:r>
      <w:r w:rsidR="00B64B9D">
        <w:t xml:space="preserve"> psychological</w:t>
      </w:r>
      <w:r>
        <w:t xml:space="preserve"> loss</w:t>
      </w:r>
      <w:r w:rsidR="00722847">
        <w:t>.</w:t>
      </w:r>
      <w:r w:rsidR="00B64B9D">
        <w:t xml:space="preserve"> Ward’s second category</w:t>
      </w:r>
      <w:r w:rsidR="00521CAC">
        <w:t xml:space="preserve"> </w:t>
      </w:r>
      <w:r w:rsidR="00B64B9D">
        <w:t xml:space="preserve">is </w:t>
      </w:r>
      <w:r w:rsidR="00521CAC">
        <w:t xml:space="preserve">harm </w:t>
      </w:r>
      <w:r w:rsidR="00B64B9D">
        <w:t>to intangible interests which it expressly define</w:t>
      </w:r>
      <w:r w:rsidR="00731BA4">
        <w:t>d</w:t>
      </w:r>
      <w:r w:rsidR="00B64B9D">
        <w:t xml:space="preserve"> in the context of </w:t>
      </w:r>
      <w:r w:rsidR="00B64B9D" w:rsidRPr="00825473">
        <w:t>public law</w:t>
      </w:r>
      <w:r w:rsidR="00B64B9D">
        <w:t xml:space="preserve"> as a harm going to distress, humiliation, embarrassment and anxiety. </w:t>
      </w:r>
      <w:r w:rsidR="00A0306A">
        <w:t xml:space="preserve">This </w:t>
      </w:r>
      <w:r w:rsidR="00521CAC">
        <w:t xml:space="preserve">distinction </w:t>
      </w:r>
      <w:r w:rsidR="005A59F6">
        <w:t>g</w:t>
      </w:r>
      <w:r w:rsidR="00A0306A">
        <w:t>ives one pause since, i</w:t>
      </w:r>
      <w:r w:rsidR="00B64B9D">
        <w:t xml:space="preserve">n the private law sphere, harm to intangible interests </w:t>
      </w:r>
      <w:r w:rsidR="00A0306A">
        <w:t>would already be</w:t>
      </w:r>
      <w:r w:rsidR="00B64B9D">
        <w:t xml:space="preserve"> included in </w:t>
      </w:r>
      <w:r w:rsidR="00A0306A">
        <w:t xml:space="preserve">the psychological </w:t>
      </w:r>
      <w:r w:rsidR="0053103F">
        <w:t xml:space="preserve">category of loss </w:t>
      </w:r>
      <w:r w:rsidR="00B64B9D">
        <w:t>provided it me</w:t>
      </w:r>
      <w:r w:rsidR="00A0306A">
        <w:t>t</w:t>
      </w:r>
      <w:r w:rsidR="00B64B9D">
        <w:t xml:space="preserve"> the threshold set in </w:t>
      </w:r>
      <w:r w:rsidR="00B64B9D" w:rsidRPr="007F5819">
        <w:rPr>
          <w:i/>
          <w:iCs/>
        </w:rPr>
        <w:t>Mustapha</w:t>
      </w:r>
      <w:r w:rsidR="00FA198C">
        <w:t>, namely having been “serious and prolonged.”</w:t>
      </w:r>
      <w:r w:rsidR="00722847">
        <w:t xml:space="preserve"> </w:t>
      </w:r>
      <w:r w:rsidR="005A59F6">
        <w:t>Therefore, o</w:t>
      </w:r>
      <w:r w:rsidR="00A0306A">
        <w:t xml:space="preserve">ne </w:t>
      </w:r>
      <w:r w:rsidR="005A59F6">
        <w:t xml:space="preserve">very sustainable </w:t>
      </w:r>
      <w:r w:rsidR="00A0306A">
        <w:t xml:space="preserve">interpretation of </w:t>
      </w:r>
      <w:r w:rsidR="00A0306A" w:rsidRPr="007F5819">
        <w:rPr>
          <w:i/>
          <w:iCs/>
        </w:rPr>
        <w:t>Ward</w:t>
      </w:r>
      <w:r w:rsidR="00A0306A">
        <w:t xml:space="preserve"> is that, in the public sphere only, harm to</w:t>
      </w:r>
      <w:r w:rsidR="00722847">
        <w:t xml:space="preserve"> intangible interests </w:t>
      </w:r>
      <w:r w:rsidR="00A0306A">
        <w:t xml:space="preserve">is </w:t>
      </w:r>
      <w:r w:rsidR="00722847">
        <w:t xml:space="preserve">compensable even </w:t>
      </w:r>
      <w:r w:rsidR="00A0306A">
        <w:t xml:space="preserve">without meeting </w:t>
      </w:r>
      <w:r w:rsidR="00722847">
        <w:t xml:space="preserve">the strict </w:t>
      </w:r>
      <w:r w:rsidR="00FA198C">
        <w:t xml:space="preserve">test set </w:t>
      </w:r>
      <w:r w:rsidR="00722847">
        <w:t xml:space="preserve">in </w:t>
      </w:r>
      <w:r w:rsidR="00B64B9D" w:rsidRPr="007F5819">
        <w:rPr>
          <w:i/>
          <w:iCs/>
        </w:rPr>
        <w:t>Mustapha</w:t>
      </w:r>
      <w:r w:rsidR="00B64B9D">
        <w:t xml:space="preserve">. </w:t>
      </w:r>
      <w:r w:rsidR="00FA198C">
        <w:t xml:space="preserve">Indeed, </w:t>
      </w:r>
      <w:r w:rsidR="00A0306A">
        <w:t xml:space="preserve">if </w:t>
      </w:r>
      <w:r w:rsidR="00A0306A">
        <w:rPr>
          <w:i/>
          <w:iCs/>
        </w:rPr>
        <w:t xml:space="preserve">Mustapha </w:t>
      </w:r>
      <w:r w:rsidR="00A0306A">
        <w:t xml:space="preserve">ruled the day on all fronts, </w:t>
      </w:r>
      <w:r>
        <w:t xml:space="preserve">including in the public sphere, </w:t>
      </w:r>
      <w:r w:rsidR="005A59F6">
        <w:t xml:space="preserve">the court could </w:t>
      </w:r>
      <w:r w:rsidR="00187922">
        <w:t xml:space="preserve">easily </w:t>
      </w:r>
      <w:r w:rsidR="005A59F6">
        <w:t xml:space="preserve">have said so and </w:t>
      </w:r>
      <w:r w:rsidR="00A0306A">
        <w:t xml:space="preserve">there would be no need to make </w:t>
      </w:r>
      <w:r w:rsidR="00276237">
        <w:t xml:space="preserve">further </w:t>
      </w:r>
      <w:r w:rsidR="00A0306A">
        <w:t>distinctions</w:t>
      </w:r>
      <w:r>
        <w:t xml:space="preserve">. </w:t>
      </w:r>
      <w:r w:rsidR="00D82261">
        <w:t>Yet,</w:t>
      </w:r>
      <w:r w:rsidR="00187922">
        <w:t xml:space="preserve"> and on</w:t>
      </w:r>
      <w:r>
        <w:t xml:space="preserve"> the contrary, there is no mention of </w:t>
      </w:r>
      <w:r w:rsidR="00FA198C" w:rsidRPr="007F5819">
        <w:rPr>
          <w:i/>
          <w:iCs/>
        </w:rPr>
        <w:t>Mustapha</w:t>
      </w:r>
      <w:r w:rsidR="00FA198C">
        <w:t xml:space="preserve"> </w:t>
      </w:r>
      <w:r>
        <w:t>at all</w:t>
      </w:r>
      <w:r w:rsidR="00771A79">
        <w:t xml:space="preserve"> in </w:t>
      </w:r>
      <w:r w:rsidR="00771A79" w:rsidRPr="007F5819">
        <w:rPr>
          <w:i/>
          <w:iCs/>
        </w:rPr>
        <w:t>Ward</w:t>
      </w:r>
      <w:r w:rsidR="00720035">
        <w:t>, presumably because</w:t>
      </w:r>
      <w:r w:rsidR="00771A79">
        <w:t xml:space="preserve"> </w:t>
      </w:r>
      <w:r w:rsidR="00776D97">
        <w:t xml:space="preserve">the court </w:t>
      </w:r>
      <w:r w:rsidR="00D94387">
        <w:t xml:space="preserve">wanted to treat </w:t>
      </w:r>
      <w:r w:rsidR="003061DB" w:rsidRPr="003061DB">
        <w:rPr>
          <w:i/>
          <w:iCs/>
        </w:rPr>
        <w:t>Charter</w:t>
      </w:r>
      <w:r w:rsidR="00D94387">
        <w:t xml:space="preserve"> breaches as distinct from the law of negligence</w:t>
      </w:r>
      <w:r w:rsidR="00771A79">
        <w:t xml:space="preserve"> at this juncture.</w:t>
      </w:r>
      <w:r w:rsidR="00D94387">
        <w:rPr>
          <w:rStyle w:val="FootnoteReference"/>
        </w:rPr>
        <w:footnoteReference w:id="28"/>
      </w:r>
      <w:r w:rsidR="00D94387">
        <w:t xml:space="preserve"> </w:t>
      </w:r>
      <w:r w:rsidR="00F14B63">
        <w:t xml:space="preserve">This is certainly the interpretation which </w:t>
      </w:r>
      <w:r w:rsidR="006F39F6">
        <w:t>WH Charles</w:t>
      </w:r>
      <w:r w:rsidR="00F14B63">
        <w:t xml:space="preserve"> gives to the matter.</w:t>
      </w:r>
      <w:r w:rsidR="006F39F6">
        <w:t xml:space="preserve"> </w:t>
      </w:r>
      <w:r w:rsidR="00F14B63">
        <w:t>I</w:t>
      </w:r>
      <w:r w:rsidR="006F39F6">
        <w:t xml:space="preserve">n </w:t>
      </w:r>
      <w:r w:rsidR="00A0306A">
        <w:t xml:space="preserve">a </w:t>
      </w:r>
      <w:r w:rsidR="006F39F6">
        <w:t>2016</w:t>
      </w:r>
      <w:r w:rsidR="00C269EB">
        <w:t xml:space="preserve"> publication</w:t>
      </w:r>
      <w:r w:rsidR="00D94387">
        <w:t xml:space="preserve">, </w:t>
      </w:r>
      <w:r w:rsidR="00F14B63">
        <w:t xml:space="preserve">Charles states that </w:t>
      </w:r>
      <w:r w:rsidR="00D94387">
        <w:t>recover</w:t>
      </w:r>
      <w:r w:rsidR="00382887">
        <w:t>y</w:t>
      </w:r>
      <w:r w:rsidR="00D94387">
        <w:t xml:space="preserve"> in </w:t>
      </w:r>
      <w:r w:rsidR="003061DB" w:rsidRPr="003061DB">
        <w:rPr>
          <w:i/>
          <w:iCs/>
        </w:rPr>
        <w:t>Ward</w:t>
      </w:r>
      <w:r w:rsidR="00D94387">
        <w:t xml:space="preserve"> for </w:t>
      </w:r>
      <w:r w:rsidR="006F39F6" w:rsidRPr="008D04B8">
        <w:t>intangible loss is</w:t>
      </w:r>
      <w:r w:rsidR="00382887">
        <w:t xml:space="preserve"> indeed,</w:t>
      </w:r>
      <w:r w:rsidR="006F39F6" w:rsidRPr="008D04B8">
        <w:t xml:space="preserve"> </w:t>
      </w:r>
      <w:r w:rsidR="00382887">
        <w:t>“</w:t>
      </w:r>
      <w:r w:rsidR="006F39F6" w:rsidRPr="008D04B8">
        <w:t xml:space="preserve">unique to public law in that it covers personal emotional reactions such as humiliation, embarrassment, and anxiety, none of which would be considered legally recognized </w:t>
      </w:r>
      <w:r w:rsidR="006500DD">
        <w:lastRenderedPageBreak/>
        <w:t>i</w:t>
      </w:r>
      <w:r w:rsidR="006F39F6" w:rsidRPr="008D04B8">
        <w:t>njuries in private or civil law</w:t>
      </w:r>
      <w:r w:rsidR="006F39F6">
        <w:t>.</w:t>
      </w:r>
      <w:r w:rsidR="006F39F6" w:rsidRPr="008D04B8">
        <w:t>”</w:t>
      </w:r>
      <w:r w:rsidR="006F39F6">
        <w:rPr>
          <w:rStyle w:val="FootnoteReference"/>
        </w:rPr>
        <w:footnoteReference w:id="29"/>
      </w:r>
      <w:r w:rsidR="006F39F6" w:rsidRPr="008D04B8">
        <w:t xml:space="preserve"> </w:t>
      </w:r>
      <w:r w:rsidR="00125BFF">
        <w:t xml:space="preserve">This reading of </w:t>
      </w:r>
      <w:r w:rsidR="003061DB" w:rsidRPr="003061DB">
        <w:rPr>
          <w:i/>
          <w:iCs/>
        </w:rPr>
        <w:t>Ward</w:t>
      </w:r>
      <w:r w:rsidR="00125BFF">
        <w:t xml:space="preserve"> is entirely sustainable though, interestingly, not one that has been widely explored.</w:t>
      </w:r>
      <w:bookmarkStart w:id="6" w:name="_Ref78192168"/>
      <w:r w:rsidR="00125BFF">
        <w:rPr>
          <w:rStyle w:val="FootnoteReference"/>
        </w:rPr>
        <w:footnoteReference w:id="30"/>
      </w:r>
      <w:bookmarkEnd w:id="6"/>
      <w:r w:rsidR="00EF4ABD">
        <w:t xml:space="preserve"> </w:t>
      </w:r>
    </w:p>
    <w:p w14:paraId="0FB2F40D" w14:textId="77777777" w:rsidR="000077A6" w:rsidRDefault="000077A6" w:rsidP="00C761FD">
      <w:pPr>
        <w:spacing w:before="100" w:beforeAutospacing="1" w:after="100" w:afterAutospacing="1"/>
        <w:contextualSpacing/>
      </w:pPr>
    </w:p>
    <w:p w14:paraId="6D460541" w14:textId="0BC52929" w:rsidR="005F249A" w:rsidRDefault="009A00AF" w:rsidP="00B95662">
      <w:pPr>
        <w:spacing w:before="100" w:beforeAutospacing="1" w:after="100" w:afterAutospacing="1"/>
        <w:ind w:firstLine="720"/>
      </w:pPr>
      <w:r>
        <w:t xml:space="preserve">It </w:t>
      </w:r>
      <w:r w:rsidR="00970BFD">
        <w:t xml:space="preserve">can </w:t>
      </w:r>
      <w:r w:rsidR="00224DA6">
        <w:t xml:space="preserve">be </w:t>
      </w:r>
      <w:r>
        <w:t xml:space="preserve">difficult to know exactly what courts are doing when they award damages under </w:t>
      </w:r>
      <w:r w:rsidRPr="00DD45FE">
        <w:rPr>
          <w:i/>
          <w:iCs/>
        </w:rPr>
        <w:t>PIPEDA</w:t>
      </w:r>
      <w:r w:rsidR="006560D9">
        <w:t xml:space="preserve"> because analysis is </w:t>
      </w:r>
      <w:r w:rsidR="00A529B1">
        <w:t xml:space="preserve">typically </w:t>
      </w:r>
      <w:r w:rsidR="006560D9">
        <w:t>kept at a more general level</w:t>
      </w:r>
      <w:r w:rsidR="005F6ED1">
        <w:t xml:space="preserve">. This </w:t>
      </w:r>
      <w:r w:rsidR="00A529B1">
        <w:t xml:space="preserve">is perfectly acceptable under </w:t>
      </w:r>
      <w:proofErr w:type="spellStart"/>
      <w:r w:rsidR="00A529B1" w:rsidRPr="007F5819">
        <w:rPr>
          <w:i/>
          <w:iCs/>
        </w:rPr>
        <w:t>Nammo</w:t>
      </w:r>
      <w:proofErr w:type="spellEnd"/>
      <w:r w:rsidR="00E92F08">
        <w:t xml:space="preserve"> because</w:t>
      </w:r>
      <w:r w:rsidR="00A529B1">
        <w:t xml:space="preserve">, further to this precedent, </w:t>
      </w:r>
      <w:r w:rsidR="00E92F08">
        <w:t>plaintiffs are not required</w:t>
      </w:r>
      <w:r w:rsidR="00720035">
        <w:t xml:space="preserve"> to</w:t>
      </w:r>
      <w:r w:rsidR="00E92F08">
        <w:t xml:space="preserve"> </w:t>
      </w:r>
      <w:r>
        <w:t>quantify the harm suffered</w:t>
      </w:r>
      <w:r w:rsidR="00A529B1">
        <w:t>; rather,</w:t>
      </w:r>
      <w:r>
        <w:t xml:space="preserve"> such claims </w:t>
      </w:r>
      <w:r w:rsidR="00A529B1">
        <w:t xml:space="preserve">can be </w:t>
      </w:r>
      <w:r>
        <w:t>absorbed under the vindicatory and deterrence aspects</w:t>
      </w:r>
      <w:r w:rsidR="00F241DB">
        <w:t xml:space="preserve"> of a damage award</w:t>
      </w:r>
      <w:r w:rsidR="005F249A">
        <w:t>.</w:t>
      </w:r>
      <w:r w:rsidR="00E92F08">
        <w:rPr>
          <w:rStyle w:val="FootnoteReference"/>
        </w:rPr>
        <w:footnoteReference w:id="31"/>
      </w:r>
      <w:r>
        <w:t xml:space="preserve"> </w:t>
      </w:r>
      <w:r w:rsidR="000538E6">
        <w:rPr>
          <w:i/>
          <w:iCs/>
        </w:rPr>
        <w:t>Biron,</w:t>
      </w:r>
      <w:r w:rsidR="00187922" w:rsidRPr="00187922">
        <w:t xml:space="preserve"> </w:t>
      </w:r>
      <w:r w:rsidR="00187922">
        <w:t xml:space="preserve">however, is a clear example of courts addressing intangible loss head on and making a damage award accordingly. </w:t>
      </w:r>
      <w:r w:rsidR="005F249A">
        <w:t>The facts are these: B</w:t>
      </w:r>
      <w:r w:rsidR="00187922">
        <w:t xml:space="preserve">iron complained that RBC had wrongfully disclosed her credit card statements </w:t>
      </w:r>
      <w:r w:rsidR="005F249A">
        <w:t xml:space="preserve">in relation to divorce proceedings between her current spouse and his </w:t>
      </w:r>
      <w:r w:rsidR="00771A79">
        <w:t xml:space="preserve">now </w:t>
      </w:r>
      <w:r w:rsidR="005F249A">
        <w:t xml:space="preserve">former wife. This disclosure was made by the bank to counsel for the former wife. The disclosure came to pass because Biron held a credit card jointly with her </w:t>
      </w:r>
      <w:r w:rsidR="00771A79">
        <w:t xml:space="preserve">current </w:t>
      </w:r>
      <w:r w:rsidR="005F249A">
        <w:t>spouse and her information was revealed along with his.</w:t>
      </w:r>
      <w:r w:rsidR="005F249A">
        <w:rPr>
          <w:rStyle w:val="FootnoteReference"/>
        </w:rPr>
        <w:footnoteReference w:id="32"/>
      </w:r>
      <w:r w:rsidR="005F249A">
        <w:t xml:space="preserve"> Of note is that Biron asked RBC on two occasions to stop disclosing </w:t>
      </w:r>
      <w:r w:rsidR="009E310C">
        <w:t xml:space="preserve">her personal financial </w:t>
      </w:r>
      <w:r w:rsidR="005F249A">
        <w:t xml:space="preserve"> information.</w:t>
      </w:r>
      <w:r w:rsidR="005F249A">
        <w:rPr>
          <w:rStyle w:val="FootnoteReference"/>
        </w:rPr>
        <w:footnoteReference w:id="33"/>
      </w:r>
      <w:r w:rsidR="005F249A">
        <w:t xml:space="preserve"> </w:t>
      </w:r>
      <w:r w:rsidR="00771A79">
        <w:t>T</w:t>
      </w:r>
      <w:r w:rsidR="005F249A">
        <w:t xml:space="preserve">he court ruled that RBC had breached </w:t>
      </w:r>
      <w:r w:rsidR="005F249A" w:rsidRPr="003964B2">
        <w:rPr>
          <w:i/>
          <w:iCs/>
        </w:rPr>
        <w:t>PIPEDA</w:t>
      </w:r>
      <w:r w:rsidR="005F249A">
        <w:t xml:space="preserve"> and in relation to the damages claim stated as follows: </w:t>
      </w:r>
    </w:p>
    <w:p w14:paraId="028EB8D9" w14:textId="1832406B" w:rsidR="00187922" w:rsidRDefault="00187922" w:rsidP="007F5819">
      <w:pPr>
        <w:spacing w:before="100" w:beforeAutospacing="1" w:after="100" w:afterAutospacing="1"/>
        <w:ind w:left="720"/>
      </w:pPr>
      <w:r>
        <w:t xml:space="preserve">The only evidence submitted by Ms. Biron in support of her total claim for $15,000 in damages, that is, $5,000 for distress and inconvenience and $10,000 for moral damages, is limited to the representations she had to make to the Privacy Commissioner, the letters sent to RBC and the time spent in helping her </w:t>
      </w:r>
      <w:r>
        <w:lastRenderedPageBreak/>
        <w:t>spouse in defending himself again</w:t>
      </w:r>
      <w:r w:rsidR="00B95662">
        <w:t>st</w:t>
      </w:r>
      <w:r>
        <w:t xml:space="preserve"> his ex-wife’s allegations resulting from the review of the money spent using the joint credit card.</w:t>
      </w:r>
    </w:p>
    <w:p w14:paraId="571E8AFF" w14:textId="7A299783" w:rsidR="00187922" w:rsidRDefault="00187922" w:rsidP="007F5819">
      <w:pPr>
        <w:spacing w:before="100" w:beforeAutospacing="1" w:after="100" w:afterAutospacing="1"/>
        <w:ind w:left="720"/>
      </w:pPr>
      <w:r>
        <w:t>The Court therefore concludes that, given that Ms. Biron, as a third party in a divorce proceeding, objected twice to her personal information being discl</w:t>
      </w:r>
      <w:r w:rsidRPr="001132B3">
        <w:t xml:space="preserve">osed, that </w:t>
      </w:r>
      <w:r w:rsidRPr="007F5819">
        <w:rPr>
          <w:b/>
          <w:bCs/>
        </w:rPr>
        <w:t>she suffered</w:t>
      </w:r>
      <w:r w:rsidR="005F249A" w:rsidRPr="007F5819">
        <w:rPr>
          <w:b/>
          <w:bCs/>
        </w:rPr>
        <w:t xml:space="preserve"> humiliation</w:t>
      </w:r>
      <w:r w:rsidRPr="001132B3">
        <w:t xml:space="preserve"> under </w:t>
      </w:r>
      <w:hyperlink r:id="rId8" w:anchor="sec16_smooth" w:history="1">
        <w:r w:rsidRPr="007F5819">
          <w:rPr>
            <w:rStyle w:val="Hyperlink"/>
            <w:color w:val="auto"/>
            <w:u w:val="none"/>
          </w:rPr>
          <w:t>paragraph 16</w:t>
        </w:r>
      </w:hyperlink>
      <w:r w:rsidRPr="001132B3">
        <w:t>(</w:t>
      </w:r>
      <w:r w:rsidRPr="001132B3">
        <w:rPr>
          <w:i/>
          <w:iCs/>
        </w:rPr>
        <w:t>c</w:t>
      </w:r>
      <w:r w:rsidRPr="001132B3">
        <w:t xml:space="preserve">) of the </w:t>
      </w:r>
      <w:hyperlink r:id="rId9" w:history="1">
        <w:r w:rsidRPr="007F5819">
          <w:rPr>
            <w:rStyle w:val="Hyperlink"/>
            <w:color w:val="auto"/>
            <w:u w:val="none"/>
          </w:rPr>
          <w:t>Act</w:t>
        </w:r>
      </w:hyperlink>
      <w:r w:rsidRPr="001132B3">
        <w:t xml:space="preserve"> and that the d</w:t>
      </w:r>
      <w:r>
        <w:t>amages sought by Ms. Biron are directly related to RBC’s fault, the Court awards $2,500 plus interest and costs, to be paid to Ms. Biron by RBC</w:t>
      </w:r>
      <w:r w:rsidR="001132B3">
        <w:t xml:space="preserve"> [emphasis added]</w:t>
      </w:r>
      <w:r w:rsidR="00184324">
        <w:t>.</w:t>
      </w:r>
      <w:r w:rsidR="001132B3">
        <w:rPr>
          <w:rStyle w:val="FootnoteReference"/>
        </w:rPr>
        <w:footnoteReference w:id="34"/>
      </w:r>
    </w:p>
    <w:p w14:paraId="2BE0E7CB" w14:textId="42E21C5D" w:rsidR="00187922" w:rsidRPr="00083AAD" w:rsidRDefault="00771A79" w:rsidP="00083AAD">
      <w:pPr>
        <w:spacing w:before="100" w:beforeAutospacing="1" w:after="100" w:afterAutospacing="1"/>
      </w:pPr>
      <w:r>
        <w:t>T</w:t>
      </w:r>
      <w:r w:rsidR="008F3518">
        <w:t>he global amount of $2,500 includ</w:t>
      </w:r>
      <w:r w:rsidR="001132B3">
        <w:t>ed</w:t>
      </w:r>
      <w:r w:rsidR="008F3518">
        <w:t xml:space="preserve"> compensation for humiliation (as </w:t>
      </w:r>
      <w:r w:rsidR="008F3518" w:rsidRPr="003964B2">
        <w:rPr>
          <w:i/>
          <w:iCs/>
        </w:rPr>
        <w:t>PIPEDA</w:t>
      </w:r>
      <w:r w:rsidR="008F3518">
        <w:t xml:space="preserve"> expressly permits) but</w:t>
      </w:r>
      <w:r>
        <w:t xml:space="preserve"> </w:t>
      </w:r>
      <w:r w:rsidR="00720035">
        <w:t xml:space="preserve">seemingly </w:t>
      </w:r>
      <w:r w:rsidR="001132B3">
        <w:t xml:space="preserve">not for humiliation at the level required by </w:t>
      </w:r>
      <w:r w:rsidR="001132B3" w:rsidRPr="00551551">
        <w:rPr>
          <w:i/>
          <w:iCs/>
        </w:rPr>
        <w:t>Mustapha</w:t>
      </w:r>
      <w:r w:rsidR="001132B3">
        <w:t xml:space="preserve">, namely </w:t>
      </w:r>
      <w:r>
        <w:t xml:space="preserve">as </w:t>
      </w:r>
      <w:r w:rsidR="001132B3">
        <w:t xml:space="preserve">being </w:t>
      </w:r>
      <w:r w:rsidR="008F3518">
        <w:t>s</w:t>
      </w:r>
      <w:r>
        <w:t>erious</w:t>
      </w:r>
      <w:r w:rsidR="008F3518">
        <w:t xml:space="preserve"> and prolonged. </w:t>
      </w:r>
      <w:r w:rsidR="00083AAD">
        <w:t xml:space="preserve">This is in line with understanding </w:t>
      </w:r>
      <w:r w:rsidR="00083AAD">
        <w:rPr>
          <w:i/>
          <w:iCs/>
        </w:rPr>
        <w:t>PIPEDA</w:t>
      </w:r>
      <w:r w:rsidR="00083AAD">
        <w:t xml:space="preserve">’s right of </w:t>
      </w:r>
      <w:r w:rsidR="00FD5296">
        <w:t>application for damages</w:t>
      </w:r>
      <w:r w:rsidR="00083AAD">
        <w:t xml:space="preserve"> as based on a distinct functional approach </w:t>
      </w:r>
      <w:r w:rsidR="00B84B87">
        <w:t xml:space="preserve">pursuant to </w:t>
      </w:r>
      <w:r w:rsidR="002D400D">
        <w:t xml:space="preserve">statute </w:t>
      </w:r>
      <w:r w:rsidR="00FD5296">
        <w:t xml:space="preserve">rather </w:t>
      </w:r>
      <w:r w:rsidR="00083AAD">
        <w:t>than</w:t>
      </w:r>
      <w:r w:rsidR="00FD5296">
        <w:t xml:space="preserve"> on</w:t>
      </w:r>
      <w:r w:rsidR="00083AAD">
        <w:t xml:space="preserve"> the tort of negligence.</w:t>
      </w:r>
    </w:p>
    <w:p w14:paraId="51C74FC5" w14:textId="24726A53" w:rsidR="001132B3" w:rsidRDefault="001132B3" w:rsidP="003964B2">
      <w:pPr>
        <w:spacing w:before="100" w:beforeAutospacing="1" w:after="100" w:afterAutospacing="1"/>
        <w:ind w:firstLine="720"/>
      </w:pPr>
      <w:r>
        <w:t xml:space="preserve">Similarly, the court in </w:t>
      </w:r>
      <w:r w:rsidRPr="00551551">
        <w:rPr>
          <w:i/>
          <w:iCs/>
        </w:rPr>
        <w:t>Landry</w:t>
      </w:r>
      <w:r w:rsidR="00DA43D1">
        <w:rPr>
          <w:rStyle w:val="FootnoteReference"/>
        </w:rPr>
        <w:footnoteReference w:id="35"/>
      </w:r>
      <w:r>
        <w:t xml:space="preserve"> awarded damages under </w:t>
      </w:r>
      <w:r w:rsidRPr="003964B2">
        <w:rPr>
          <w:i/>
          <w:iCs/>
        </w:rPr>
        <w:t>PIPEDA</w:t>
      </w:r>
      <w:r>
        <w:t xml:space="preserve"> for wrongful disclosure of the applicant’s financial information to her </w:t>
      </w:r>
      <w:r w:rsidR="00771A79">
        <w:t xml:space="preserve">then </w:t>
      </w:r>
      <w:r>
        <w:t>husband</w:t>
      </w:r>
      <w:r w:rsidR="00771A79">
        <w:t xml:space="preserve"> from whom she was divorcing</w:t>
      </w:r>
      <w:r>
        <w:t>. In the global quantum awarded, the court compensated for humiliation</w:t>
      </w:r>
      <w:r w:rsidR="00771A79">
        <w:t xml:space="preserve"> with no reference to the </w:t>
      </w:r>
      <w:r w:rsidR="00771A79" w:rsidRPr="00551551">
        <w:rPr>
          <w:i/>
          <w:iCs/>
        </w:rPr>
        <w:t>Mustapha</w:t>
      </w:r>
      <w:r w:rsidR="00771A79">
        <w:t xml:space="preserve"> test: </w:t>
      </w:r>
      <w:r>
        <w:t xml:space="preserve">  </w:t>
      </w:r>
    </w:p>
    <w:p w14:paraId="6DF462B4" w14:textId="126A0526" w:rsidR="001132B3" w:rsidRDefault="001132B3" w:rsidP="00551551">
      <w:pPr>
        <w:spacing w:before="100" w:beforeAutospacing="1" w:after="100" w:afterAutospacing="1"/>
        <w:ind w:left="720"/>
      </w:pPr>
      <w:r>
        <w:t xml:space="preserve">Taking into account the contributory fault of the applicant, who was partially responsible for her own problems, and the serious breach committed by the respondent’s employee and its subsequent cover-up, the Court finds that the applicant </w:t>
      </w:r>
      <w:r w:rsidRPr="00551551">
        <w:rPr>
          <w:b/>
          <w:bCs/>
        </w:rPr>
        <w:t>suffered humiliation</w:t>
      </w:r>
      <w:r>
        <w:t xml:space="preserve"> under </w:t>
      </w:r>
      <w:r w:rsidRPr="003964B2">
        <w:t>paragraph 16</w:t>
      </w:r>
      <w:r>
        <w:t>(</w:t>
      </w:r>
      <w:r>
        <w:rPr>
          <w:i/>
          <w:iCs/>
        </w:rPr>
        <w:t>c</w:t>
      </w:r>
      <w:r>
        <w:t xml:space="preserve">) of the </w:t>
      </w:r>
      <w:r w:rsidRPr="003964B2">
        <w:t>Act</w:t>
      </w:r>
      <w:r>
        <w:t xml:space="preserve"> and that the respondent’s negligence warrants the applicant being compensated but does not give rise to exemplary </w:t>
      </w:r>
      <w:r>
        <w:rPr>
          <w:rStyle w:val="solexhl"/>
        </w:rPr>
        <w:t>damages</w:t>
      </w:r>
      <w:r>
        <w:t xml:space="preserve"> as requested. Consequently, we fix an amount of $4,500 with interest and costs to be paid to the applicant by the respondent [emphasis added]</w:t>
      </w:r>
      <w:r w:rsidR="00184324">
        <w:t>.</w:t>
      </w:r>
      <w:r>
        <w:rPr>
          <w:rStyle w:val="FootnoteReference"/>
        </w:rPr>
        <w:footnoteReference w:id="36"/>
      </w:r>
    </w:p>
    <w:p w14:paraId="6D3BEE9A" w14:textId="4391775E" w:rsidR="008F3518" w:rsidRDefault="00771A79" w:rsidP="006C2DAF">
      <w:pPr>
        <w:spacing w:before="100" w:beforeAutospacing="1" w:after="100" w:afterAutospacing="1"/>
        <w:ind w:firstLine="720"/>
      </w:pPr>
      <w:r>
        <w:t>C</w:t>
      </w:r>
      <w:r w:rsidR="006C6615">
        <w:t xml:space="preserve">ases like </w:t>
      </w:r>
      <w:proofErr w:type="spellStart"/>
      <w:r w:rsidR="006C6615" w:rsidRPr="00BC0AEC">
        <w:rPr>
          <w:i/>
          <w:iCs/>
          <w:lang w:val="en-US"/>
        </w:rPr>
        <w:t>Montalbo</w:t>
      </w:r>
      <w:proofErr w:type="spellEnd"/>
      <w:r w:rsidR="006C6615" w:rsidRPr="00BC0AEC">
        <w:rPr>
          <w:i/>
          <w:iCs/>
          <w:lang w:val="en-US"/>
        </w:rPr>
        <w:t xml:space="preserve"> v Royal Bank of Canada</w:t>
      </w:r>
      <w:r w:rsidR="006C6615">
        <w:rPr>
          <w:rStyle w:val="FootnoteReference"/>
          <w:lang w:val="en-US"/>
        </w:rPr>
        <w:footnoteReference w:id="37"/>
      </w:r>
      <w:r w:rsidR="006C6615">
        <w:t xml:space="preserve"> (</w:t>
      </w:r>
      <w:proofErr w:type="spellStart"/>
      <w:r w:rsidR="006C6615" w:rsidRPr="006C6615">
        <w:rPr>
          <w:i/>
          <w:iCs/>
        </w:rPr>
        <w:t>Montalbo</w:t>
      </w:r>
      <w:proofErr w:type="spellEnd"/>
      <w:r w:rsidR="006C6615">
        <w:t xml:space="preserve">) </w:t>
      </w:r>
      <w:r>
        <w:t>take a different approach</w:t>
      </w:r>
      <w:r w:rsidR="00BA69A4">
        <w:t xml:space="preserve"> to recognizing distress that does not meet the test in </w:t>
      </w:r>
      <w:r w:rsidR="00BA69A4">
        <w:rPr>
          <w:i/>
          <w:iCs/>
        </w:rPr>
        <w:t>Mustapha</w:t>
      </w:r>
      <w:r>
        <w:t xml:space="preserve">. </w:t>
      </w:r>
      <w:r w:rsidR="006C6615">
        <w:t xml:space="preserve">In </w:t>
      </w:r>
      <w:proofErr w:type="spellStart"/>
      <w:r w:rsidR="006C6615" w:rsidRPr="00551551">
        <w:rPr>
          <w:i/>
          <w:iCs/>
        </w:rPr>
        <w:t>Montalbo</w:t>
      </w:r>
      <w:proofErr w:type="spellEnd"/>
      <w:r w:rsidR="006C6615">
        <w:t>, the applicant alleged that the Royal Bank failed to safeguard her personal information disclosed in relation to her residential property mortgage application.</w:t>
      </w:r>
      <w:r w:rsidR="006C6615">
        <w:rPr>
          <w:rStyle w:val="FootnoteReference"/>
        </w:rPr>
        <w:footnoteReference w:id="38"/>
      </w:r>
      <w:r w:rsidR="006C6615">
        <w:t xml:space="preserve"> The court agreed that the Royal Bank’s safeguards were inadequate and the information itself was highly sensitive. However, the court criticized the self-represented applicant for not properly proving her damage claim. For example, the court stated as follows: “The Applicant states in her affidavit that this situation has caused her some sleepless nights, physical </w:t>
      </w:r>
      <w:r w:rsidR="006C6615">
        <w:lastRenderedPageBreak/>
        <w:t>and mental distress, depression, loss of concentration at work resulting in a three (3) day suspension without pay. She also claims to have had an accident at work. However, the Applicant has failed to articulate these allegations.”</w:t>
      </w:r>
      <w:r w:rsidR="006C6615">
        <w:rPr>
          <w:rStyle w:val="FootnoteReference"/>
        </w:rPr>
        <w:footnoteReference w:id="39"/>
      </w:r>
      <w:r w:rsidR="006C6615">
        <w:t xml:space="preserve"> In response to the applicant’s failure to fully explain herself, the court went on to simply </w:t>
      </w:r>
      <w:r w:rsidR="006C6615" w:rsidRPr="003061DB">
        <w:t>awa</w:t>
      </w:r>
      <w:r w:rsidR="006C6615">
        <w:t>rd “nominal damages”</w:t>
      </w:r>
      <w:r w:rsidR="00F63231">
        <w:rPr>
          <w:rStyle w:val="FootnoteReference"/>
        </w:rPr>
        <w:footnoteReference w:id="40"/>
      </w:r>
      <w:r w:rsidR="006C6615">
        <w:t xml:space="preserve"> of $2000 for “some anxiety and stress.”</w:t>
      </w:r>
      <w:r w:rsidR="006C6615">
        <w:rPr>
          <w:rStyle w:val="FootnoteReference"/>
        </w:rPr>
        <w:footnoteReference w:id="41"/>
      </w:r>
      <w:r w:rsidR="006C6615">
        <w:t xml:space="preserve"> </w:t>
      </w:r>
      <w:r w:rsidR="00720035">
        <w:t>N</w:t>
      </w:r>
      <w:r w:rsidR="008F3518">
        <w:t xml:space="preserve">ominal damages is a term of art </w:t>
      </w:r>
      <w:r w:rsidR="006C2DAF">
        <w:t>referring to a “sum awarded where the plaintiff's legal right has been invaded, but no damage has been proved.”</w:t>
      </w:r>
      <w:bookmarkStart w:id="7" w:name="_Ref78192092"/>
      <w:r w:rsidR="008F3518">
        <w:rPr>
          <w:rStyle w:val="FootnoteReference"/>
        </w:rPr>
        <w:footnoteReference w:id="42"/>
      </w:r>
      <w:bookmarkEnd w:id="7"/>
      <w:r w:rsidR="008F3518">
        <w:t xml:space="preserve"> </w:t>
      </w:r>
      <w:r w:rsidR="00FC6FB2">
        <w:t>Given that nominal damages are largely regarded as vindicatory damages</w:t>
      </w:r>
      <w:r w:rsidR="00F85572">
        <w:t>,</w:t>
      </w:r>
      <w:r w:rsidR="00720035">
        <w:rPr>
          <w:rStyle w:val="FootnoteReference"/>
        </w:rPr>
        <w:footnoteReference w:id="43"/>
      </w:r>
      <w:r w:rsidR="00FC6FB2">
        <w:t xml:space="preserve"> there was no </w:t>
      </w:r>
      <w:r w:rsidR="00EE480D">
        <w:t xml:space="preserve">apparent </w:t>
      </w:r>
      <w:r w:rsidR="00FC6FB2">
        <w:t xml:space="preserve">need for the court to proceed under that banner. It could have simply awarded damages </w:t>
      </w:r>
      <w:r w:rsidR="00720035">
        <w:t xml:space="preserve">according to the </w:t>
      </w:r>
      <w:r w:rsidR="00BA69A4">
        <w:t xml:space="preserve">express </w:t>
      </w:r>
      <w:r w:rsidR="00720035">
        <w:t xml:space="preserve">framework established in </w:t>
      </w:r>
      <w:proofErr w:type="spellStart"/>
      <w:r w:rsidR="00FC6FB2" w:rsidRPr="00551551">
        <w:rPr>
          <w:i/>
          <w:iCs/>
        </w:rPr>
        <w:t>Nammo</w:t>
      </w:r>
      <w:proofErr w:type="spellEnd"/>
      <w:r w:rsidR="00FC6FB2">
        <w:t xml:space="preserve">.  </w:t>
      </w:r>
    </w:p>
    <w:p w14:paraId="4C8F3D20" w14:textId="7944E8B6" w:rsidR="00D94387" w:rsidRPr="008F2437" w:rsidRDefault="00D94387" w:rsidP="00BC0AEC">
      <w:pPr>
        <w:spacing w:before="100" w:beforeAutospacing="1" w:after="100" w:afterAutospacing="1"/>
        <w:ind w:firstLine="720"/>
      </w:pPr>
      <w:r>
        <w:t xml:space="preserve">Whether </w:t>
      </w:r>
      <w:r w:rsidR="00577AD7">
        <w:t>judicial</w:t>
      </w:r>
      <w:r>
        <w:t xml:space="preserve"> flexibility or expansiveness </w:t>
      </w:r>
      <w:r w:rsidR="00BA69A4">
        <w:t xml:space="preserve">regarding emotional distress </w:t>
      </w:r>
      <w:r w:rsidR="00577AD7">
        <w:t xml:space="preserve">under </w:t>
      </w:r>
      <w:r w:rsidR="003061DB" w:rsidRPr="003061DB">
        <w:rPr>
          <w:i/>
          <w:iCs/>
        </w:rPr>
        <w:t>PIPEDA</w:t>
      </w:r>
      <w:r w:rsidR="00577AD7">
        <w:t xml:space="preserve"> </w:t>
      </w:r>
      <w:r>
        <w:t xml:space="preserve">would change under </w:t>
      </w:r>
      <w:r w:rsidR="00092D58">
        <w:t>future legislation</w:t>
      </w:r>
      <w:r>
        <w:t xml:space="preserve"> is an open question</w:t>
      </w:r>
      <w:r w:rsidR="00092D58">
        <w:t>.</w:t>
      </w:r>
      <w:r>
        <w:t xml:space="preserve"> </w:t>
      </w:r>
      <w:r w:rsidR="00092D58">
        <w:t>It would be preferable</w:t>
      </w:r>
      <w:r w:rsidR="00743122">
        <w:t>, though,</w:t>
      </w:r>
      <w:r w:rsidR="00092D58">
        <w:t xml:space="preserve"> b</w:t>
      </w:r>
      <w:r>
        <w:t xml:space="preserve">oth from a theory and practice perspective for </w:t>
      </w:r>
      <w:r w:rsidR="00743122">
        <w:t xml:space="preserve">the law </w:t>
      </w:r>
      <w:r>
        <w:t>to</w:t>
      </w:r>
      <w:r w:rsidR="00743122">
        <w:t xml:space="preserve"> continue</w:t>
      </w:r>
      <w:r>
        <w:t xml:space="preserve"> with</w:t>
      </w:r>
      <w:r w:rsidR="002306BB">
        <w:t xml:space="preserve"> the court’s </w:t>
      </w:r>
      <w:r w:rsidR="002D22DB">
        <w:t xml:space="preserve">expansive understanding </w:t>
      </w:r>
      <w:r w:rsidR="002306BB">
        <w:t>under</w:t>
      </w:r>
      <w:r>
        <w:t xml:space="preserve"> </w:t>
      </w:r>
      <w:r w:rsidR="003061DB" w:rsidRPr="003061DB">
        <w:rPr>
          <w:i/>
          <w:iCs/>
        </w:rPr>
        <w:t>PIPEDA</w:t>
      </w:r>
      <w:r w:rsidR="002306BB">
        <w:t xml:space="preserve">. </w:t>
      </w:r>
      <w:r>
        <w:t xml:space="preserve">From the perspective of </w:t>
      </w:r>
      <w:r w:rsidR="002306BB">
        <w:t xml:space="preserve">public law </w:t>
      </w:r>
      <w:r>
        <w:t xml:space="preserve">theory, it is important for </w:t>
      </w:r>
      <w:r w:rsidR="00092D58">
        <w:t>privacy</w:t>
      </w:r>
      <w:r w:rsidR="000C17A3">
        <w:t xml:space="preserve"> </w:t>
      </w:r>
      <w:r w:rsidR="00092D58">
        <w:t xml:space="preserve">legislation </w:t>
      </w:r>
      <w:r>
        <w:t>to recognize</w:t>
      </w:r>
      <w:r w:rsidR="00577AD7">
        <w:t xml:space="preserve"> or mar</w:t>
      </w:r>
      <w:r w:rsidR="002306BB">
        <w:t>k</w:t>
      </w:r>
      <w:r>
        <w:t xml:space="preserve"> the violation of a quasi-constitutional interest</w:t>
      </w:r>
      <w:r w:rsidR="002306BB">
        <w:t xml:space="preserve"> even when the </w:t>
      </w:r>
      <w:r w:rsidR="00BA69A4">
        <w:t xml:space="preserve">court determines that the </w:t>
      </w:r>
      <w:r w:rsidR="002306BB">
        <w:t>result is not large.</w:t>
      </w:r>
      <w:r w:rsidR="00577AD7">
        <w:t xml:space="preserve"> From </w:t>
      </w:r>
      <w:r w:rsidR="00382887">
        <w:t xml:space="preserve">the perspective of practice, it is important that individual litigants – who are generally self represented </w:t>
      </w:r>
      <w:r w:rsidR="00825473">
        <w:rPr>
          <w:lang w:bidi="he-IL"/>
        </w:rPr>
        <w:t>–</w:t>
      </w:r>
      <w:r w:rsidR="00382887">
        <w:t xml:space="preserve"> receive something for their efforts</w:t>
      </w:r>
      <w:r w:rsidR="002306BB">
        <w:t xml:space="preserve"> in pursuing a privacy breach all the way </w:t>
      </w:r>
      <w:r w:rsidR="004013FE">
        <w:t xml:space="preserve">from the Privacy Commissioner’s Office </w:t>
      </w:r>
      <w:r w:rsidR="002306BB">
        <w:t>through the judicial system</w:t>
      </w:r>
      <w:r w:rsidR="00382887">
        <w:t xml:space="preserve">. In short, loss to intangible interest as understood in </w:t>
      </w:r>
      <w:r w:rsidR="003061DB" w:rsidRPr="003061DB">
        <w:rPr>
          <w:i/>
          <w:iCs/>
        </w:rPr>
        <w:t>Ward</w:t>
      </w:r>
      <w:r w:rsidR="00382887">
        <w:t xml:space="preserve"> </w:t>
      </w:r>
      <w:r w:rsidR="002306BB">
        <w:t>and</w:t>
      </w:r>
      <w:r w:rsidR="004013FE">
        <w:t>, by extension,</w:t>
      </w:r>
      <w:r w:rsidR="002306BB">
        <w:t xml:space="preserve"> </w:t>
      </w:r>
      <w:r w:rsidR="003061DB" w:rsidRPr="003061DB">
        <w:rPr>
          <w:i/>
          <w:iCs/>
        </w:rPr>
        <w:t>PIPEDA</w:t>
      </w:r>
      <w:r w:rsidR="002306BB">
        <w:t xml:space="preserve"> </w:t>
      </w:r>
      <w:r w:rsidR="00382887">
        <w:t>should</w:t>
      </w:r>
      <w:r w:rsidR="008A19E2">
        <w:t xml:space="preserve"> be</w:t>
      </w:r>
      <w:r w:rsidR="00382887">
        <w:t xml:space="preserve"> </w:t>
      </w:r>
      <w:r w:rsidR="008A19E2">
        <w:t xml:space="preserve">(or </w:t>
      </w:r>
      <w:r w:rsidR="00092D58">
        <w:t>continue to</w:t>
      </w:r>
      <w:r w:rsidR="00382887">
        <w:t xml:space="preserve"> be</w:t>
      </w:r>
      <w:r w:rsidR="008A19E2">
        <w:t>)</w:t>
      </w:r>
      <w:r w:rsidR="00382887">
        <w:t xml:space="preserve"> regarded as a </w:t>
      </w:r>
      <w:r w:rsidR="000C17A3">
        <w:t xml:space="preserve">compensable </w:t>
      </w:r>
      <w:r w:rsidR="00382887">
        <w:t>loss</w:t>
      </w:r>
      <w:r w:rsidR="00092D58">
        <w:t>.</w:t>
      </w:r>
      <w:r w:rsidR="00382887">
        <w:t xml:space="preserve"> </w:t>
      </w:r>
    </w:p>
    <w:p w14:paraId="56D2D057" w14:textId="77D4F0DE" w:rsidR="00747F97" w:rsidRDefault="00827AB2" w:rsidP="00BC0AEC">
      <w:pPr>
        <w:spacing w:before="100" w:beforeAutospacing="1" w:after="100" w:afterAutospacing="1"/>
        <w:ind w:firstLine="360"/>
      </w:pPr>
      <w:r>
        <w:t xml:space="preserve">   </w:t>
      </w:r>
      <w:r w:rsidR="00092D58">
        <w:t xml:space="preserve">In </w:t>
      </w:r>
      <w:proofErr w:type="spellStart"/>
      <w:r w:rsidR="008D04B8" w:rsidRPr="009410E3">
        <w:rPr>
          <w:i/>
          <w:iCs/>
        </w:rPr>
        <w:t>Nammo</w:t>
      </w:r>
      <w:proofErr w:type="spellEnd"/>
      <w:r w:rsidR="008D04B8">
        <w:t xml:space="preserve">, </w:t>
      </w:r>
      <w:r w:rsidR="002B79DC">
        <w:t xml:space="preserve">Zinn J ultimately quantified </w:t>
      </w:r>
      <w:proofErr w:type="spellStart"/>
      <w:r w:rsidR="00291290" w:rsidRPr="007A4601">
        <w:t>Nammo</w:t>
      </w:r>
      <w:r w:rsidR="002B79DC">
        <w:t>’s</w:t>
      </w:r>
      <w:proofErr w:type="spellEnd"/>
      <w:r w:rsidR="002B79DC">
        <w:t xml:space="preserve"> loss at $5,000 </w:t>
      </w:r>
      <w:r w:rsidR="007D692E">
        <w:t>“</w:t>
      </w:r>
      <w:r w:rsidR="004E4A00">
        <w:t>inclusive of humiliation</w:t>
      </w:r>
      <w:r w:rsidR="007D692E">
        <w:t xml:space="preserve"> he suffered as a result of the b</w:t>
      </w:r>
      <w:r w:rsidR="006B2434">
        <w:t>r</w:t>
      </w:r>
      <w:r w:rsidR="007D692E">
        <w:t xml:space="preserve">eaches of </w:t>
      </w:r>
      <w:r w:rsidR="003061DB" w:rsidRPr="003061DB">
        <w:rPr>
          <w:i/>
          <w:iCs/>
        </w:rPr>
        <w:t>PIPEDA</w:t>
      </w:r>
      <w:r w:rsidR="007D692E">
        <w:t xml:space="preserve"> by TransUnion.”</w:t>
      </w:r>
      <w:r w:rsidR="00532C7E">
        <w:rPr>
          <w:rStyle w:val="FootnoteReference"/>
        </w:rPr>
        <w:footnoteReference w:id="44"/>
      </w:r>
      <w:r w:rsidR="00092D58">
        <w:t xml:space="preserve"> </w:t>
      </w:r>
      <w:r w:rsidR="00787F5D">
        <w:t xml:space="preserve">Beyond compensation for humiliation, the </w:t>
      </w:r>
      <w:r w:rsidR="003061DB" w:rsidRPr="003061DB">
        <w:t>award</w:t>
      </w:r>
      <w:r w:rsidR="00787F5D">
        <w:t xml:space="preserve"> </w:t>
      </w:r>
      <w:r w:rsidR="004C4B8A">
        <w:t xml:space="preserve">in </w:t>
      </w:r>
      <w:proofErr w:type="spellStart"/>
      <w:r w:rsidR="00291290" w:rsidRPr="00291290">
        <w:rPr>
          <w:i/>
          <w:iCs/>
        </w:rPr>
        <w:t>Nammo</w:t>
      </w:r>
      <w:proofErr w:type="spellEnd"/>
      <w:r w:rsidR="004C4B8A">
        <w:t xml:space="preserve"> </w:t>
      </w:r>
      <w:r w:rsidR="00787F5D">
        <w:t>also presumably factored in the objectives of vindication and deterrence</w:t>
      </w:r>
      <w:r w:rsidR="008D04B8">
        <w:t xml:space="preserve"> (discussed below)</w:t>
      </w:r>
      <w:r w:rsidR="007D692E">
        <w:t xml:space="preserve"> since the monetary </w:t>
      </w:r>
      <w:r w:rsidR="003061DB" w:rsidRPr="003061DB">
        <w:t>award</w:t>
      </w:r>
      <w:r w:rsidR="007D692E">
        <w:t xml:space="preserve"> was “inclusive” of humiliation and not limited to </w:t>
      </w:r>
      <w:r w:rsidR="000B0A60">
        <w:t>humil</w:t>
      </w:r>
      <w:r w:rsidR="00D52356">
        <w:t>i</w:t>
      </w:r>
      <w:r w:rsidR="000B0A60">
        <w:t>ation alone</w:t>
      </w:r>
      <w:r w:rsidR="007D692E">
        <w:t>.</w:t>
      </w:r>
      <w:r w:rsidR="00787F5D">
        <w:t xml:space="preserve"> </w:t>
      </w:r>
      <w:r w:rsidR="00D52356">
        <w:t>In short, t</w:t>
      </w:r>
      <w:r w:rsidR="000B0A60">
        <w:t xml:space="preserve">hough </w:t>
      </w:r>
      <w:proofErr w:type="spellStart"/>
      <w:r w:rsidR="00291290" w:rsidRPr="009410E3">
        <w:lastRenderedPageBreak/>
        <w:t>Nammo</w:t>
      </w:r>
      <w:proofErr w:type="spellEnd"/>
      <w:r w:rsidR="000B0A60">
        <w:t xml:space="preserve"> suffered no demonstrated </w:t>
      </w:r>
      <w:r w:rsidR="00C115E0">
        <w:t>pecuniary</w:t>
      </w:r>
      <w:r w:rsidR="000B0A60">
        <w:t xml:space="preserve"> loss, this was not an impediment to damages. Rather, the court </w:t>
      </w:r>
      <w:r w:rsidR="000B0A60">
        <w:rPr>
          <w:lang w:bidi="he-IL"/>
        </w:rPr>
        <w:t xml:space="preserve">in </w:t>
      </w:r>
      <w:proofErr w:type="spellStart"/>
      <w:r w:rsidR="00291290" w:rsidRPr="00291290">
        <w:rPr>
          <w:i/>
          <w:iCs/>
          <w:lang w:bidi="he-IL"/>
        </w:rPr>
        <w:t>Nammo</w:t>
      </w:r>
      <w:proofErr w:type="spellEnd"/>
      <w:r w:rsidR="000B0A60">
        <w:rPr>
          <w:lang w:bidi="he-IL"/>
        </w:rPr>
        <w:t xml:space="preserve"> concluded that the </w:t>
      </w:r>
      <w:r w:rsidR="00C115E0">
        <w:rPr>
          <w:lang w:bidi="he-IL"/>
        </w:rPr>
        <w:t xml:space="preserve">various </w:t>
      </w:r>
      <w:r w:rsidR="000B0A60">
        <w:rPr>
          <w:lang w:bidi="he-IL"/>
        </w:rPr>
        <w:t xml:space="preserve">goals for </w:t>
      </w:r>
      <w:r w:rsidR="003061DB" w:rsidRPr="003061DB">
        <w:rPr>
          <w:lang w:bidi="he-IL"/>
        </w:rPr>
        <w:t>awarding</w:t>
      </w:r>
      <w:r w:rsidR="000B0A60">
        <w:rPr>
          <w:lang w:bidi="he-IL"/>
        </w:rPr>
        <w:t xml:space="preserve"> damages for a </w:t>
      </w:r>
      <w:r w:rsidR="003061DB" w:rsidRPr="003061DB">
        <w:rPr>
          <w:i/>
          <w:iCs/>
          <w:lang w:bidi="he-IL"/>
        </w:rPr>
        <w:t>Charter</w:t>
      </w:r>
      <w:r w:rsidR="000B0A60">
        <w:rPr>
          <w:i/>
          <w:iCs/>
          <w:lang w:bidi="he-IL"/>
        </w:rPr>
        <w:t xml:space="preserve"> </w:t>
      </w:r>
      <w:r w:rsidR="000B0A60">
        <w:rPr>
          <w:lang w:bidi="he-IL"/>
        </w:rPr>
        <w:t>breach include “compensation, for which loss is relevant, but also vindication and deterrence, for which loss is not a determinative factor.”</w:t>
      </w:r>
      <w:r w:rsidR="00D33107">
        <w:t xml:space="preserve"> </w:t>
      </w:r>
      <w:r w:rsidR="00495229">
        <w:t xml:space="preserve">It stands to reason, though, that in face of personal loss, there is more to vindicate and there is more to deter, hence increasing quanta. </w:t>
      </w:r>
    </w:p>
    <w:p w14:paraId="3437ABD2" w14:textId="7D9E5900" w:rsidR="004E4A00" w:rsidRPr="002763E7" w:rsidRDefault="002763E7" w:rsidP="00706E87">
      <w:pPr>
        <w:pStyle w:val="ListParagraph"/>
        <w:numPr>
          <w:ilvl w:val="0"/>
          <w:numId w:val="3"/>
        </w:numPr>
        <w:spacing w:before="100" w:beforeAutospacing="1" w:after="100" w:afterAutospacing="1"/>
        <w:rPr>
          <w:b/>
          <w:bCs/>
        </w:rPr>
      </w:pPr>
      <w:r>
        <w:rPr>
          <w:b/>
          <w:bCs/>
        </w:rPr>
        <w:t xml:space="preserve">The </w:t>
      </w:r>
      <w:r w:rsidR="00747F97" w:rsidRPr="002763E7">
        <w:rPr>
          <w:b/>
          <w:bCs/>
        </w:rPr>
        <w:t>Vindication</w:t>
      </w:r>
      <w:r>
        <w:rPr>
          <w:b/>
          <w:bCs/>
        </w:rPr>
        <w:t xml:space="preserve"> Function</w:t>
      </w:r>
      <w:r w:rsidR="00495229" w:rsidRPr="002763E7">
        <w:rPr>
          <w:b/>
          <w:bCs/>
        </w:rPr>
        <w:t xml:space="preserve">   </w:t>
      </w:r>
    </w:p>
    <w:p w14:paraId="2AA9E907" w14:textId="2E925F38" w:rsidR="00D52356" w:rsidRDefault="00291290" w:rsidP="00E23AD0">
      <w:pPr>
        <w:spacing w:before="100" w:beforeAutospacing="1" w:after="100" w:afterAutospacing="1"/>
        <w:ind w:firstLine="720"/>
      </w:pPr>
      <w:bookmarkStart w:id="8" w:name="_Hlk80860755"/>
      <w:proofErr w:type="spellStart"/>
      <w:r w:rsidRPr="00291290">
        <w:rPr>
          <w:i/>
          <w:iCs/>
        </w:rPr>
        <w:t>Nammo</w:t>
      </w:r>
      <w:proofErr w:type="spellEnd"/>
      <w:r w:rsidR="00D52356">
        <w:t xml:space="preserve"> does not explain exactly what it mean</w:t>
      </w:r>
      <w:r w:rsidR="00346651">
        <w:t>t</w:t>
      </w:r>
      <w:r w:rsidR="00D52356">
        <w:t xml:space="preserve"> by </w:t>
      </w:r>
      <w:r w:rsidR="00ED7B9A">
        <w:t>“</w:t>
      </w:r>
      <w:r w:rsidR="00D52356">
        <w:t>vindication</w:t>
      </w:r>
      <w:r w:rsidR="00ED7B9A">
        <w:t>”</w:t>
      </w:r>
      <w:r w:rsidR="00D52356">
        <w:t xml:space="preserve"> but</w:t>
      </w:r>
      <w:r w:rsidR="007554E8">
        <w:t xml:space="preserve"> it seems directed </w:t>
      </w:r>
      <w:r w:rsidR="00E146EE">
        <w:t>at</w:t>
      </w:r>
      <w:r w:rsidR="00610190">
        <w:t xml:space="preserve"> </w:t>
      </w:r>
      <w:r w:rsidR="003061DB" w:rsidRPr="003061DB">
        <w:t>awarding</w:t>
      </w:r>
      <w:r w:rsidR="006B7586">
        <w:t xml:space="preserve"> </w:t>
      </w:r>
      <w:r w:rsidR="007554E8">
        <w:t xml:space="preserve">damages to vindicate </w:t>
      </w:r>
      <w:r w:rsidR="00D52356">
        <w:t xml:space="preserve">the victim </w:t>
      </w:r>
      <w:r w:rsidR="007554E8">
        <w:t xml:space="preserve">who </w:t>
      </w:r>
      <w:r w:rsidR="00E146EE">
        <w:t>h</w:t>
      </w:r>
      <w:r w:rsidR="007554E8">
        <w:t xml:space="preserve">as suffered a </w:t>
      </w:r>
      <w:r w:rsidR="00D52356">
        <w:t>privacy breach</w:t>
      </w:r>
      <w:r w:rsidR="001E6797">
        <w:t xml:space="preserve"> as well as “upholding the objects and values of </w:t>
      </w:r>
      <w:r w:rsidR="003061DB" w:rsidRPr="003061DB">
        <w:rPr>
          <w:i/>
          <w:iCs/>
        </w:rPr>
        <w:t>PIPEDA</w:t>
      </w:r>
      <w:r w:rsidR="00ED7B9A">
        <w:t>.</w:t>
      </w:r>
      <w:r w:rsidR="001E6797">
        <w:t>”</w:t>
      </w:r>
      <w:r w:rsidR="001E6797">
        <w:rPr>
          <w:rStyle w:val="FootnoteReference"/>
        </w:rPr>
        <w:footnoteReference w:id="45"/>
      </w:r>
      <w:r w:rsidR="00ED7B9A">
        <w:t xml:space="preserve"> </w:t>
      </w:r>
      <w:bookmarkEnd w:id="8"/>
      <w:r w:rsidR="00D52356">
        <w:t xml:space="preserve">This is appropriate given the </w:t>
      </w:r>
      <w:r w:rsidR="00BB76A8">
        <w:t xml:space="preserve">goals and values informing </w:t>
      </w:r>
      <w:r w:rsidR="003061DB" w:rsidRPr="003061DB">
        <w:rPr>
          <w:i/>
          <w:iCs/>
        </w:rPr>
        <w:t>PIPEDA</w:t>
      </w:r>
      <w:r w:rsidR="00BB76A8">
        <w:t xml:space="preserve"> </w:t>
      </w:r>
      <w:r w:rsidR="007554E8">
        <w:t xml:space="preserve">and is not open to criticism. </w:t>
      </w:r>
      <w:r w:rsidR="001E6797">
        <w:t>Indeed,</w:t>
      </w:r>
      <w:r w:rsidR="006B7586">
        <w:t xml:space="preserve"> the second </w:t>
      </w:r>
      <w:r w:rsidR="00ED7B9A">
        <w:t>notion of vindication</w:t>
      </w:r>
      <w:r w:rsidR="001E6797">
        <w:t xml:space="preserve"> builds on </w:t>
      </w:r>
      <w:r w:rsidR="003061DB" w:rsidRPr="003061DB">
        <w:rPr>
          <w:i/>
          <w:iCs/>
        </w:rPr>
        <w:t>Ward</w:t>
      </w:r>
      <w:r w:rsidR="007554E8">
        <w:t xml:space="preserve"> </w:t>
      </w:r>
      <w:r w:rsidR="001E6797">
        <w:t xml:space="preserve">wherein </w:t>
      </w:r>
      <w:r w:rsidR="007554E8">
        <w:t xml:space="preserve">vindication </w:t>
      </w:r>
      <w:r w:rsidR="002A325A">
        <w:t>relates to society at large in the form of reduced “public confidence” and “public faith”</w:t>
      </w:r>
      <w:r w:rsidR="002A325A">
        <w:rPr>
          <w:rStyle w:val="FootnoteReference"/>
        </w:rPr>
        <w:footnoteReference w:id="46"/>
      </w:r>
      <w:r w:rsidR="00F704AD">
        <w:t xml:space="preserve"> as a result of the violation.</w:t>
      </w:r>
      <w:r w:rsidR="002A325A">
        <w:t xml:space="preserve"> </w:t>
      </w:r>
      <w:r w:rsidR="00DA075D">
        <w:t xml:space="preserve">As the court </w:t>
      </w:r>
      <w:r w:rsidR="001E6797">
        <w:t xml:space="preserve">in </w:t>
      </w:r>
      <w:r w:rsidR="003061DB" w:rsidRPr="003061DB">
        <w:rPr>
          <w:i/>
          <w:iCs/>
        </w:rPr>
        <w:t>Ward</w:t>
      </w:r>
      <w:r w:rsidR="001E6797">
        <w:t xml:space="preserve"> </w:t>
      </w:r>
      <w:r w:rsidR="00DA075D">
        <w:t>observes, while “</w:t>
      </w:r>
      <w:r w:rsidR="007554E8">
        <w:t xml:space="preserve">one may speak of vindication as underlining the seriousness of the harm done to the claimant, vindication as an object of constitutional damages focuses on the harm the </w:t>
      </w:r>
      <w:r w:rsidR="003061DB" w:rsidRPr="003061DB">
        <w:rPr>
          <w:rStyle w:val="reflex2-link"/>
          <w:i/>
          <w:iCs/>
        </w:rPr>
        <w:t>Charter</w:t>
      </w:r>
      <w:r w:rsidR="007554E8">
        <w:t xml:space="preserve"> breach causes to the state and to society.</w:t>
      </w:r>
      <w:r w:rsidR="00DA075D">
        <w:t>”</w:t>
      </w:r>
      <w:r w:rsidR="007554E8">
        <w:rPr>
          <w:rStyle w:val="FootnoteReference"/>
        </w:rPr>
        <w:footnoteReference w:id="47"/>
      </w:r>
      <w:r w:rsidR="001E6797">
        <w:t xml:space="preserve">    </w:t>
      </w:r>
    </w:p>
    <w:p w14:paraId="2FEF73DE" w14:textId="4609B408" w:rsidR="00677182" w:rsidRDefault="007554E8" w:rsidP="0058243C">
      <w:pPr>
        <w:spacing w:before="100" w:beforeAutospacing="1" w:after="100" w:afterAutospacing="1"/>
        <w:ind w:firstLine="720"/>
      </w:pPr>
      <w:r>
        <w:t xml:space="preserve">It is fair to </w:t>
      </w:r>
      <w:r w:rsidR="007A4601">
        <w:t>conclude</w:t>
      </w:r>
      <w:r>
        <w:t xml:space="preserve"> that vindication under </w:t>
      </w:r>
      <w:r w:rsidR="003061DB" w:rsidRPr="003061DB">
        <w:rPr>
          <w:i/>
          <w:iCs/>
        </w:rPr>
        <w:t>PIPEDA</w:t>
      </w:r>
      <w:r w:rsidR="00F704AD">
        <w:rPr>
          <w:i/>
          <w:iCs/>
        </w:rPr>
        <w:t xml:space="preserve"> </w:t>
      </w:r>
      <w:r w:rsidR="005065CC">
        <w:t>involves</w:t>
      </w:r>
      <w:r>
        <w:t xml:space="preserve"> </w:t>
      </w:r>
      <w:r w:rsidR="00927DB4">
        <w:t>all</w:t>
      </w:r>
      <w:r>
        <w:t xml:space="preserve"> these aspects – vindication of the applicant who has suffered the breach of privacy</w:t>
      </w:r>
      <w:r w:rsidR="00927DB4">
        <w:t xml:space="preserve">, </w:t>
      </w:r>
      <w:r w:rsidR="00ED7B9A">
        <w:t xml:space="preserve">vindication as an </w:t>
      </w:r>
      <w:r w:rsidR="00927DB4">
        <w:t xml:space="preserve">advancement of </w:t>
      </w:r>
      <w:r w:rsidR="003061DB" w:rsidRPr="003061DB">
        <w:rPr>
          <w:i/>
          <w:iCs/>
        </w:rPr>
        <w:t>PIPEDA</w:t>
      </w:r>
      <w:r w:rsidR="00927DB4">
        <w:t xml:space="preserve">’s </w:t>
      </w:r>
      <w:r w:rsidR="00ED7B9A">
        <w:t xml:space="preserve">legislative </w:t>
      </w:r>
      <w:r w:rsidR="00927DB4">
        <w:t>objects</w:t>
      </w:r>
      <w:r w:rsidR="00F704AD">
        <w:t>,</w:t>
      </w:r>
      <w:r w:rsidR="00927DB4">
        <w:t xml:space="preserve"> </w:t>
      </w:r>
      <w:r w:rsidR="00ED7B9A">
        <w:t xml:space="preserve">and </w:t>
      </w:r>
      <w:r>
        <w:t xml:space="preserve">vindication </w:t>
      </w:r>
      <w:r w:rsidR="00CA443D">
        <w:t>in relation to societal harm.</w:t>
      </w:r>
      <w:bookmarkStart w:id="9" w:name="_Ref78154556"/>
      <w:r w:rsidR="004A28DC">
        <w:rPr>
          <w:rStyle w:val="FootnoteReference"/>
        </w:rPr>
        <w:footnoteReference w:id="48"/>
      </w:r>
      <w:bookmarkEnd w:id="9"/>
      <w:r w:rsidR="00346651">
        <w:t xml:space="preserve"> </w:t>
      </w:r>
      <w:r w:rsidR="00927DB4">
        <w:t xml:space="preserve">A stronger judicial valuing of </w:t>
      </w:r>
      <w:r w:rsidR="00ED7B9A">
        <w:t xml:space="preserve">vindication </w:t>
      </w:r>
      <w:r w:rsidR="00F704AD">
        <w:t>on these fronts</w:t>
      </w:r>
      <w:r w:rsidR="00ED7B9A">
        <w:t xml:space="preserve"> </w:t>
      </w:r>
      <w:r w:rsidR="00346651">
        <w:t>is also an</w:t>
      </w:r>
      <w:r w:rsidR="005440FB">
        <w:t xml:space="preserve"> important</w:t>
      </w:r>
      <w:r w:rsidR="00346651">
        <w:t xml:space="preserve"> avenue through which quantum could </w:t>
      </w:r>
      <w:r w:rsidR="00E91F7E">
        <w:t xml:space="preserve">reasonably </w:t>
      </w:r>
      <w:r w:rsidR="00346651">
        <w:t>be increased.</w:t>
      </w:r>
    </w:p>
    <w:p w14:paraId="39DC51AF" w14:textId="2EE36B37" w:rsidR="00747F97" w:rsidRPr="00F93D25" w:rsidRDefault="002763E7" w:rsidP="00706E87">
      <w:pPr>
        <w:pStyle w:val="ListParagraph"/>
        <w:numPr>
          <w:ilvl w:val="0"/>
          <w:numId w:val="3"/>
        </w:numPr>
        <w:spacing w:before="100" w:beforeAutospacing="1" w:after="100" w:afterAutospacing="1"/>
        <w:rPr>
          <w:b/>
          <w:bCs/>
        </w:rPr>
      </w:pPr>
      <w:r>
        <w:rPr>
          <w:b/>
          <w:bCs/>
        </w:rPr>
        <w:t xml:space="preserve">The </w:t>
      </w:r>
      <w:r w:rsidR="00747F97" w:rsidRPr="00F93D25">
        <w:rPr>
          <w:b/>
          <w:bCs/>
        </w:rPr>
        <w:t>Deterrence</w:t>
      </w:r>
      <w:r>
        <w:rPr>
          <w:b/>
          <w:bCs/>
        </w:rPr>
        <w:t xml:space="preserve"> Function</w:t>
      </w:r>
    </w:p>
    <w:p w14:paraId="3D5233F6" w14:textId="469B4460" w:rsidR="0082460B" w:rsidRDefault="007A4601" w:rsidP="007D1EAB">
      <w:pPr>
        <w:spacing w:before="100" w:beforeAutospacing="1" w:after="100" w:afterAutospacing="1"/>
        <w:ind w:firstLine="720"/>
      </w:pPr>
      <w:r>
        <w:t xml:space="preserve">Deterrence under </w:t>
      </w:r>
      <w:r w:rsidR="003061DB" w:rsidRPr="003061DB">
        <w:rPr>
          <w:i/>
          <w:iCs/>
        </w:rPr>
        <w:t>Ward</w:t>
      </w:r>
      <w:r>
        <w:t xml:space="preserve"> relates to the importance of deterring</w:t>
      </w:r>
      <w:r w:rsidR="00AA369A">
        <w:t xml:space="preserve"> or preventing</w:t>
      </w:r>
      <w:r>
        <w:t xml:space="preserve"> future </w:t>
      </w:r>
      <w:r w:rsidR="003061DB" w:rsidRPr="003061DB">
        <w:rPr>
          <w:i/>
          <w:iCs/>
        </w:rPr>
        <w:t>Charter</w:t>
      </w:r>
      <w:r>
        <w:t xml:space="preserve"> breaches</w:t>
      </w:r>
      <w:r>
        <w:rPr>
          <w:rStyle w:val="FootnoteReference"/>
        </w:rPr>
        <w:footnoteReference w:id="49"/>
      </w:r>
      <w:r>
        <w:t xml:space="preserve"> and, under </w:t>
      </w:r>
      <w:proofErr w:type="spellStart"/>
      <w:r w:rsidRPr="007A4601">
        <w:rPr>
          <w:i/>
          <w:iCs/>
        </w:rPr>
        <w:t>Nammo</w:t>
      </w:r>
      <w:proofErr w:type="spellEnd"/>
      <w:r>
        <w:t xml:space="preserve">, that same importance </w:t>
      </w:r>
      <w:r w:rsidR="00F704AD">
        <w:t xml:space="preserve">exists </w:t>
      </w:r>
      <w:r>
        <w:t xml:space="preserve">in relation to </w:t>
      </w:r>
      <w:r w:rsidR="003061DB" w:rsidRPr="003061DB">
        <w:rPr>
          <w:i/>
          <w:iCs/>
        </w:rPr>
        <w:t>PIPEDA</w:t>
      </w:r>
      <w:r>
        <w:t xml:space="preserve">. </w:t>
      </w:r>
      <w:r w:rsidR="00577AD7">
        <w:t>I</w:t>
      </w:r>
      <w:r>
        <w:t xml:space="preserve">n </w:t>
      </w:r>
      <w:r w:rsidRPr="007A4601">
        <w:rPr>
          <w:bCs/>
          <w:i/>
          <w:highlight w:val="white"/>
        </w:rPr>
        <w:t>Cote v Day &amp; Ross Inc</w:t>
      </w:r>
      <w:r w:rsidRPr="00606511">
        <w:rPr>
          <w:b/>
          <w:highlight w:val="white"/>
        </w:rPr>
        <w:t>,</w:t>
      </w:r>
      <w:r>
        <w:t xml:space="preserve"> </w:t>
      </w:r>
      <w:r w:rsidR="00851498">
        <w:t xml:space="preserve">for example, </w:t>
      </w:r>
      <w:r w:rsidR="00577AD7">
        <w:t xml:space="preserve">the employer possessed some of </w:t>
      </w:r>
      <w:r w:rsidR="000C17A3">
        <w:t>the applicant’s</w:t>
      </w:r>
      <w:r w:rsidR="00577AD7">
        <w:t xml:space="preserve"> personal medical information and, on three occasions refused to disclose </w:t>
      </w:r>
      <w:r w:rsidR="00577AD7">
        <w:lastRenderedPageBreak/>
        <w:t xml:space="preserve">that information to her, in violation of </w:t>
      </w:r>
      <w:r w:rsidR="003061DB" w:rsidRPr="003061DB">
        <w:rPr>
          <w:i/>
          <w:iCs/>
        </w:rPr>
        <w:t>PIPEDA</w:t>
      </w:r>
      <w:r w:rsidR="00577AD7">
        <w:t xml:space="preserve">. In response, the court </w:t>
      </w:r>
      <w:r w:rsidR="003061DB" w:rsidRPr="003061DB">
        <w:t>award</w:t>
      </w:r>
      <w:r w:rsidR="00577AD7">
        <w:t xml:space="preserve">ed $5,000 in damages, noting that such an </w:t>
      </w:r>
      <w:r w:rsidR="003061DB" w:rsidRPr="003061DB">
        <w:t>award</w:t>
      </w:r>
      <w:r w:rsidR="00577AD7">
        <w:t xml:space="preserve"> </w:t>
      </w:r>
      <w:r>
        <w:rPr>
          <w:color w:val="000000"/>
        </w:rPr>
        <w:t>may make the respondent “</w:t>
      </w:r>
      <w:r>
        <w:t>more alert and sensitive to its obligations in the future</w:t>
      </w:r>
      <w:r w:rsidR="002A2413">
        <w:t>.</w:t>
      </w:r>
      <w:r>
        <w:t>”</w:t>
      </w:r>
      <w:bookmarkStart w:id="10" w:name="_Ref78192038"/>
      <w:r>
        <w:rPr>
          <w:rStyle w:val="FootnoteReference"/>
        </w:rPr>
        <w:footnoteReference w:id="50"/>
      </w:r>
      <w:bookmarkEnd w:id="10"/>
      <w:r w:rsidR="00577AD7">
        <w:t xml:space="preserve"> The deterrence component of </w:t>
      </w:r>
      <w:r w:rsidR="003061DB" w:rsidRPr="003061DB">
        <w:rPr>
          <w:i/>
          <w:iCs/>
        </w:rPr>
        <w:t>Ward</w:t>
      </w:r>
      <w:r w:rsidR="00577AD7">
        <w:t xml:space="preserve"> damages acts to castigate and incentivize the particular respondent to do better in the future. But additionally, as </w:t>
      </w:r>
      <w:r w:rsidR="0082460B">
        <w:t>WH Charles</w:t>
      </w:r>
      <w:r w:rsidR="00577AD7">
        <w:t xml:space="preserve"> </w:t>
      </w:r>
      <w:r w:rsidR="004945F6">
        <w:t xml:space="preserve">correctly </w:t>
      </w:r>
      <w:r w:rsidR="00577AD7">
        <w:t xml:space="preserve">observes, deterrence </w:t>
      </w:r>
      <w:r w:rsidR="004945F6">
        <w:t>overlaps with</w:t>
      </w:r>
      <w:r w:rsidR="00577AD7">
        <w:t xml:space="preserve"> the vindication function </w:t>
      </w:r>
      <w:r w:rsidR="002306BB">
        <w:t>and addresses</w:t>
      </w:r>
      <w:r w:rsidR="00577AD7">
        <w:t xml:space="preserve"> </w:t>
      </w:r>
      <w:r w:rsidR="0082460B" w:rsidRPr="00BC7D6B">
        <w:rPr>
          <w:rStyle w:val="markedcontent"/>
        </w:rPr>
        <w:t>“public faith in the efficacy of constitutional protection.</w:t>
      </w:r>
      <w:r w:rsidR="00BC7D6B">
        <w:rPr>
          <w:rStyle w:val="markedcontent"/>
        </w:rPr>
        <w:t>”</w:t>
      </w:r>
      <w:r w:rsidR="00BC7D6B">
        <w:rPr>
          <w:rStyle w:val="FootnoteReference"/>
        </w:rPr>
        <w:footnoteReference w:id="51"/>
      </w:r>
      <w:r w:rsidR="00E146EE">
        <w:t xml:space="preserve"> </w:t>
      </w:r>
      <w:r w:rsidR="00594BC7">
        <w:t xml:space="preserve">As noted </w:t>
      </w:r>
      <w:r w:rsidR="00F47CF0">
        <w:t xml:space="preserve">in </w:t>
      </w:r>
      <w:r w:rsidR="00F47CF0" w:rsidRPr="00F47CF0">
        <w:rPr>
          <w:i/>
          <w:iCs/>
        </w:rPr>
        <w:t>Emond v Google LLC</w:t>
      </w:r>
      <w:r w:rsidR="00F47CF0">
        <w:t>,</w:t>
      </w:r>
      <w:r w:rsidR="00632355">
        <w:t xml:space="preserve"> (</w:t>
      </w:r>
      <w:r w:rsidR="00F47CF0">
        <w:t xml:space="preserve">when discussing deterrence in the context of Ontario’s </w:t>
      </w:r>
      <w:r w:rsidR="00F47CF0">
        <w:rPr>
          <w:i/>
          <w:iCs/>
        </w:rPr>
        <w:t xml:space="preserve">Class Proceeding </w:t>
      </w:r>
      <w:r w:rsidR="00F47CF0" w:rsidRPr="00F47CF0">
        <w:rPr>
          <w:i/>
          <w:iCs/>
        </w:rPr>
        <w:t>Act</w:t>
      </w:r>
      <w:r w:rsidR="00F47CF0">
        <w:rPr>
          <w:i/>
          <w:iCs/>
        </w:rPr>
        <w:t>,</w:t>
      </w:r>
      <w:r w:rsidR="00F47CF0">
        <w:rPr>
          <w:rStyle w:val="FootnoteReference"/>
          <w:i/>
          <w:iCs/>
        </w:rPr>
        <w:footnoteReference w:id="52"/>
      </w:r>
      <w:r w:rsidR="00632355">
        <w:t>),</w:t>
      </w:r>
      <w:r w:rsidR="00F47CF0">
        <w:t xml:space="preserve"> “if the </w:t>
      </w:r>
      <w:r w:rsidR="003061DB" w:rsidRPr="003061DB">
        <w:t>award</w:t>
      </w:r>
      <w:r w:rsidR="00BF04D0">
        <w:t xml:space="preserve"> has no ‘sting’</w:t>
      </w:r>
      <w:r w:rsidR="00F47CF0">
        <w:t xml:space="preserve"> for the defendant then behaviour modification is unlikely to be achieved.”</w:t>
      </w:r>
      <w:r w:rsidR="00F47CF0">
        <w:rPr>
          <w:rStyle w:val="FootnoteReference"/>
        </w:rPr>
        <w:footnoteReference w:id="53"/>
      </w:r>
      <w:r w:rsidR="00F47CF0">
        <w:t xml:space="preserve"> </w:t>
      </w:r>
    </w:p>
    <w:p w14:paraId="60C0B85D" w14:textId="586FF72D" w:rsidR="00D8612F" w:rsidRDefault="007A4601" w:rsidP="00ED7B9A">
      <w:pPr>
        <w:spacing w:before="100" w:beforeAutospacing="1" w:after="100" w:afterAutospacing="1"/>
        <w:ind w:firstLine="720"/>
      </w:pPr>
      <w:r>
        <w:t xml:space="preserve">A stronger judicial enforcement of the deterrence </w:t>
      </w:r>
      <w:r w:rsidR="00632355">
        <w:t>function</w:t>
      </w:r>
      <w:r>
        <w:t xml:space="preserve"> going </w:t>
      </w:r>
      <w:r w:rsidR="003061DB" w:rsidRPr="003061DB">
        <w:t>forward</w:t>
      </w:r>
      <w:r>
        <w:t xml:space="preserve"> is another way in which </w:t>
      </w:r>
      <w:r w:rsidR="003061DB" w:rsidRPr="003061DB">
        <w:rPr>
          <w:i/>
          <w:iCs/>
        </w:rPr>
        <w:t>PIPEDA</w:t>
      </w:r>
      <w:r>
        <w:t xml:space="preserve"> quantum could see an appropriate increase.</w:t>
      </w:r>
    </w:p>
    <w:p w14:paraId="3EC38A8E" w14:textId="6645198B" w:rsidR="00C25E62" w:rsidRPr="00522526" w:rsidRDefault="00C25E62" w:rsidP="00C25E62">
      <w:pPr>
        <w:spacing w:before="100" w:beforeAutospacing="1" w:after="100" w:afterAutospacing="1"/>
        <w:ind w:firstLine="360"/>
        <w:contextualSpacing/>
        <w:rPr>
          <w:b/>
          <w:bCs/>
        </w:rPr>
      </w:pPr>
      <w:r>
        <w:t xml:space="preserve">Though the applicant was successful in </w:t>
      </w:r>
      <w:proofErr w:type="spellStart"/>
      <w:r w:rsidRPr="00024FCB">
        <w:rPr>
          <w:i/>
          <w:iCs/>
        </w:rPr>
        <w:t>Nammo</w:t>
      </w:r>
      <w:proofErr w:type="spellEnd"/>
      <w:r>
        <w:rPr>
          <w:i/>
          <w:iCs/>
        </w:rPr>
        <w:t xml:space="preserve">, </w:t>
      </w:r>
      <w:r>
        <w:t xml:space="preserve">the </w:t>
      </w:r>
      <w:r w:rsidRPr="00731DF7">
        <w:t xml:space="preserve">court did not technically </w:t>
      </w:r>
      <w:r w:rsidRPr="003061DB">
        <w:t>award</w:t>
      </w:r>
      <w:r w:rsidRPr="00731DF7">
        <w:t xml:space="preserve"> </w:t>
      </w:r>
      <w:r w:rsidRPr="003061DB">
        <w:rPr>
          <w:i/>
          <w:iCs/>
        </w:rPr>
        <w:t>Charter</w:t>
      </w:r>
      <w:r w:rsidRPr="00731DF7">
        <w:t xml:space="preserve"> damages because there was no state actor against which to </w:t>
      </w:r>
      <w:r w:rsidRPr="003061DB">
        <w:t>award</w:t>
      </w:r>
      <w:r w:rsidR="00A22FE9">
        <w:t xml:space="preserve"> them. </w:t>
      </w:r>
      <w:r w:rsidRPr="00731DF7">
        <w:t xml:space="preserve">As noted and more accurately speaking, </w:t>
      </w:r>
      <w:proofErr w:type="spellStart"/>
      <w:r w:rsidRPr="00731DF7">
        <w:rPr>
          <w:i/>
          <w:iCs/>
        </w:rPr>
        <w:t>Nammo</w:t>
      </w:r>
      <w:proofErr w:type="spellEnd"/>
      <w:r w:rsidRPr="00731DF7">
        <w:t xml:space="preserve"> </w:t>
      </w:r>
      <w:r w:rsidRPr="003061DB">
        <w:t>award</w:t>
      </w:r>
      <w:r w:rsidRPr="00731DF7">
        <w:t xml:space="preserve">ed </w:t>
      </w:r>
      <w:r w:rsidRPr="003061DB">
        <w:rPr>
          <w:i/>
          <w:iCs/>
        </w:rPr>
        <w:t>Charter</w:t>
      </w:r>
      <w:r w:rsidRPr="00731DF7">
        <w:t xml:space="preserve">-like damages based on </w:t>
      </w:r>
      <w:r w:rsidRPr="003061DB">
        <w:rPr>
          <w:i/>
          <w:iCs/>
        </w:rPr>
        <w:t>PIPEDA</w:t>
      </w:r>
      <w:r w:rsidRPr="00731DF7">
        <w:t>’s quasi-constitutional status. Personal loss (whether pecuniary or non-p</w:t>
      </w:r>
      <w:r>
        <w:t>ecuniary) is compensable under section</w:t>
      </w:r>
      <w:r w:rsidRPr="00731DF7">
        <w:t xml:space="preserve"> 16 of </w:t>
      </w:r>
      <w:r w:rsidRPr="003061DB">
        <w:rPr>
          <w:i/>
          <w:iCs/>
        </w:rPr>
        <w:t>PIPEDA</w:t>
      </w:r>
      <w:r w:rsidRPr="00731DF7">
        <w:t xml:space="preserve"> and likely present in the ordinary case but it is not a precondition to </w:t>
      </w:r>
      <w:r w:rsidRPr="003C3C6F">
        <w:t xml:space="preserve">recovery. Damages to advance the other objects of </w:t>
      </w:r>
      <w:r w:rsidRPr="003061DB">
        <w:rPr>
          <w:i/>
          <w:iCs/>
        </w:rPr>
        <w:t>PIPEDA</w:t>
      </w:r>
      <w:r w:rsidRPr="003C3C6F">
        <w:t>, namely deterrence and vindication, are also possible, either alone</w:t>
      </w:r>
      <w:r>
        <w:t xml:space="preserve"> </w:t>
      </w:r>
      <w:r w:rsidRPr="003C3C6F">
        <w:t xml:space="preserve">or in relation to an expressly compensatory </w:t>
      </w:r>
      <w:r w:rsidRPr="003061DB">
        <w:t>award</w:t>
      </w:r>
      <w:r w:rsidRPr="003C3C6F">
        <w:t>.</w:t>
      </w:r>
    </w:p>
    <w:p w14:paraId="5A6A6578" w14:textId="77777777" w:rsidR="00C25E62" w:rsidRDefault="00C25E62" w:rsidP="00ED7B9A">
      <w:pPr>
        <w:spacing w:before="100" w:beforeAutospacing="1" w:after="100" w:afterAutospacing="1"/>
        <w:ind w:firstLine="720"/>
      </w:pPr>
    </w:p>
    <w:p w14:paraId="3937E182" w14:textId="795A0E32" w:rsidR="00F04F9E" w:rsidRPr="00D36D81" w:rsidRDefault="00F04F9E" w:rsidP="00D36D81">
      <w:pPr>
        <w:pStyle w:val="ListParagraph"/>
        <w:numPr>
          <w:ilvl w:val="0"/>
          <w:numId w:val="19"/>
        </w:numPr>
        <w:rPr>
          <w:b/>
          <w:bCs/>
        </w:rPr>
      </w:pPr>
      <w:r w:rsidRPr="00D36D81">
        <w:rPr>
          <w:b/>
          <w:bCs/>
        </w:rPr>
        <w:t xml:space="preserve">Breach of </w:t>
      </w:r>
      <w:r w:rsidR="00956B19" w:rsidRPr="00D36D81">
        <w:rPr>
          <w:b/>
          <w:bCs/>
        </w:rPr>
        <w:t xml:space="preserve">the </w:t>
      </w:r>
      <w:r w:rsidR="003061DB" w:rsidRPr="00D36D81">
        <w:rPr>
          <w:b/>
          <w:bCs/>
          <w:i/>
          <w:iCs/>
        </w:rPr>
        <w:t>Charter</w:t>
      </w:r>
      <w:r w:rsidR="00956B19" w:rsidRPr="00D36D81">
        <w:rPr>
          <w:b/>
          <w:bCs/>
        </w:rPr>
        <w:t xml:space="preserve"> and Breach of </w:t>
      </w:r>
      <w:r w:rsidR="003061DB" w:rsidRPr="00D36D81">
        <w:rPr>
          <w:b/>
          <w:bCs/>
          <w:i/>
          <w:iCs/>
        </w:rPr>
        <w:t>PIPEDA</w:t>
      </w:r>
      <w:r w:rsidR="00A20144" w:rsidRPr="00D36D81">
        <w:rPr>
          <w:b/>
          <w:bCs/>
        </w:rPr>
        <w:t xml:space="preserve"> as Actionable </w:t>
      </w:r>
      <w:r w:rsidR="005A6CB7" w:rsidRPr="00D36D81">
        <w:rPr>
          <w:b/>
          <w:bCs/>
          <w:i/>
          <w:iCs/>
        </w:rPr>
        <w:t>p</w:t>
      </w:r>
      <w:r w:rsidR="003061DB" w:rsidRPr="00D36D81">
        <w:rPr>
          <w:b/>
          <w:bCs/>
          <w:i/>
          <w:iCs/>
        </w:rPr>
        <w:t>er se</w:t>
      </w:r>
      <w:r w:rsidRPr="00D36D81">
        <w:rPr>
          <w:b/>
          <w:bCs/>
        </w:rPr>
        <w:t>?</w:t>
      </w:r>
    </w:p>
    <w:p w14:paraId="27AB2983" w14:textId="1C2F01DB" w:rsidR="003061DB" w:rsidRPr="000C17A3" w:rsidRDefault="003061DB" w:rsidP="004A25F8">
      <w:pPr>
        <w:contextualSpacing/>
      </w:pPr>
      <w:r>
        <w:t>As this section will discuss, breach of</w:t>
      </w:r>
      <w:r w:rsidR="006D428C">
        <w:t xml:space="preserve"> the </w:t>
      </w:r>
      <w:r w:rsidR="006D428C" w:rsidRPr="006D428C">
        <w:rPr>
          <w:i/>
          <w:iCs/>
        </w:rPr>
        <w:t>Charter</w:t>
      </w:r>
      <w:r w:rsidR="006D428C">
        <w:t xml:space="preserve"> and breach of</w:t>
      </w:r>
      <w:r>
        <w:t xml:space="preserve"> </w:t>
      </w:r>
      <w:r w:rsidRPr="003061DB">
        <w:rPr>
          <w:i/>
          <w:iCs/>
        </w:rPr>
        <w:t>PIPEDA</w:t>
      </w:r>
      <w:r>
        <w:t xml:space="preserve"> appear to be actionable </w:t>
      </w:r>
      <w:r>
        <w:rPr>
          <w:i/>
          <w:iCs/>
        </w:rPr>
        <w:t>per se</w:t>
      </w:r>
      <w:r w:rsidR="00FB1F11">
        <w:rPr>
          <w:i/>
          <w:iCs/>
        </w:rPr>
        <w:t>.</w:t>
      </w:r>
      <w:r w:rsidR="000C17A3">
        <w:rPr>
          <w:i/>
          <w:iCs/>
        </w:rPr>
        <w:t xml:space="preserve"> </w:t>
      </w:r>
      <w:r w:rsidR="000C17A3">
        <w:t>This tends to demonstrate the important of the privacy interest and, by extension, the importance of recognizing breach with a robust quantum.</w:t>
      </w:r>
    </w:p>
    <w:p w14:paraId="5F13ED51" w14:textId="77777777" w:rsidR="003061DB" w:rsidRDefault="003061DB" w:rsidP="009A5221">
      <w:pPr>
        <w:contextualSpacing/>
        <w:rPr>
          <w:rtl/>
          <w:lang w:bidi="he-IL"/>
        </w:rPr>
      </w:pPr>
    </w:p>
    <w:p w14:paraId="6FC91F9C" w14:textId="3848444E" w:rsidR="00AC5877" w:rsidRDefault="006D428C" w:rsidP="00A22FE9">
      <w:pPr>
        <w:ind w:firstLine="720"/>
        <w:contextualSpacing/>
      </w:pPr>
      <w:r>
        <w:t>It is well known that t</w:t>
      </w:r>
      <w:r w:rsidR="00C01E88" w:rsidRPr="00AF3982">
        <w:t>here is a</w:t>
      </w:r>
      <w:r w:rsidR="00E202B4">
        <w:t xml:space="preserve"> pivotal</w:t>
      </w:r>
      <w:r w:rsidR="00C01E88" w:rsidRPr="00AF3982">
        <w:t xml:space="preserve"> distinction </w:t>
      </w:r>
      <w:r w:rsidR="003F490D" w:rsidRPr="00AF3982">
        <w:t xml:space="preserve">in law </w:t>
      </w:r>
      <w:r w:rsidR="00C01E88" w:rsidRPr="00AF3982">
        <w:t xml:space="preserve">between </w:t>
      </w:r>
      <w:r w:rsidR="00F04F9E" w:rsidRPr="00AF3982">
        <w:t>“</w:t>
      </w:r>
      <w:r w:rsidR="00C01E88" w:rsidRPr="00AF3982">
        <w:t>torts of damage</w:t>
      </w:r>
      <w:r w:rsidR="00F04F9E" w:rsidRPr="00AF3982">
        <w:t>”</w:t>
      </w:r>
      <w:r w:rsidR="00C01E88" w:rsidRPr="00AF3982">
        <w:t xml:space="preserve"> and torts that are </w:t>
      </w:r>
      <w:r w:rsidR="00F04F9E" w:rsidRPr="00AF3982">
        <w:t>“</w:t>
      </w:r>
      <w:r w:rsidR="00C01E88" w:rsidRPr="00AF3982">
        <w:t xml:space="preserve">actionable </w:t>
      </w:r>
      <w:r w:rsidR="003061DB">
        <w:rPr>
          <w:i/>
          <w:iCs/>
        </w:rPr>
        <w:t>per se</w:t>
      </w:r>
      <w:r w:rsidR="00F04F9E" w:rsidRPr="00AF3982">
        <w:t>”,</w:t>
      </w:r>
      <w:r w:rsidR="00C01E88" w:rsidRPr="00AF3982">
        <w:t xml:space="preserve"> that is</w:t>
      </w:r>
      <w:r w:rsidR="00E369E7">
        <w:t>,</w:t>
      </w:r>
      <w:r w:rsidR="00C01E88" w:rsidRPr="00AF3982">
        <w:t xml:space="preserve"> actionable without proof of damage.</w:t>
      </w:r>
      <w:r w:rsidR="00C01E88" w:rsidRPr="00AF3982">
        <w:rPr>
          <w:rStyle w:val="FootnoteReference"/>
        </w:rPr>
        <w:footnoteReference w:id="54"/>
      </w:r>
      <w:r w:rsidR="00C01E88" w:rsidRPr="00AF3982">
        <w:t xml:space="preserve"> </w:t>
      </w:r>
      <w:r w:rsidR="00F45711">
        <w:t>Put another way, and a</w:t>
      </w:r>
      <w:r w:rsidR="008A756C">
        <w:t xml:space="preserve">s </w:t>
      </w:r>
      <w:r w:rsidR="00D72800">
        <w:t xml:space="preserve">Jane </w:t>
      </w:r>
      <w:r w:rsidR="008A756C">
        <w:t xml:space="preserve">Stapleton notes, </w:t>
      </w:r>
      <w:r w:rsidR="00F45711">
        <w:t xml:space="preserve">when torts are </w:t>
      </w:r>
      <w:r w:rsidR="008A756C">
        <w:t xml:space="preserve">actionable </w:t>
      </w:r>
      <w:r w:rsidR="003061DB">
        <w:rPr>
          <w:i/>
          <w:iCs/>
        </w:rPr>
        <w:t>per se</w:t>
      </w:r>
      <w:r w:rsidR="008A756C">
        <w:t xml:space="preserve"> the </w:t>
      </w:r>
      <w:r w:rsidR="00F45711">
        <w:t>“</w:t>
      </w:r>
      <w:r w:rsidR="00E369E7">
        <w:t>’</w:t>
      </w:r>
      <w:r w:rsidR="008A756C">
        <w:t>gist of</w:t>
      </w:r>
      <w:r w:rsidR="00E369E7">
        <w:t xml:space="preserve"> the action’</w:t>
      </w:r>
      <w:r w:rsidR="008A756C">
        <w:t xml:space="preserve"> is the commission of the wrong and not the damage.</w:t>
      </w:r>
      <w:r w:rsidR="00542DE7">
        <w:t>”</w:t>
      </w:r>
      <w:r w:rsidR="008A756C">
        <w:rPr>
          <w:rStyle w:val="FootnoteReference"/>
        </w:rPr>
        <w:footnoteReference w:id="55"/>
      </w:r>
      <w:r w:rsidR="008A756C">
        <w:t xml:space="preserve"> </w:t>
      </w:r>
      <w:r w:rsidR="0040477D">
        <w:t xml:space="preserve">As an example, </w:t>
      </w:r>
      <w:proofErr w:type="spellStart"/>
      <w:r w:rsidR="00656085" w:rsidRPr="00AF3982">
        <w:t>Fridman</w:t>
      </w:r>
      <w:proofErr w:type="spellEnd"/>
      <w:r w:rsidR="0040477D">
        <w:t xml:space="preserve"> observes that </w:t>
      </w:r>
      <w:r w:rsidR="00EA1392" w:rsidRPr="00AF3982">
        <w:t>“[t]</w:t>
      </w:r>
      <w:proofErr w:type="spellStart"/>
      <w:r w:rsidR="00EA1392" w:rsidRPr="00AF3982">
        <w:t>respass</w:t>
      </w:r>
      <w:proofErr w:type="spellEnd"/>
      <w:r w:rsidR="00EA1392" w:rsidRPr="00AF3982">
        <w:t xml:space="preserve"> in all its forms is actionable </w:t>
      </w:r>
      <w:r w:rsidR="003061DB">
        <w:rPr>
          <w:rStyle w:val="Emphasis"/>
        </w:rPr>
        <w:t>per se</w:t>
      </w:r>
      <w:r w:rsidR="00EA1392" w:rsidRPr="00AF3982">
        <w:rPr>
          <w:rStyle w:val="Emphasis"/>
        </w:rPr>
        <w:t>,</w:t>
      </w:r>
      <w:r w:rsidR="00EA1392" w:rsidRPr="00AF3982">
        <w:t xml:space="preserve"> i.e., without the need for the plaintiff to prove he has sustained actual damage…</w:t>
      </w:r>
      <w:r w:rsidR="00E369E7">
        <w:t xml:space="preserve"> </w:t>
      </w:r>
      <w:r>
        <w:t>[and]</w:t>
      </w:r>
      <w:r w:rsidR="00EA1392" w:rsidRPr="00AF3982">
        <w:t xml:space="preserve"> is an important </w:t>
      </w:r>
      <w:r w:rsidR="00EA1392" w:rsidRPr="00AF3982">
        <w:lastRenderedPageBreak/>
        <w:t>hallmark of trespass as contrasted with other torts.”</w:t>
      </w:r>
      <w:r w:rsidR="00656085" w:rsidRPr="00AF3982">
        <w:rPr>
          <w:rStyle w:val="FootnoteReference"/>
        </w:rPr>
        <w:footnoteReference w:id="56"/>
      </w:r>
      <w:r w:rsidR="00EA1392" w:rsidRPr="00AF3982">
        <w:t xml:space="preserve"> </w:t>
      </w:r>
      <w:r w:rsidR="00E027C8">
        <w:t>Trespass</w:t>
      </w:r>
      <w:r w:rsidR="00C00632">
        <w:t>, of course,</w:t>
      </w:r>
      <w:r w:rsidR="00E027C8">
        <w:t xml:space="preserve"> </w:t>
      </w:r>
      <w:r w:rsidR="00E369E7">
        <w:t xml:space="preserve"> includes trespass </w:t>
      </w:r>
      <w:r w:rsidR="00E027C8">
        <w:t xml:space="preserve">to land </w:t>
      </w:r>
      <w:r w:rsidR="00E369E7">
        <w:t>and significantly</w:t>
      </w:r>
      <w:r w:rsidR="00E027C8">
        <w:t xml:space="preserve"> trespass to the person</w:t>
      </w:r>
      <w:r w:rsidR="00E369E7">
        <w:t xml:space="preserve">, which in turn </w:t>
      </w:r>
      <w:r w:rsidR="00E027C8">
        <w:t>includes battery, assault, and false imprisonment</w:t>
      </w:r>
      <w:r w:rsidR="00E369E7">
        <w:t>.</w:t>
      </w:r>
      <w:r w:rsidR="00E027C8">
        <w:rPr>
          <w:rStyle w:val="FootnoteReference"/>
        </w:rPr>
        <w:footnoteReference w:id="57"/>
      </w:r>
      <w:r w:rsidR="00E369E7">
        <w:t xml:space="preserve"> All are actionable </w:t>
      </w:r>
      <w:r w:rsidR="00E369E7">
        <w:rPr>
          <w:i/>
          <w:iCs/>
        </w:rPr>
        <w:t>per se.</w:t>
      </w:r>
      <w:r w:rsidR="00E027C8">
        <w:t xml:space="preserve">  </w:t>
      </w:r>
      <w:r w:rsidR="0040477D">
        <w:t xml:space="preserve"> </w:t>
      </w:r>
    </w:p>
    <w:p w14:paraId="1F56860E" w14:textId="77777777" w:rsidR="00AC5877" w:rsidRDefault="00AC5877" w:rsidP="006D428C">
      <w:pPr>
        <w:ind w:firstLine="720"/>
        <w:contextualSpacing/>
        <w:rPr>
          <w:rtl/>
          <w:lang w:bidi="he-IL"/>
        </w:rPr>
      </w:pPr>
    </w:p>
    <w:p w14:paraId="6D7900DE" w14:textId="67601701" w:rsidR="009A5221" w:rsidRDefault="0040477D" w:rsidP="0045438C">
      <w:pPr>
        <w:ind w:firstLine="720"/>
        <w:contextualSpacing/>
      </w:pPr>
      <w:r>
        <w:t>Furthermore, there is a link between a</w:t>
      </w:r>
      <w:r w:rsidR="00656085" w:rsidRPr="00AF3982">
        <w:t xml:space="preserve">ctionability </w:t>
      </w:r>
      <w:r w:rsidR="003061DB">
        <w:rPr>
          <w:i/>
          <w:iCs/>
        </w:rPr>
        <w:t>per se</w:t>
      </w:r>
      <w:r w:rsidR="00656085" w:rsidRPr="00AF3982">
        <w:t xml:space="preserve"> and damages at large</w:t>
      </w:r>
      <w:r w:rsidR="00F04F9E" w:rsidRPr="00AF3982">
        <w:t xml:space="preserve"> </w:t>
      </w:r>
      <w:r>
        <w:t xml:space="preserve">as </w:t>
      </w:r>
      <w:r w:rsidRPr="00AF3982">
        <w:t>the Alberta Court of Appeal has</w:t>
      </w:r>
      <w:r>
        <w:t xml:space="preserve"> observed</w:t>
      </w:r>
      <w:r w:rsidR="00840F85">
        <w:t>,</w:t>
      </w:r>
      <w:r w:rsidRPr="00AF3982">
        <w:t xml:space="preserve"> </w:t>
      </w:r>
      <w:r w:rsidR="00F04F9E" w:rsidRPr="00AF3982">
        <w:t xml:space="preserve">by quoting AI </w:t>
      </w:r>
      <w:proofErr w:type="spellStart"/>
      <w:r w:rsidR="00F04F9E" w:rsidRPr="00AF3982">
        <w:t>Ogus</w:t>
      </w:r>
      <w:proofErr w:type="spellEnd"/>
      <w:r w:rsidR="00F04F9E" w:rsidRPr="00AF3982">
        <w:t xml:space="preserve"> in </w:t>
      </w:r>
      <w:r w:rsidR="00F04F9E" w:rsidRPr="00AF3982">
        <w:rPr>
          <w:i/>
          <w:iCs/>
        </w:rPr>
        <w:t xml:space="preserve">The Law of Damages </w:t>
      </w:r>
      <w:r w:rsidR="00F04F9E" w:rsidRPr="00AF3982">
        <w:t xml:space="preserve">as follows: “Damages for torts actionable </w:t>
      </w:r>
      <w:r w:rsidR="003061DB">
        <w:rPr>
          <w:i/>
          <w:iCs/>
        </w:rPr>
        <w:t>per se</w:t>
      </w:r>
      <w:r w:rsidR="00F04F9E" w:rsidRPr="00AF3982">
        <w:rPr>
          <w:i/>
          <w:iCs/>
        </w:rPr>
        <w:t xml:space="preserve"> are</w:t>
      </w:r>
      <w:r w:rsidR="00F04F9E" w:rsidRPr="00AF3982">
        <w:t xml:space="preserve"> said to be "at large", that is to say the Court, taking all the relevant circumstances into account, will reach an intuitive assessment of the loss which it considers the plaintiff has sustained.”</w:t>
      </w:r>
      <w:r w:rsidR="00F04F9E" w:rsidRPr="00AF3982">
        <w:rPr>
          <w:rStyle w:val="FootnoteReference"/>
        </w:rPr>
        <w:footnoteReference w:id="58"/>
      </w:r>
      <w:r w:rsidR="00F04F9E" w:rsidRPr="00AF3982">
        <w:t xml:space="preserve"> </w:t>
      </w:r>
      <w:r w:rsidR="007D1765">
        <w:t xml:space="preserve">Providing more detail, </w:t>
      </w:r>
      <w:r w:rsidR="003F490D" w:rsidRPr="00AF3982">
        <w:t xml:space="preserve">the </w:t>
      </w:r>
      <w:r w:rsidR="00AF3982" w:rsidRPr="00AF3982">
        <w:t xml:space="preserve">Newfoundland Court of Appeal </w:t>
      </w:r>
      <w:r w:rsidR="007D1765">
        <w:t xml:space="preserve">quoted </w:t>
      </w:r>
      <w:bookmarkStart w:id="11" w:name="_Hlk74570266"/>
      <w:r w:rsidR="00AF3982" w:rsidRPr="00AF3982">
        <w:rPr>
          <w:rFonts w:eastAsia="Times New Roman"/>
          <w:bCs/>
          <w:i/>
          <w:iCs/>
          <w:lang w:eastAsia="en-CA"/>
        </w:rPr>
        <w:t>Cassell v Broome</w:t>
      </w:r>
      <w:r w:rsidR="007D1765">
        <w:rPr>
          <w:rFonts w:eastAsia="Times New Roman"/>
          <w:bCs/>
          <w:lang w:eastAsia="en-CA"/>
        </w:rPr>
        <w:t xml:space="preserve"> as follows</w:t>
      </w:r>
      <w:r w:rsidR="00610D6C">
        <w:rPr>
          <w:rFonts w:eastAsia="Times New Roman"/>
          <w:bCs/>
          <w:lang w:eastAsia="en-CA"/>
        </w:rPr>
        <w:t xml:space="preserve">: </w:t>
      </w:r>
      <w:bookmarkEnd w:id="11"/>
      <w:r w:rsidR="00610D6C">
        <w:rPr>
          <w:rFonts w:eastAsia="Times New Roman"/>
          <w:bCs/>
          <w:lang w:eastAsia="en-CA"/>
        </w:rPr>
        <w:t>“</w:t>
      </w:r>
      <w:r w:rsidR="00AF3982" w:rsidRPr="00AF3982">
        <w:rPr>
          <w:rFonts w:eastAsia="Times New Roman"/>
          <w:bCs/>
          <w:lang w:eastAsia="en-CA"/>
        </w:rPr>
        <w:t xml:space="preserve">The expression </w:t>
      </w:r>
      <w:r w:rsidR="00610D6C">
        <w:rPr>
          <w:rFonts w:eastAsia="Times New Roman"/>
          <w:bCs/>
          <w:lang w:eastAsia="en-CA"/>
        </w:rPr>
        <w:t>‘</w:t>
      </w:r>
      <w:r w:rsidR="00AF3982" w:rsidRPr="00AF3982">
        <w:rPr>
          <w:rFonts w:eastAsia="Times New Roman"/>
          <w:bCs/>
          <w:lang w:eastAsia="en-CA"/>
        </w:rPr>
        <w:t>at large</w:t>
      </w:r>
      <w:r w:rsidR="00610D6C">
        <w:rPr>
          <w:rFonts w:eastAsia="Times New Roman"/>
          <w:bCs/>
          <w:lang w:eastAsia="en-CA"/>
        </w:rPr>
        <w:t>’</w:t>
      </w:r>
      <w:r w:rsidR="00AF3982" w:rsidRPr="00AF3982">
        <w:rPr>
          <w:rFonts w:eastAsia="Times New Roman"/>
          <w:bCs/>
          <w:lang w:eastAsia="en-CA"/>
        </w:rPr>
        <w:t xml:space="preserve"> should be used in general to cover all cases where </w:t>
      </w:r>
      <w:r w:rsidR="003061DB" w:rsidRPr="003061DB">
        <w:rPr>
          <w:rFonts w:eastAsia="Times New Roman"/>
          <w:bCs/>
          <w:lang w:eastAsia="en-CA"/>
        </w:rPr>
        <w:t>awards</w:t>
      </w:r>
      <w:r w:rsidR="00AF3982" w:rsidRPr="00AF3982">
        <w:rPr>
          <w:rFonts w:eastAsia="Times New Roman"/>
          <w:bCs/>
          <w:lang w:eastAsia="en-CA"/>
        </w:rPr>
        <w:t xml:space="preserve"> of damages may include elements for loss of reputation, injured feelings, bad or good conduct by either party, or punishment, and where in consequence no precise limit can be set.</w:t>
      </w:r>
      <w:r w:rsidR="00610D6C">
        <w:rPr>
          <w:rFonts w:eastAsia="Times New Roman"/>
          <w:bCs/>
          <w:lang w:eastAsia="en-CA"/>
        </w:rPr>
        <w:t>”</w:t>
      </w:r>
      <w:r w:rsidR="00AF3982">
        <w:rPr>
          <w:rStyle w:val="FootnoteReference"/>
          <w:rFonts w:eastAsia="Times New Roman"/>
          <w:bCs/>
          <w:lang w:eastAsia="en-CA"/>
        </w:rPr>
        <w:footnoteReference w:id="59"/>
      </w:r>
      <w:r w:rsidR="00610D6C">
        <w:rPr>
          <w:rFonts w:eastAsia="Times New Roman"/>
          <w:bCs/>
          <w:lang w:eastAsia="en-CA"/>
        </w:rPr>
        <w:t xml:space="preserve"> For example, and in the context of defamation discussed in </w:t>
      </w:r>
      <w:r w:rsidR="00404DD9">
        <w:rPr>
          <w:rFonts w:eastAsia="Times New Roman"/>
          <w:bCs/>
          <w:lang w:eastAsia="en-CA"/>
        </w:rPr>
        <w:t>Section II</w:t>
      </w:r>
      <w:r w:rsidR="00C0261B">
        <w:rPr>
          <w:rFonts w:eastAsia="Times New Roman"/>
          <w:bCs/>
          <w:lang w:eastAsia="en-CA"/>
        </w:rPr>
        <w:t>(</w:t>
      </w:r>
      <w:r w:rsidR="00404DD9">
        <w:rPr>
          <w:rFonts w:eastAsia="Times New Roman"/>
          <w:bCs/>
          <w:lang w:eastAsia="en-CA"/>
        </w:rPr>
        <w:t>B</w:t>
      </w:r>
      <w:r w:rsidR="00C0261B">
        <w:rPr>
          <w:rFonts w:eastAsia="Times New Roman"/>
          <w:bCs/>
          <w:lang w:eastAsia="en-CA"/>
        </w:rPr>
        <w:t>)</w:t>
      </w:r>
      <w:r w:rsidR="00404DD9">
        <w:rPr>
          <w:rFonts w:eastAsia="Times New Roman"/>
          <w:bCs/>
          <w:lang w:eastAsia="en-CA"/>
        </w:rPr>
        <w:t xml:space="preserve">(3) of </w:t>
      </w:r>
      <w:r w:rsidR="00610D6C">
        <w:rPr>
          <w:rFonts w:eastAsia="Times New Roman"/>
          <w:bCs/>
          <w:lang w:eastAsia="en-CA"/>
        </w:rPr>
        <w:t>Part</w:t>
      </w:r>
      <w:r w:rsidR="00404DD9">
        <w:rPr>
          <w:rFonts w:eastAsia="Times New Roman"/>
          <w:bCs/>
          <w:lang w:eastAsia="en-CA"/>
        </w:rPr>
        <w:t xml:space="preserve"> One of this article, </w:t>
      </w:r>
      <w:r w:rsidR="00404DD9" w:rsidRPr="0045438C">
        <w:rPr>
          <w:rFonts w:eastAsia="Times New Roman"/>
          <w:bCs/>
          <w:lang w:eastAsia="en-CA"/>
        </w:rPr>
        <w:t xml:space="preserve">published in </w:t>
      </w:r>
      <w:r w:rsidR="0045438C">
        <w:rPr>
          <w:color w:val="222222"/>
          <w:shd w:val="clear" w:color="auto" w:fill="FFFFFF"/>
        </w:rPr>
        <w:t xml:space="preserve">52 </w:t>
      </w:r>
      <w:proofErr w:type="spellStart"/>
      <w:r w:rsidR="0045438C">
        <w:rPr>
          <w:color w:val="222222"/>
          <w:shd w:val="clear" w:color="auto" w:fill="FFFFFF"/>
        </w:rPr>
        <w:t>Adv</w:t>
      </w:r>
      <w:proofErr w:type="spellEnd"/>
      <w:r w:rsidR="0045438C">
        <w:rPr>
          <w:color w:val="222222"/>
          <w:shd w:val="clear" w:color="auto" w:fill="FFFFFF"/>
        </w:rPr>
        <w:t xml:space="preserve"> Q 427 (2022)</w:t>
      </w:r>
      <w:r w:rsidR="00610D6C">
        <w:rPr>
          <w:rFonts w:eastAsia="Times New Roman"/>
          <w:bCs/>
          <w:lang w:eastAsia="en-CA"/>
        </w:rPr>
        <w:t xml:space="preserve">, the court in </w:t>
      </w:r>
      <w:r w:rsidR="002E226D" w:rsidRPr="005A6930">
        <w:rPr>
          <w:bCs/>
          <w:i/>
          <w:iCs/>
        </w:rPr>
        <w:t>Holden v Hanlon</w:t>
      </w:r>
      <w:r w:rsidR="002E226D">
        <w:rPr>
          <w:bCs/>
        </w:rPr>
        <w:t xml:space="preserve"> confirm</w:t>
      </w:r>
      <w:r w:rsidR="00610D6C">
        <w:rPr>
          <w:bCs/>
        </w:rPr>
        <w:t>ed that</w:t>
      </w:r>
      <w:r w:rsidR="009A5221">
        <w:rPr>
          <w:bCs/>
        </w:rPr>
        <w:t xml:space="preserve"> </w:t>
      </w:r>
      <w:r w:rsidR="00610D6C">
        <w:rPr>
          <w:bCs/>
        </w:rPr>
        <w:t>“</w:t>
      </w:r>
      <w:r w:rsidR="009A5221">
        <w:rPr>
          <w:bCs/>
        </w:rPr>
        <w:t>damages are at large and there is no requirement for the plaintiff to prove actual loss or injury.</w:t>
      </w:r>
      <w:r w:rsidR="002E226D">
        <w:t>”</w:t>
      </w:r>
      <w:r w:rsidR="002E226D">
        <w:rPr>
          <w:rStyle w:val="FootnoteReference"/>
        </w:rPr>
        <w:footnoteReference w:id="60"/>
      </w:r>
      <w:r w:rsidR="002E226D">
        <w:t xml:space="preserve"> </w:t>
      </w:r>
    </w:p>
    <w:p w14:paraId="2109DD0C" w14:textId="77777777" w:rsidR="009A5221" w:rsidRDefault="009A5221" w:rsidP="009A5221">
      <w:pPr>
        <w:contextualSpacing/>
      </w:pPr>
    </w:p>
    <w:p w14:paraId="23B5E4FA" w14:textId="1E637B0E" w:rsidR="005E60B7" w:rsidRPr="00351C38" w:rsidRDefault="009A5221" w:rsidP="00A22FE9">
      <w:pPr>
        <w:ind w:firstLine="720"/>
        <w:contextualSpacing/>
        <w:rPr>
          <w:rStyle w:val="markedcontent"/>
        </w:rPr>
      </w:pPr>
      <w:r>
        <w:t xml:space="preserve">In sum, all the </w:t>
      </w:r>
      <w:r w:rsidR="00C00632">
        <w:t xml:space="preserve">privacy </w:t>
      </w:r>
      <w:r>
        <w:t xml:space="preserve">torts </w:t>
      </w:r>
      <w:r w:rsidR="0041700A">
        <w:t>referenc</w:t>
      </w:r>
      <w:r w:rsidR="00776D97">
        <w:t xml:space="preserve">ed </w:t>
      </w:r>
      <w:r>
        <w:t xml:space="preserve">in this part </w:t>
      </w:r>
      <w:r w:rsidR="00874C29">
        <w:t xml:space="preserve">stand as </w:t>
      </w:r>
      <w:r w:rsidR="00FF1A04">
        <w:t>dignitary torts and are</w:t>
      </w:r>
      <w:r>
        <w:t xml:space="preserve"> actionable </w:t>
      </w:r>
      <w:r w:rsidR="003061DB">
        <w:rPr>
          <w:i/>
          <w:iCs/>
        </w:rPr>
        <w:t>per se</w:t>
      </w:r>
      <w:r w:rsidR="00DE4C15">
        <w:rPr>
          <w:i/>
          <w:iCs/>
        </w:rPr>
        <w:t>.</w:t>
      </w:r>
      <w:r w:rsidR="0058243C">
        <w:rPr>
          <w:rStyle w:val="FootnoteReference"/>
          <w:i/>
          <w:iCs/>
        </w:rPr>
        <w:footnoteReference w:id="61"/>
      </w:r>
      <w:r>
        <w:t xml:space="preserve"> </w:t>
      </w:r>
      <w:r w:rsidR="00911040">
        <w:t>They arise given the nature of the wrong</w:t>
      </w:r>
      <w:r w:rsidR="00F3430D">
        <w:t>.</w:t>
      </w:r>
      <w:bookmarkStart w:id="12" w:name="_Ref78191732"/>
      <w:r w:rsidR="00911040">
        <w:rPr>
          <w:rStyle w:val="FootnoteReference"/>
        </w:rPr>
        <w:footnoteReference w:id="62"/>
      </w:r>
      <w:bookmarkEnd w:id="12"/>
      <w:r w:rsidR="005F3A1A">
        <w:t xml:space="preserve"> </w:t>
      </w:r>
      <w:r w:rsidR="00C00632">
        <w:t>Likewise, i</w:t>
      </w:r>
      <w:r w:rsidR="00EF21D7">
        <w:t xml:space="preserve">n a law review article preceding </w:t>
      </w:r>
      <w:r w:rsidR="003061DB" w:rsidRPr="003061DB">
        <w:rPr>
          <w:i/>
          <w:iCs/>
        </w:rPr>
        <w:t>Ward</w:t>
      </w:r>
      <w:r w:rsidR="00EF21D7">
        <w:t xml:space="preserve">, </w:t>
      </w:r>
      <w:r w:rsidR="00BD152E">
        <w:t xml:space="preserve">Marilyn Pilkington </w:t>
      </w:r>
      <w:r w:rsidR="00A76CD4">
        <w:t xml:space="preserve">argued that damages under the </w:t>
      </w:r>
      <w:r w:rsidR="003061DB" w:rsidRPr="003061DB">
        <w:rPr>
          <w:i/>
          <w:iCs/>
        </w:rPr>
        <w:t>Charter</w:t>
      </w:r>
      <w:r w:rsidR="00A76CD4">
        <w:t xml:space="preserve"> as actionable </w:t>
      </w:r>
      <w:r w:rsidR="003061DB">
        <w:rPr>
          <w:i/>
          <w:iCs/>
        </w:rPr>
        <w:t>per se</w:t>
      </w:r>
      <w:r w:rsidR="00A76CD4">
        <w:t xml:space="preserve"> would be possible.</w:t>
      </w:r>
      <w:bookmarkStart w:id="13" w:name="_Ref78191809"/>
      <w:r w:rsidR="00EF21D7">
        <w:rPr>
          <w:rStyle w:val="FootnoteReference"/>
          <w:i/>
          <w:iCs/>
        </w:rPr>
        <w:footnoteReference w:id="63"/>
      </w:r>
      <w:bookmarkEnd w:id="13"/>
      <w:r w:rsidR="00C005C7">
        <w:rPr>
          <w:rStyle w:val="markedcontent"/>
        </w:rPr>
        <w:t xml:space="preserve"> </w:t>
      </w:r>
      <w:r w:rsidR="00A76CD4">
        <w:rPr>
          <w:rStyle w:val="markedcontent"/>
        </w:rPr>
        <w:t>This outcome would</w:t>
      </w:r>
      <w:r w:rsidR="005E60B7">
        <w:rPr>
          <w:rStyle w:val="markedcontent"/>
        </w:rPr>
        <w:t xml:space="preserve"> also be appropriate, in her view</w:t>
      </w:r>
      <w:r w:rsidR="00A76CD4">
        <w:rPr>
          <w:rStyle w:val="markedcontent"/>
        </w:rPr>
        <w:t>,</w:t>
      </w:r>
      <w:r w:rsidR="008A756C">
        <w:rPr>
          <w:rStyle w:val="markedcontent"/>
        </w:rPr>
        <w:t xml:space="preserve"> </w:t>
      </w:r>
      <w:r w:rsidR="005E60B7">
        <w:rPr>
          <w:rStyle w:val="markedcontent"/>
        </w:rPr>
        <w:t>because: “[w]</w:t>
      </w:r>
      <w:r w:rsidR="00BD152E">
        <w:rPr>
          <w:rStyle w:val="markedcontent"/>
        </w:rPr>
        <w:t>hen a person’s constitutional rights or freedom have been infringed or denied, he should be entitled to a remedy which vindicates his rights</w:t>
      </w:r>
      <w:r w:rsidR="00184324" w:rsidRPr="00B11899">
        <w:t xml:space="preserve"> </w:t>
      </w:r>
      <w:r w:rsidR="00184324">
        <w:t xml:space="preserve">– </w:t>
      </w:r>
      <w:r w:rsidR="00BD152E">
        <w:rPr>
          <w:rStyle w:val="markedcontent"/>
        </w:rPr>
        <w:t>not solely on the basis that he has suffered some consequential injury, but for the violation of the right itself.”</w:t>
      </w:r>
      <w:r w:rsidR="00BD152E">
        <w:rPr>
          <w:rStyle w:val="FootnoteReference"/>
        </w:rPr>
        <w:footnoteReference w:id="64"/>
      </w:r>
      <w:r w:rsidR="005E60B7">
        <w:rPr>
          <w:rStyle w:val="markedcontent"/>
        </w:rPr>
        <w:t xml:space="preserve"> </w:t>
      </w:r>
      <w:bookmarkStart w:id="14" w:name="_Hlk74571838"/>
      <w:r w:rsidR="00351C38">
        <w:rPr>
          <w:rStyle w:val="markedcontent"/>
        </w:rPr>
        <w:t xml:space="preserve">According to Katherine  Fisher, this became known as </w:t>
      </w:r>
      <w:r w:rsidR="00351C38">
        <w:rPr>
          <w:rStyle w:val="markedcontent"/>
        </w:rPr>
        <w:lastRenderedPageBreak/>
        <w:t xml:space="preserve">the </w:t>
      </w:r>
      <w:r w:rsidR="00351C38" w:rsidRPr="00351C38">
        <w:rPr>
          <w:rStyle w:val="markedcontent"/>
        </w:rPr>
        <w:t>‘</w:t>
      </w:r>
      <w:r w:rsidR="003061DB" w:rsidRPr="007D1EAB">
        <w:rPr>
          <w:rStyle w:val="markedcontent"/>
          <w:i/>
          <w:iCs/>
        </w:rPr>
        <w:t>per se</w:t>
      </w:r>
      <w:r w:rsidR="00351C38" w:rsidRPr="00351C38">
        <w:rPr>
          <w:rStyle w:val="markedcontent"/>
        </w:rPr>
        <w:t xml:space="preserve">’ theory of </w:t>
      </w:r>
      <w:r w:rsidR="003061DB" w:rsidRPr="003061DB">
        <w:rPr>
          <w:rStyle w:val="markedcontent"/>
          <w:i/>
          <w:iCs/>
        </w:rPr>
        <w:t>Charter</w:t>
      </w:r>
      <w:r w:rsidR="00351C38" w:rsidRPr="00351C38">
        <w:rPr>
          <w:rStyle w:val="markedcontent"/>
        </w:rPr>
        <w:t xml:space="preserve"> damages</w:t>
      </w:r>
      <w:r w:rsidR="00351C38">
        <w:rPr>
          <w:rStyle w:val="FootnoteReference"/>
        </w:rPr>
        <w:footnoteReference w:id="65"/>
      </w:r>
      <w:r w:rsidR="00EA3E6A">
        <w:rPr>
          <w:rStyle w:val="markedcontent"/>
        </w:rPr>
        <w:t xml:space="preserve"> and focus</w:t>
      </w:r>
      <w:r w:rsidR="00AD1EEA">
        <w:rPr>
          <w:rStyle w:val="markedcontent"/>
        </w:rPr>
        <w:t>ses</w:t>
      </w:r>
      <w:r w:rsidR="00EA3E6A">
        <w:rPr>
          <w:rStyle w:val="markedcontent"/>
        </w:rPr>
        <w:t xml:space="preserve"> on the wrong</w:t>
      </w:r>
      <w:r w:rsidR="005842CF">
        <w:rPr>
          <w:rStyle w:val="markedcontent"/>
        </w:rPr>
        <w:t xml:space="preserve"> itself</w:t>
      </w:r>
      <w:r w:rsidR="00EA3E6A">
        <w:rPr>
          <w:rStyle w:val="markedcontent"/>
        </w:rPr>
        <w:t>.</w:t>
      </w:r>
      <w:r w:rsidR="00681ED6">
        <w:rPr>
          <w:rStyle w:val="markedcontent"/>
        </w:rPr>
        <w:t xml:space="preserve"> </w:t>
      </w:r>
      <w:r w:rsidR="00681ED6">
        <w:t xml:space="preserve">In the following quotation, </w:t>
      </w:r>
      <w:r w:rsidR="00681ED6" w:rsidRPr="003061DB">
        <w:rPr>
          <w:i/>
          <w:iCs/>
        </w:rPr>
        <w:t>Ward</w:t>
      </w:r>
      <w:r w:rsidR="00681ED6">
        <w:t xml:space="preserve"> indeed appears to permit damages </w:t>
      </w:r>
      <w:r w:rsidR="00681ED6">
        <w:rPr>
          <w:i/>
          <w:iCs/>
        </w:rPr>
        <w:t xml:space="preserve">per se </w:t>
      </w:r>
      <w:r w:rsidR="00681ED6">
        <w:t xml:space="preserve">when it states as follows: “the fact that the claimant has not suffered </w:t>
      </w:r>
      <w:r w:rsidR="00681ED6" w:rsidRPr="00D8612F">
        <w:rPr>
          <w:b/>
          <w:bCs/>
        </w:rPr>
        <w:t>personal loss</w:t>
      </w:r>
      <w:r w:rsidR="00681ED6">
        <w:t xml:space="preserve"> does not preclude damages where the objectives of vindication or deterrence clearly call for an </w:t>
      </w:r>
      <w:r w:rsidR="00681ED6" w:rsidRPr="003061DB">
        <w:t>award</w:t>
      </w:r>
      <w:r w:rsidR="00681ED6">
        <w:t xml:space="preserve"> [emphasis added].</w:t>
      </w:r>
      <w:r w:rsidR="00681ED6">
        <w:rPr>
          <w:rStyle w:val="FootnoteReference"/>
        </w:rPr>
        <w:footnoteReference w:id="66"/>
      </w:r>
      <w:r w:rsidR="00681ED6">
        <w:t xml:space="preserve"> </w:t>
      </w:r>
      <w:bookmarkStart w:id="15" w:name="_Hlk80855341"/>
      <w:r w:rsidR="00681ED6">
        <w:t>Personal loss in turn, involves the claimant’s “physical, psychological, pecuniary and harm to intangible interests.”</w:t>
      </w:r>
      <w:r w:rsidR="00681ED6">
        <w:rPr>
          <w:rStyle w:val="FootnoteReference"/>
        </w:rPr>
        <w:footnoteReference w:id="67"/>
      </w:r>
      <w:r w:rsidR="00681ED6">
        <w:t xml:space="preserve"> Putting this all together, a </w:t>
      </w:r>
      <w:r w:rsidR="00681ED6" w:rsidRPr="003061DB">
        <w:rPr>
          <w:i/>
          <w:iCs/>
        </w:rPr>
        <w:t>Charter</w:t>
      </w:r>
      <w:r w:rsidR="00681ED6">
        <w:t xml:space="preserve"> breach is actionable </w:t>
      </w:r>
      <w:r w:rsidR="00681ED6" w:rsidRPr="006D428C">
        <w:rPr>
          <w:i/>
          <w:iCs/>
        </w:rPr>
        <w:t>per se</w:t>
      </w:r>
      <w:r w:rsidR="00681ED6">
        <w:t>, that is, without proof of personal loss, but with the important caveat from Ward that</w:t>
      </w:r>
      <w:r w:rsidR="00C00632">
        <w:t xml:space="preserve"> a damage award </w:t>
      </w:r>
      <w:r w:rsidR="00681ED6">
        <w:t>be “appropriate and just</w:t>
      </w:r>
      <w:r w:rsidR="00C00632">
        <w:t>.</w:t>
      </w:r>
      <w:r w:rsidR="00681ED6">
        <w:t>”</w:t>
      </w:r>
      <w:r w:rsidR="00681ED6">
        <w:rPr>
          <w:rStyle w:val="FootnoteReference"/>
        </w:rPr>
        <w:footnoteReference w:id="68"/>
      </w:r>
      <w:r w:rsidR="00681ED6">
        <w:t xml:space="preserve"> This qualifier on actionability </w:t>
      </w:r>
      <w:r w:rsidR="00681ED6" w:rsidRPr="006D428C">
        <w:rPr>
          <w:i/>
          <w:iCs/>
        </w:rPr>
        <w:t xml:space="preserve">per se </w:t>
      </w:r>
      <w:r w:rsidR="00681ED6">
        <w:t xml:space="preserve">is </w:t>
      </w:r>
      <w:r w:rsidR="00825473">
        <w:t>virtual</w:t>
      </w:r>
      <w:r w:rsidR="00A22FE9">
        <w:t>ly</w:t>
      </w:r>
      <w:r w:rsidR="00825473">
        <w:t xml:space="preserve"> automatic </w:t>
      </w:r>
      <w:r w:rsidR="00681ED6">
        <w:t xml:space="preserve">given the nature of </w:t>
      </w:r>
      <w:r w:rsidR="00681ED6" w:rsidRPr="003061DB">
        <w:rPr>
          <w:i/>
          <w:iCs/>
        </w:rPr>
        <w:t>Charter</w:t>
      </w:r>
      <w:r w:rsidR="00681ED6">
        <w:t xml:space="preserve"> damages.</w:t>
      </w:r>
      <w:r w:rsidR="00681ED6">
        <w:rPr>
          <w:rStyle w:val="FootnoteReference"/>
        </w:rPr>
        <w:footnoteReference w:id="69"/>
      </w:r>
      <w:bookmarkEnd w:id="15"/>
    </w:p>
    <w:p w14:paraId="62DCE20F" w14:textId="77777777" w:rsidR="005E60B7" w:rsidRPr="00351C38" w:rsidRDefault="005E60B7" w:rsidP="005E60B7">
      <w:pPr>
        <w:contextualSpacing/>
        <w:rPr>
          <w:rStyle w:val="markedcontent"/>
        </w:rPr>
      </w:pPr>
    </w:p>
    <w:bookmarkEnd w:id="14"/>
    <w:p w14:paraId="5366E469" w14:textId="3721276E" w:rsidR="007142D2" w:rsidRDefault="00170AC8" w:rsidP="003830BA">
      <w:pPr>
        <w:ind w:firstLine="720"/>
        <w:contextualSpacing/>
      </w:pPr>
      <w:r>
        <w:t xml:space="preserve">In </w:t>
      </w:r>
      <w:r w:rsidRPr="003061DB">
        <w:rPr>
          <w:i/>
          <w:iCs/>
        </w:rPr>
        <w:t>Ward</w:t>
      </w:r>
      <w:r>
        <w:t xml:space="preserve">, the </w:t>
      </w:r>
      <w:r w:rsidR="00FF1A04">
        <w:t xml:space="preserve">plaintiff </w:t>
      </w:r>
      <w:r>
        <w:t xml:space="preserve">received </w:t>
      </w:r>
      <w:r w:rsidRPr="003061DB">
        <w:rPr>
          <w:i/>
          <w:iCs/>
        </w:rPr>
        <w:t>Charter</w:t>
      </w:r>
      <w:r>
        <w:t xml:space="preserve"> damages for the wrongful strip search </w:t>
      </w:r>
      <w:r w:rsidR="00FF1A04">
        <w:t>based on</w:t>
      </w:r>
      <w:r>
        <w:t xml:space="preserve"> </w:t>
      </w:r>
      <w:r w:rsidR="00FF1A04">
        <w:t xml:space="preserve">the </w:t>
      </w:r>
      <w:r>
        <w:t>compensatory interest</w:t>
      </w:r>
      <w:r w:rsidR="00FF1A04">
        <w:t>. That is, the humiliating quality of being strip searched caused</w:t>
      </w:r>
      <w:r>
        <w:t xml:space="preserve"> “significant injury” to the individual’s “intangible interest”</w:t>
      </w:r>
      <w:r w:rsidR="00FF1A04">
        <w:t>.</w:t>
      </w:r>
      <w:r>
        <w:rPr>
          <w:rStyle w:val="FootnoteReference"/>
        </w:rPr>
        <w:footnoteReference w:id="70"/>
      </w:r>
      <w:r>
        <w:t xml:space="preserve"> </w:t>
      </w:r>
      <w:r w:rsidR="00FF1A04">
        <w:t xml:space="preserve">Additionally, the plaintiff received damages </w:t>
      </w:r>
      <w:r>
        <w:t xml:space="preserve">under the objects of deterrence and vindication </w:t>
      </w:r>
      <w:r w:rsidR="00FF1A04">
        <w:t xml:space="preserve">given that </w:t>
      </w:r>
      <w:r>
        <w:t xml:space="preserve">the conduct of the corrections officer “was serious and reflected a lack of sensitivity to </w:t>
      </w:r>
      <w:r w:rsidRPr="003061DB">
        <w:rPr>
          <w:rStyle w:val="reflex2-link"/>
          <w:i/>
          <w:iCs/>
        </w:rPr>
        <w:t>Charter</w:t>
      </w:r>
      <w:r>
        <w:t xml:space="preserve"> concerns.”</w:t>
      </w:r>
      <w:r>
        <w:rPr>
          <w:rStyle w:val="FootnoteReference"/>
        </w:rPr>
        <w:footnoteReference w:id="71"/>
      </w:r>
      <w:r>
        <w:t xml:space="preserve"> However, the court denied recovery </w:t>
      </w:r>
      <w:r w:rsidR="00102FDD">
        <w:t xml:space="preserve">for the </w:t>
      </w:r>
      <w:r>
        <w:t xml:space="preserve">wrongful impoundment of the </w:t>
      </w:r>
      <w:r w:rsidR="00FF1A04">
        <w:t>plaintiff’s</w:t>
      </w:r>
      <w:r>
        <w:t xml:space="preserve"> vehicle on the basis that none of the objects of </w:t>
      </w:r>
      <w:r w:rsidRPr="003061DB">
        <w:rPr>
          <w:i/>
          <w:iCs/>
        </w:rPr>
        <w:t>Charter</w:t>
      </w:r>
      <w:r>
        <w:t xml:space="preserve"> damages – compensation, vindication or deterrence – were engaged</w:t>
      </w:r>
      <w:r w:rsidR="00102FDD">
        <w:t>.</w:t>
      </w:r>
      <w:r>
        <w:t xml:space="preserve"> </w:t>
      </w:r>
      <w:r w:rsidR="007142D2">
        <w:t>In short, t</w:t>
      </w:r>
      <w:r w:rsidR="00102FDD">
        <w:t>here was no financial loss and the seizure was “not of a serious nature.”</w:t>
      </w:r>
      <w:r w:rsidR="00102FDD">
        <w:rPr>
          <w:rStyle w:val="FootnoteReference"/>
        </w:rPr>
        <w:footnoteReference w:id="72"/>
      </w:r>
      <w:r w:rsidR="00102FDD">
        <w:t xml:space="preserve"> According to</w:t>
      </w:r>
      <w:r w:rsidR="00052CCE">
        <w:t xml:space="preserve"> Kent Roach</w:t>
      </w:r>
      <w:r w:rsidR="00102FDD">
        <w:t xml:space="preserve">, </w:t>
      </w:r>
      <w:r w:rsidR="00C00632">
        <w:t>such a</w:t>
      </w:r>
      <w:r w:rsidR="00102FDD">
        <w:t xml:space="preserve"> rejection of damages</w:t>
      </w:r>
      <w:r w:rsidR="00052CCE">
        <w:t xml:space="preserve"> </w:t>
      </w:r>
      <w:r w:rsidR="00102FDD">
        <w:t>must also be understood as a</w:t>
      </w:r>
      <w:r w:rsidR="00052CCE">
        <w:t xml:space="preserve"> rejection of </w:t>
      </w:r>
      <w:r w:rsidR="007142D2">
        <w:t xml:space="preserve">a </w:t>
      </w:r>
      <w:r w:rsidR="00052CCE">
        <w:t xml:space="preserve">“theory of </w:t>
      </w:r>
      <w:r w:rsidR="00052CCE" w:rsidRPr="007D1EAB">
        <w:rPr>
          <w:i/>
          <w:iCs/>
        </w:rPr>
        <w:t>per se</w:t>
      </w:r>
      <w:r w:rsidR="00052CCE">
        <w:t xml:space="preserve"> nominal damages for all </w:t>
      </w:r>
      <w:r w:rsidR="00052CCE">
        <w:rPr>
          <w:i/>
          <w:iCs/>
        </w:rPr>
        <w:t xml:space="preserve">Charter </w:t>
      </w:r>
      <w:r w:rsidR="00052CCE">
        <w:t>violations.”</w:t>
      </w:r>
      <w:r w:rsidR="00102FDD">
        <w:rPr>
          <w:rStyle w:val="FootnoteReference"/>
        </w:rPr>
        <w:footnoteReference w:id="73"/>
      </w:r>
      <w:r w:rsidR="00052CCE">
        <w:t xml:space="preserve"> While</w:t>
      </w:r>
      <w:r w:rsidR="00102FDD">
        <w:t xml:space="preserve"> Roach is</w:t>
      </w:r>
      <w:r w:rsidR="00052CCE">
        <w:t xml:space="preserve"> </w:t>
      </w:r>
      <w:r w:rsidR="00874C29">
        <w:t xml:space="preserve">technically </w:t>
      </w:r>
      <w:r w:rsidR="00102FDD">
        <w:t>correct,</w:t>
      </w:r>
      <w:r w:rsidR="00C00632">
        <w:t xml:space="preserve"> it must be emphasized</w:t>
      </w:r>
      <w:r w:rsidR="00102FDD">
        <w:t xml:space="preserve"> </w:t>
      </w:r>
      <w:r w:rsidR="00C00632">
        <w:t xml:space="preserve">that </w:t>
      </w:r>
      <w:r w:rsidR="00102FDD" w:rsidRPr="007D1EAB">
        <w:rPr>
          <w:i/>
          <w:iCs/>
        </w:rPr>
        <w:t>Ward</w:t>
      </w:r>
      <w:r w:rsidR="00102FDD">
        <w:t xml:space="preserve"> </w:t>
      </w:r>
      <w:r w:rsidR="00C00632">
        <w:t xml:space="preserve">does not </w:t>
      </w:r>
      <w:r w:rsidR="00102FDD">
        <w:t>create</w:t>
      </w:r>
      <w:r w:rsidR="00052CCE">
        <w:t xml:space="preserve"> a </w:t>
      </w:r>
      <w:r w:rsidR="00C00632">
        <w:t xml:space="preserve">large </w:t>
      </w:r>
      <w:r w:rsidR="00052CCE">
        <w:t>inroad</w:t>
      </w:r>
      <w:r w:rsidR="00102FDD">
        <w:t xml:space="preserve"> on the principle of </w:t>
      </w:r>
      <w:r w:rsidR="00102FDD" w:rsidRPr="00A22FE9">
        <w:rPr>
          <w:i/>
          <w:iCs/>
        </w:rPr>
        <w:t>per se</w:t>
      </w:r>
      <w:r w:rsidR="00102FDD">
        <w:t xml:space="preserve"> damages.</w:t>
      </w:r>
      <w:r w:rsidR="00052CCE">
        <w:t xml:space="preserve">  </w:t>
      </w:r>
      <w:r w:rsidR="00102FDD">
        <w:t xml:space="preserve">As previously noted, the </w:t>
      </w:r>
      <w:r w:rsidR="00102FDD" w:rsidRPr="007D1EAB">
        <w:rPr>
          <w:i/>
          <w:iCs/>
        </w:rPr>
        <w:t>Ward</w:t>
      </w:r>
      <w:r w:rsidR="00102FDD">
        <w:t xml:space="preserve"> framework requires that an </w:t>
      </w:r>
      <w:r w:rsidR="007D1EAB">
        <w:t>award of section</w:t>
      </w:r>
      <w:r w:rsidR="00102FDD">
        <w:t xml:space="preserve"> 24 damages be </w:t>
      </w:r>
      <w:r w:rsidR="00052CCE">
        <w:t>“appropriate and just</w:t>
      </w:r>
      <w:r w:rsidR="00C00632">
        <w:t>,</w:t>
      </w:r>
      <w:r w:rsidR="00052CCE">
        <w:t>”</w:t>
      </w:r>
      <w:r w:rsidR="00052CCE">
        <w:rPr>
          <w:rStyle w:val="FootnoteReference"/>
        </w:rPr>
        <w:footnoteReference w:id="74"/>
      </w:r>
      <w:r w:rsidR="00052CCE">
        <w:t xml:space="preserve"> </w:t>
      </w:r>
      <w:r w:rsidR="00C00632">
        <w:t xml:space="preserve">given the over all constitutional context. </w:t>
      </w:r>
      <w:r w:rsidR="007142D2" w:rsidRPr="007D1EAB">
        <w:rPr>
          <w:i/>
          <w:iCs/>
        </w:rPr>
        <w:t>P</w:t>
      </w:r>
      <w:r w:rsidR="00052CCE" w:rsidRPr="007D1EAB">
        <w:rPr>
          <w:i/>
          <w:iCs/>
        </w:rPr>
        <w:t>er se</w:t>
      </w:r>
      <w:r w:rsidR="00052CCE">
        <w:t xml:space="preserve"> damages are available for </w:t>
      </w:r>
      <w:r w:rsidR="00052CCE" w:rsidRPr="00D753C4">
        <w:rPr>
          <w:i/>
          <w:iCs/>
        </w:rPr>
        <w:t>Charter</w:t>
      </w:r>
      <w:r w:rsidR="00052CCE">
        <w:t xml:space="preserve"> breaches but </w:t>
      </w:r>
      <w:r w:rsidR="00102FDD">
        <w:t xml:space="preserve">subject to this </w:t>
      </w:r>
      <w:r w:rsidR="00884284">
        <w:t xml:space="preserve">axiomatic </w:t>
      </w:r>
      <w:r w:rsidR="00102FDD">
        <w:t>caveat.</w:t>
      </w:r>
    </w:p>
    <w:p w14:paraId="5DC26753" w14:textId="56A81104" w:rsidR="00170AC8" w:rsidRDefault="00102FDD">
      <w:pPr>
        <w:ind w:firstLine="720"/>
        <w:contextualSpacing/>
      </w:pPr>
      <w:r>
        <w:t xml:space="preserve"> </w:t>
      </w:r>
    </w:p>
    <w:p w14:paraId="33DB3748" w14:textId="09F62274" w:rsidR="007B177E" w:rsidRDefault="007735A7" w:rsidP="0045438C">
      <w:pPr>
        <w:ind w:firstLine="720"/>
        <w:contextualSpacing/>
      </w:pPr>
      <w:bookmarkStart w:id="16" w:name="_Hlk80860912"/>
      <w:r>
        <w:t xml:space="preserve">The quasi-constitutional nature of </w:t>
      </w:r>
      <w:r w:rsidRPr="00A66B5B">
        <w:rPr>
          <w:i/>
          <w:iCs/>
        </w:rPr>
        <w:t>PIPEDA</w:t>
      </w:r>
      <w:r w:rsidR="005817DF">
        <w:t xml:space="preserve">, </w:t>
      </w:r>
      <w:r w:rsidR="00681ED6">
        <w:t>its close relation to the privacy torts and defamation (previously discussed in</w:t>
      </w:r>
      <w:r w:rsidR="00C0261B">
        <w:t xml:space="preserve"> Section II(B) of</w:t>
      </w:r>
      <w:r w:rsidR="00681ED6">
        <w:t xml:space="preserve"> </w:t>
      </w:r>
      <w:r w:rsidR="00540587">
        <w:t>Part</w:t>
      </w:r>
      <w:r w:rsidR="00DE106E">
        <w:t xml:space="preserve"> One</w:t>
      </w:r>
      <w:r w:rsidR="00BE61CF">
        <w:t xml:space="preserve"> of this article</w:t>
      </w:r>
      <w:r w:rsidR="00C0261B">
        <w:t xml:space="preserve">, </w:t>
      </w:r>
      <w:r w:rsidR="00C0261B" w:rsidRPr="0045438C">
        <w:t xml:space="preserve">published in </w:t>
      </w:r>
      <w:r w:rsidR="0045438C">
        <w:rPr>
          <w:color w:val="222222"/>
          <w:shd w:val="clear" w:color="auto" w:fill="FFFFFF"/>
        </w:rPr>
        <w:t xml:space="preserve">52 </w:t>
      </w:r>
      <w:proofErr w:type="spellStart"/>
      <w:r w:rsidR="0045438C">
        <w:rPr>
          <w:color w:val="222222"/>
          <w:shd w:val="clear" w:color="auto" w:fill="FFFFFF"/>
        </w:rPr>
        <w:t>Adv</w:t>
      </w:r>
      <w:proofErr w:type="spellEnd"/>
      <w:r w:rsidR="0045438C">
        <w:rPr>
          <w:color w:val="222222"/>
          <w:shd w:val="clear" w:color="auto" w:fill="FFFFFF"/>
        </w:rPr>
        <w:t xml:space="preserve"> Q 427 (2022)</w:t>
      </w:r>
      <w:r w:rsidR="00681ED6">
        <w:t>)</w:t>
      </w:r>
      <w:r w:rsidR="005817DF">
        <w:t>, and the language of s</w:t>
      </w:r>
      <w:r w:rsidR="00E57F4C">
        <w:t>ection</w:t>
      </w:r>
      <w:r w:rsidR="005817DF">
        <w:t xml:space="preserve"> 16,</w:t>
      </w:r>
      <w:r w:rsidR="00681ED6">
        <w:t xml:space="preserve"> </w:t>
      </w:r>
      <w:r w:rsidR="00170AC8">
        <w:t>explain why courts have</w:t>
      </w:r>
      <w:r w:rsidR="000C17A3">
        <w:t xml:space="preserve"> seemed to underst</w:t>
      </w:r>
      <w:r w:rsidR="00E57F4C">
        <w:t>an</w:t>
      </w:r>
      <w:r w:rsidR="000C17A3">
        <w:t xml:space="preserve">d </w:t>
      </w:r>
      <w:r w:rsidR="00170AC8">
        <w:t xml:space="preserve">the </w:t>
      </w:r>
      <w:r w:rsidR="00F13DC4">
        <w:t>breach of</w:t>
      </w:r>
      <w:r w:rsidR="00170AC8">
        <w:t xml:space="preserve"> </w:t>
      </w:r>
      <w:r w:rsidR="00170AC8" w:rsidRPr="00A66B5B">
        <w:rPr>
          <w:i/>
          <w:iCs/>
        </w:rPr>
        <w:t>PIPEDA</w:t>
      </w:r>
      <w:r w:rsidR="00170AC8">
        <w:t xml:space="preserve"> as </w:t>
      </w:r>
      <w:r w:rsidR="000C17A3">
        <w:t>being</w:t>
      </w:r>
      <w:r w:rsidR="005817DF">
        <w:t xml:space="preserve"> actionable</w:t>
      </w:r>
      <w:r w:rsidR="000C17A3">
        <w:t xml:space="preserve"> </w:t>
      </w:r>
      <w:r w:rsidR="000C17A3" w:rsidRPr="000C17A3">
        <w:rPr>
          <w:i/>
          <w:iCs/>
        </w:rPr>
        <w:t>per se</w:t>
      </w:r>
      <w:r w:rsidR="000C17A3">
        <w:t xml:space="preserve">, </w:t>
      </w:r>
      <w:r w:rsidR="00681ED6">
        <w:t xml:space="preserve">with </w:t>
      </w:r>
      <w:r w:rsidR="00681ED6">
        <w:lastRenderedPageBreak/>
        <w:t xml:space="preserve">damages at large </w:t>
      </w:r>
      <w:r w:rsidR="00170AC8">
        <w:t xml:space="preserve">awarded </w:t>
      </w:r>
      <w:r w:rsidR="00681ED6">
        <w:t>as necessary</w:t>
      </w:r>
      <w:bookmarkEnd w:id="16"/>
      <w:r w:rsidR="00681ED6">
        <w:t>.</w:t>
      </w:r>
      <w:r w:rsidR="00170AC8">
        <w:t xml:space="preserve"> </w:t>
      </w:r>
      <w:r w:rsidR="00F81146" w:rsidRPr="003C3C6F">
        <w:t xml:space="preserve">For example, in </w:t>
      </w:r>
      <w:proofErr w:type="spellStart"/>
      <w:r w:rsidR="00F81146" w:rsidRPr="005655BF">
        <w:rPr>
          <w:i/>
          <w:iCs/>
        </w:rPr>
        <w:t>Girao</w:t>
      </w:r>
      <w:proofErr w:type="spellEnd"/>
      <w:r w:rsidR="00F81146" w:rsidRPr="003C3C6F">
        <w:t>,</w:t>
      </w:r>
      <w:bookmarkStart w:id="17" w:name="_Ref78192521"/>
      <w:r w:rsidR="00F81146" w:rsidRPr="003C3C6F">
        <w:rPr>
          <w:rStyle w:val="FootnoteReference"/>
        </w:rPr>
        <w:footnoteReference w:id="75"/>
      </w:r>
      <w:bookmarkEnd w:id="17"/>
      <w:r w:rsidR="00F81146" w:rsidRPr="003C3C6F">
        <w:t xml:space="preserve"> the applicant sought damages under </w:t>
      </w:r>
      <w:r w:rsidR="003061DB" w:rsidRPr="003061DB">
        <w:rPr>
          <w:i/>
          <w:iCs/>
        </w:rPr>
        <w:t>PIPEDA</w:t>
      </w:r>
      <w:r w:rsidR="00F81146" w:rsidRPr="003C3C6F">
        <w:t xml:space="preserve"> “arising from the disclosure of her personal information contained in a letter and Report of Findings issued by the Privacy Commissioner of Canada which the respondent law firm posted on the firm’s website.”</w:t>
      </w:r>
      <w:r w:rsidR="00F81146" w:rsidRPr="003C3C6F">
        <w:rPr>
          <w:rStyle w:val="FootnoteReference"/>
        </w:rPr>
        <w:footnoteReference w:id="76"/>
      </w:r>
      <w:r w:rsidR="00F81146" w:rsidRPr="003C3C6F">
        <w:t xml:space="preserve"> As noted by the court, there was no evidence of economic loss or expenses incurred in relation to the privacy breach.</w:t>
      </w:r>
      <w:r w:rsidR="00F81146" w:rsidRPr="003C3C6F">
        <w:rPr>
          <w:rStyle w:val="FootnoteReference"/>
        </w:rPr>
        <w:footnoteReference w:id="77"/>
      </w:r>
      <w:r w:rsidR="00F81146">
        <w:t xml:space="preserve"> </w:t>
      </w:r>
      <w:r w:rsidR="00F81146" w:rsidRPr="003C3C6F">
        <w:t>Likewise,</w:t>
      </w:r>
      <w:r w:rsidR="00F81146" w:rsidRPr="003C3C6F">
        <w:rPr>
          <w:rFonts w:eastAsia="Times New Roman"/>
          <w:bCs/>
          <w:lang w:eastAsia="en-CA"/>
        </w:rPr>
        <w:t xml:space="preserve"> “the record does not establish that the applicant suffered humiliation as a result of the breach.”</w:t>
      </w:r>
      <w:r w:rsidR="00F81146" w:rsidRPr="003C3C6F">
        <w:rPr>
          <w:rStyle w:val="FootnoteReference"/>
          <w:rFonts w:eastAsia="Times New Roman"/>
          <w:bCs/>
          <w:lang w:eastAsia="en-CA"/>
        </w:rPr>
        <w:footnoteReference w:id="78"/>
      </w:r>
      <w:r w:rsidR="00F81146" w:rsidRPr="003C3C6F">
        <w:rPr>
          <w:rFonts w:eastAsia="Times New Roman"/>
          <w:bCs/>
          <w:lang w:eastAsia="en-CA"/>
        </w:rPr>
        <w:t xml:space="preserve"> In this sense, there was no</w:t>
      </w:r>
      <w:r w:rsidR="00F81146" w:rsidRPr="00731DF7">
        <w:rPr>
          <w:rFonts w:eastAsia="Times New Roman"/>
          <w:bCs/>
          <w:lang w:eastAsia="en-CA"/>
        </w:rPr>
        <w:t xml:space="preserve"> </w:t>
      </w:r>
      <w:r w:rsidR="00F81146">
        <w:rPr>
          <w:rFonts w:eastAsia="Times New Roman"/>
          <w:bCs/>
          <w:lang w:eastAsia="en-CA"/>
        </w:rPr>
        <w:t xml:space="preserve">demonstrated </w:t>
      </w:r>
      <w:r w:rsidR="00F81146" w:rsidRPr="00731DF7">
        <w:rPr>
          <w:rFonts w:eastAsia="Times New Roman"/>
          <w:bCs/>
          <w:lang w:eastAsia="en-CA"/>
        </w:rPr>
        <w:t xml:space="preserve">personal loss but the court nonetheless ordered damages on the following basis: </w:t>
      </w:r>
      <w:r w:rsidR="00F81146">
        <w:rPr>
          <w:rFonts w:eastAsia="Times New Roman"/>
          <w:bCs/>
          <w:lang w:eastAsia="en-CA"/>
        </w:rPr>
        <w:t>“</w:t>
      </w:r>
      <w:r w:rsidR="00F81146" w:rsidRPr="00731DF7">
        <w:rPr>
          <w:rFonts w:eastAsia="Times New Roman"/>
          <w:bCs/>
          <w:lang w:eastAsia="en-CA"/>
        </w:rPr>
        <w:t>The law firm was negligent in not taking steps to ensure that any personal information about an identifiable complainant was removed before it posted the report.</w:t>
      </w:r>
      <w:r w:rsidR="00F81146">
        <w:rPr>
          <w:rFonts w:eastAsia="Times New Roman"/>
          <w:bCs/>
          <w:lang w:eastAsia="en-CA"/>
        </w:rPr>
        <w:t>”</w:t>
      </w:r>
      <w:r w:rsidR="00F81146">
        <w:rPr>
          <w:rStyle w:val="FootnoteReference"/>
          <w:rFonts w:eastAsia="Times New Roman"/>
          <w:bCs/>
          <w:lang w:eastAsia="en-CA"/>
        </w:rPr>
        <w:footnoteReference w:id="79"/>
      </w:r>
      <w:r w:rsidR="00F81146">
        <w:rPr>
          <w:rFonts w:eastAsia="Times New Roman"/>
          <w:bCs/>
          <w:lang w:eastAsia="en-CA"/>
        </w:rPr>
        <w:t xml:space="preserve"> The court went on to </w:t>
      </w:r>
      <w:r w:rsidR="003061DB" w:rsidRPr="003061DB">
        <w:rPr>
          <w:rFonts w:eastAsia="Times New Roman"/>
          <w:bCs/>
          <w:lang w:eastAsia="en-CA"/>
        </w:rPr>
        <w:t>award</w:t>
      </w:r>
      <w:r w:rsidR="00F81146">
        <w:rPr>
          <w:rFonts w:eastAsia="Times New Roman"/>
          <w:bCs/>
          <w:lang w:eastAsia="en-CA"/>
        </w:rPr>
        <w:t xml:space="preserve"> </w:t>
      </w:r>
      <w:r w:rsidR="00F81146" w:rsidRPr="00731DF7">
        <w:rPr>
          <w:rFonts w:eastAsia="Times New Roman"/>
          <w:bCs/>
          <w:lang w:eastAsia="en-CA"/>
        </w:rPr>
        <w:t>$1500.00.</w:t>
      </w:r>
      <w:r w:rsidR="00F81146">
        <w:rPr>
          <w:rStyle w:val="FootnoteReference"/>
          <w:rFonts w:eastAsia="Times New Roman"/>
          <w:bCs/>
          <w:lang w:eastAsia="en-CA"/>
        </w:rPr>
        <w:footnoteReference w:id="80"/>
      </w:r>
      <w:r w:rsidR="00F81146">
        <w:rPr>
          <w:rFonts w:eastAsia="Times New Roman"/>
          <w:bCs/>
          <w:lang w:eastAsia="en-CA"/>
        </w:rPr>
        <w:t xml:space="preserve"> Another example is </w:t>
      </w:r>
      <w:r w:rsidR="002A2413">
        <w:rPr>
          <w:rFonts w:eastAsia="Times New Roman"/>
          <w:bCs/>
          <w:lang w:eastAsia="en-CA"/>
        </w:rPr>
        <w:t xml:space="preserve">the </w:t>
      </w:r>
      <w:r w:rsidR="00F81146" w:rsidRPr="00F81146">
        <w:rPr>
          <w:i/>
          <w:iCs/>
        </w:rPr>
        <w:t>Cote</w:t>
      </w:r>
      <w:r w:rsidR="002A2413">
        <w:t xml:space="preserve"> case</w:t>
      </w:r>
      <w:r w:rsidR="00DF3BA6">
        <w:t>.</w:t>
      </w:r>
      <w:r w:rsidR="000C7E60">
        <w:rPr>
          <w:rStyle w:val="FootnoteReference"/>
        </w:rPr>
        <w:footnoteReference w:id="81"/>
      </w:r>
      <w:r w:rsidR="00DF3BA6">
        <w:t xml:space="preserve"> Notably, t</w:t>
      </w:r>
      <w:r w:rsidR="00F81146">
        <w:t xml:space="preserve">he court made no express finding of actual loss (whether pecuniary or non-pecuniary) </w:t>
      </w:r>
      <w:r w:rsidR="00DF3BA6">
        <w:t xml:space="preserve">in relation to the respondent’s breach of </w:t>
      </w:r>
      <w:r w:rsidR="003061DB" w:rsidRPr="003061DB">
        <w:rPr>
          <w:i/>
          <w:iCs/>
        </w:rPr>
        <w:t>PIPEDA</w:t>
      </w:r>
      <w:r w:rsidR="00DF3BA6">
        <w:t xml:space="preserve"> </w:t>
      </w:r>
      <w:r w:rsidR="00F81146">
        <w:t xml:space="preserve">but went on to </w:t>
      </w:r>
      <w:r w:rsidR="003061DB" w:rsidRPr="003061DB">
        <w:t>award</w:t>
      </w:r>
      <w:r w:rsidR="00F81146">
        <w:t xml:space="preserve"> $5,000</w:t>
      </w:r>
      <w:r w:rsidR="00F81146">
        <w:rPr>
          <w:rStyle w:val="FootnoteReference"/>
        </w:rPr>
        <w:footnoteReference w:id="82"/>
      </w:r>
      <w:r w:rsidR="00F81146">
        <w:t xml:space="preserve"> on this basis: “[A]n </w:t>
      </w:r>
      <w:r w:rsidR="003061DB" w:rsidRPr="003061DB">
        <w:t>award</w:t>
      </w:r>
      <w:r w:rsidR="00F81146">
        <w:t xml:space="preserve"> of damages will drive home its failure to meet its obligations under </w:t>
      </w:r>
      <w:r w:rsidR="003061DB" w:rsidRPr="003061DB">
        <w:rPr>
          <w:rStyle w:val="reflex2-link"/>
          <w:i/>
          <w:iCs/>
        </w:rPr>
        <w:t>PIPEDA</w:t>
      </w:r>
      <w:r w:rsidR="00F81146">
        <w:t xml:space="preserve"> and, hopefully, cause it to be more attentive to these matters in the future.”</w:t>
      </w:r>
      <w:r w:rsidR="00F81146">
        <w:rPr>
          <w:rStyle w:val="FootnoteReference"/>
        </w:rPr>
        <w:footnoteReference w:id="83"/>
      </w:r>
      <w:r w:rsidR="007B177E">
        <w:t xml:space="preserve"> Note, too, that while damages at large are often nominal, they can be more substantial as proven.</w:t>
      </w:r>
      <w:r w:rsidR="007B177E">
        <w:rPr>
          <w:rStyle w:val="FootnoteReference"/>
        </w:rPr>
        <w:footnoteReference w:id="84"/>
      </w:r>
    </w:p>
    <w:p w14:paraId="2A960F90" w14:textId="77777777" w:rsidR="007B177E" w:rsidRDefault="007B177E" w:rsidP="007B177E">
      <w:pPr>
        <w:ind w:firstLine="720"/>
        <w:contextualSpacing/>
      </w:pPr>
    </w:p>
    <w:p w14:paraId="56557854" w14:textId="282FF815" w:rsidR="007B177E" w:rsidRPr="007B177E" w:rsidRDefault="00042689" w:rsidP="003830BA">
      <w:pPr>
        <w:ind w:firstLine="720"/>
        <w:contextualSpacing/>
      </w:pPr>
      <w:bookmarkStart w:id="18" w:name="_Hlk80851983"/>
      <w:r>
        <w:t>W</w:t>
      </w:r>
      <w:r w:rsidR="00DF3BA6">
        <w:t xml:space="preserve">hile damages </w:t>
      </w:r>
      <w:r w:rsidR="003061DB">
        <w:rPr>
          <w:i/>
          <w:iCs/>
        </w:rPr>
        <w:t>per se</w:t>
      </w:r>
      <w:r w:rsidR="00DF3BA6">
        <w:t xml:space="preserve"> appear to be </w:t>
      </w:r>
      <w:r w:rsidR="002B7208">
        <w:t>recoverable</w:t>
      </w:r>
      <w:r w:rsidR="00DF3BA6">
        <w:t xml:space="preserve"> under </w:t>
      </w:r>
      <w:r w:rsidR="003061DB" w:rsidRPr="003061DB">
        <w:rPr>
          <w:i/>
          <w:iCs/>
        </w:rPr>
        <w:t>PIPEDA</w:t>
      </w:r>
      <w:r w:rsidR="00DF3BA6">
        <w:t xml:space="preserve">, </w:t>
      </w:r>
      <w:r w:rsidR="007B177E">
        <w:t xml:space="preserve">it remains to be seen whether </w:t>
      </w:r>
      <w:r w:rsidR="002B7208">
        <w:t xml:space="preserve">this </w:t>
      </w:r>
      <w:r w:rsidR="007B177E">
        <w:t xml:space="preserve">will continue under future legislation. Given the importance of privacy, its constitutional overlay, and its role in the context of dignitary torts, we argue </w:t>
      </w:r>
      <w:r w:rsidR="0069145D">
        <w:t xml:space="preserve">below </w:t>
      </w:r>
      <w:r w:rsidR="007B177E">
        <w:t xml:space="preserve">that </w:t>
      </w:r>
      <w:r w:rsidR="007B177E">
        <w:rPr>
          <w:i/>
          <w:iCs/>
        </w:rPr>
        <w:t>per se</w:t>
      </w:r>
      <w:r w:rsidR="007B177E">
        <w:t xml:space="preserve"> damages should continue</w:t>
      </w:r>
      <w:r w:rsidR="002B7208">
        <w:t xml:space="preserve"> to be available</w:t>
      </w:r>
      <w:r w:rsidR="007B177E">
        <w:t xml:space="preserve">. Note that statutory privacy torts are </w:t>
      </w:r>
      <w:r w:rsidR="0069145D">
        <w:t xml:space="preserve">explicitly </w:t>
      </w:r>
      <w:r w:rsidR="007B177E">
        <w:t xml:space="preserve"> actionable without proof of damages and that in </w:t>
      </w:r>
      <w:proofErr w:type="spellStart"/>
      <w:r w:rsidR="007B177E">
        <w:rPr>
          <w:i/>
          <w:iCs/>
        </w:rPr>
        <w:t>Douez</w:t>
      </w:r>
      <w:proofErr w:type="spellEnd"/>
      <w:r w:rsidR="007B177E">
        <w:rPr>
          <w:i/>
          <w:iCs/>
        </w:rPr>
        <w:t xml:space="preserve">, </w:t>
      </w:r>
      <w:r w:rsidR="007B177E">
        <w:t xml:space="preserve">the Supreme Court of Canada justifiably lauded </w:t>
      </w:r>
      <w:r w:rsidR="002B7208">
        <w:t xml:space="preserve">this </w:t>
      </w:r>
      <w:r w:rsidR="007B177E">
        <w:t xml:space="preserve"> approach to privacy for reflecting the “legislature’s intention to encourage access to justice for such claims.”</w:t>
      </w:r>
      <w:bookmarkStart w:id="19" w:name="_Ref81149533"/>
      <w:r w:rsidR="007B177E">
        <w:rPr>
          <w:rStyle w:val="FootnoteReference"/>
        </w:rPr>
        <w:footnoteReference w:id="85"/>
      </w:r>
      <w:bookmarkEnd w:id="19"/>
      <w:r w:rsidR="007B177E">
        <w:t xml:space="preserve"> One would hope for similar encouragement in any future legislation.</w:t>
      </w:r>
      <w:r w:rsidR="007B177E">
        <w:rPr>
          <w:rStyle w:val="FootnoteReference"/>
        </w:rPr>
        <w:footnoteReference w:id="86"/>
      </w:r>
    </w:p>
    <w:bookmarkEnd w:id="18"/>
    <w:p w14:paraId="08AC9D3D" w14:textId="3380E168" w:rsidR="00731DF7" w:rsidRPr="00731DF7" w:rsidRDefault="002562B6" w:rsidP="00A34083">
      <w:pPr>
        <w:ind w:firstLine="720"/>
        <w:contextualSpacing/>
        <w:rPr>
          <w:rFonts w:eastAsia="Times New Roman"/>
          <w:bCs/>
          <w:lang w:eastAsia="en-CA"/>
        </w:rPr>
      </w:pPr>
      <w:r w:rsidRPr="003C3C6F">
        <w:t xml:space="preserve"> </w:t>
      </w:r>
    </w:p>
    <w:p w14:paraId="420F50E5" w14:textId="2AA1D14A" w:rsidR="00F93D25" w:rsidRPr="00522526" w:rsidRDefault="003061DB" w:rsidP="00522526">
      <w:pPr>
        <w:pStyle w:val="ListParagraph"/>
        <w:numPr>
          <w:ilvl w:val="0"/>
          <w:numId w:val="19"/>
        </w:numPr>
        <w:rPr>
          <w:b/>
          <w:bCs/>
        </w:rPr>
      </w:pPr>
      <w:r w:rsidRPr="00522526">
        <w:rPr>
          <w:b/>
          <w:bCs/>
          <w:i/>
          <w:iCs/>
        </w:rPr>
        <w:t>PIPEDA</w:t>
      </w:r>
      <w:r w:rsidR="002763E7" w:rsidRPr="00522526">
        <w:rPr>
          <w:b/>
          <w:bCs/>
        </w:rPr>
        <w:t xml:space="preserve"> Damages as </w:t>
      </w:r>
      <w:r w:rsidR="00F93D25" w:rsidRPr="00522526">
        <w:rPr>
          <w:b/>
          <w:bCs/>
        </w:rPr>
        <w:t xml:space="preserve">Symbolic Damages  </w:t>
      </w:r>
    </w:p>
    <w:p w14:paraId="53C3301E" w14:textId="1DF252A9" w:rsidR="007A4601" w:rsidRDefault="007A4601" w:rsidP="00C0261B">
      <w:pPr>
        <w:spacing w:before="100" w:beforeAutospacing="1" w:after="100" w:afterAutospacing="1"/>
        <w:ind w:firstLine="720"/>
      </w:pPr>
      <w:r>
        <w:t>The type of damage</w:t>
      </w:r>
      <w:r w:rsidR="00EE3CF7">
        <w:t>s</w:t>
      </w:r>
      <w:r>
        <w:t xml:space="preserve"> </w:t>
      </w:r>
      <w:r w:rsidR="003061DB" w:rsidRPr="003061DB">
        <w:t>award</w:t>
      </w:r>
      <w:r w:rsidR="006D2D70">
        <w:t>ed</w:t>
      </w:r>
      <w:r>
        <w:t xml:space="preserve"> in </w:t>
      </w:r>
      <w:r w:rsidR="003061DB" w:rsidRPr="003061DB">
        <w:rPr>
          <w:i/>
          <w:iCs/>
        </w:rPr>
        <w:t>Ward</w:t>
      </w:r>
      <w:r w:rsidRPr="007A4601">
        <w:rPr>
          <w:i/>
          <w:iCs/>
        </w:rPr>
        <w:t xml:space="preserve">, </w:t>
      </w:r>
      <w:proofErr w:type="spellStart"/>
      <w:r w:rsidRPr="007A4601">
        <w:rPr>
          <w:i/>
          <w:iCs/>
        </w:rPr>
        <w:t>Nammo</w:t>
      </w:r>
      <w:proofErr w:type="spellEnd"/>
      <w:r w:rsidRPr="007A4601">
        <w:rPr>
          <w:i/>
          <w:iCs/>
        </w:rPr>
        <w:t>,</w:t>
      </w:r>
      <w:r>
        <w:t xml:space="preserve"> and </w:t>
      </w:r>
      <w:r w:rsidR="00BE61CF">
        <w:rPr>
          <w:i/>
          <w:iCs/>
        </w:rPr>
        <w:t>Tsige</w:t>
      </w:r>
      <w:r w:rsidR="00E1691F">
        <w:t xml:space="preserve"> </w:t>
      </w:r>
      <w:r>
        <w:t>(</w:t>
      </w:r>
      <w:r w:rsidR="005D2995">
        <w:t xml:space="preserve">the latter case </w:t>
      </w:r>
      <w:r w:rsidR="002C0F85">
        <w:t xml:space="preserve">receiving detailed discussion </w:t>
      </w:r>
      <w:r w:rsidR="00DE106E">
        <w:t xml:space="preserve">in </w:t>
      </w:r>
      <w:r w:rsidR="00EE3CF7">
        <w:t>Part</w:t>
      </w:r>
      <w:r w:rsidR="00DE106E">
        <w:t xml:space="preserve"> One</w:t>
      </w:r>
      <w:r w:rsidR="00E1691F">
        <w:t>, Section II(B)</w:t>
      </w:r>
      <w:r w:rsidR="00DE106E">
        <w:t xml:space="preserve"> </w:t>
      </w:r>
      <w:r w:rsidR="00EE3CF7">
        <w:t xml:space="preserve">has </w:t>
      </w:r>
      <w:r>
        <w:t xml:space="preserve">been described in various </w:t>
      </w:r>
      <w:r>
        <w:lastRenderedPageBreak/>
        <w:t xml:space="preserve">ways. </w:t>
      </w:r>
      <w:proofErr w:type="spellStart"/>
      <w:r>
        <w:t>Waddams</w:t>
      </w:r>
      <w:proofErr w:type="spellEnd"/>
      <w:r>
        <w:t xml:space="preserve"> categorizes the </w:t>
      </w:r>
      <w:r w:rsidR="003061DB" w:rsidRPr="003061DB">
        <w:t>awards</w:t>
      </w:r>
      <w:r>
        <w:t xml:space="preserve"> in </w:t>
      </w:r>
      <w:r w:rsidR="003061DB" w:rsidRPr="003061DB">
        <w:rPr>
          <w:i/>
          <w:iCs/>
        </w:rPr>
        <w:t>Ward</w:t>
      </w:r>
      <w:r>
        <w:t xml:space="preserve"> and </w:t>
      </w:r>
      <w:proofErr w:type="spellStart"/>
      <w:r w:rsidRPr="007A4601">
        <w:rPr>
          <w:i/>
          <w:iCs/>
        </w:rPr>
        <w:t>Nammo</w:t>
      </w:r>
      <w:proofErr w:type="spellEnd"/>
      <w:r>
        <w:t xml:space="preserve"> as “symbolic and vindicatory damages”</w:t>
      </w:r>
      <w:r>
        <w:rPr>
          <w:rStyle w:val="FootnoteReference"/>
        </w:rPr>
        <w:footnoteReference w:id="87"/>
      </w:r>
      <w:r>
        <w:t xml:space="preserve"> These are </w:t>
      </w:r>
      <w:r w:rsidR="003061DB" w:rsidRPr="003061DB">
        <w:t>awards</w:t>
      </w:r>
      <w:r>
        <w:t xml:space="preserve"> which “vindicate rights’ or act as “symbolic recognition of their infringement.”</w:t>
      </w:r>
      <w:r>
        <w:rPr>
          <w:rStyle w:val="FootnoteReference"/>
        </w:rPr>
        <w:footnoteReference w:id="88"/>
      </w:r>
      <w:r>
        <w:t xml:space="preserve"> In </w:t>
      </w:r>
      <w:proofErr w:type="spellStart"/>
      <w:r>
        <w:t>Klar’s</w:t>
      </w:r>
      <w:proofErr w:type="spellEnd"/>
      <w:r>
        <w:t xml:space="preserve"> </w:t>
      </w:r>
      <w:r w:rsidRPr="007A4601">
        <w:rPr>
          <w:i/>
          <w:iCs/>
        </w:rPr>
        <w:t>Remedies in Tort</w:t>
      </w:r>
      <w:r>
        <w:t xml:space="preserve">, the damage </w:t>
      </w:r>
      <w:r w:rsidR="003061DB" w:rsidRPr="003061DB">
        <w:t>awards</w:t>
      </w:r>
      <w:r>
        <w:t xml:space="preserve"> in </w:t>
      </w:r>
      <w:r w:rsidR="003061DB" w:rsidRPr="003061DB">
        <w:rPr>
          <w:i/>
          <w:iCs/>
        </w:rPr>
        <w:t>Ward</w:t>
      </w:r>
      <w:r>
        <w:t xml:space="preserve"> and </w:t>
      </w:r>
      <w:r w:rsidRPr="007A4601">
        <w:rPr>
          <w:i/>
          <w:iCs/>
        </w:rPr>
        <w:t>Tsige</w:t>
      </w:r>
      <w:r>
        <w:t xml:space="preserve"> are called “[s]</w:t>
      </w:r>
      <w:proofErr w:type="spellStart"/>
      <w:r>
        <w:t>ymbolic</w:t>
      </w:r>
      <w:proofErr w:type="spellEnd"/>
      <w:r>
        <w:t>, moral or vindicatory damages”</w:t>
      </w:r>
      <w:r w:rsidR="0031544F" w:rsidRPr="0031544F">
        <w:rPr>
          <w:rStyle w:val="FootnoteReference"/>
        </w:rPr>
        <w:t xml:space="preserve"> </w:t>
      </w:r>
      <w:r w:rsidR="0031544F">
        <w:rPr>
          <w:rStyle w:val="FootnoteReference"/>
        </w:rPr>
        <w:footnoteReference w:id="89"/>
      </w:r>
      <w:r>
        <w:t xml:space="preserve"> and it adopts the </w:t>
      </w:r>
      <w:proofErr w:type="spellStart"/>
      <w:r>
        <w:t>Waddams</w:t>
      </w:r>
      <w:proofErr w:type="spellEnd"/>
      <w:r>
        <w:t xml:space="preserve"> definition quoted immediately above.</w:t>
      </w:r>
      <w:r w:rsidR="0031544F">
        <w:rPr>
          <w:rStyle w:val="FootnoteReference"/>
        </w:rPr>
        <w:footnoteReference w:id="90"/>
      </w:r>
      <w:r>
        <w:t xml:space="preserve"> And finally, see the court in </w:t>
      </w:r>
      <w:r w:rsidRPr="007A4601">
        <w:rPr>
          <w:i/>
          <w:iCs/>
        </w:rPr>
        <w:t>Sharp v Royal Mutual Funds Inc</w:t>
      </w:r>
      <w:r>
        <w:t xml:space="preserve"> who observes as follows:</w:t>
      </w:r>
    </w:p>
    <w:p w14:paraId="4DE28500" w14:textId="27720704" w:rsidR="007A4601" w:rsidRDefault="007A4601" w:rsidP="007A4601">
      <w:pPr>
        <w:spacing w:before="100" w:beforeAutospacing="1" w:after="100" w:afterAutospacing="1"/>
        <w:ind w:left="720"/>
      </w:pPr>
      <w:r>
        <w:rPr>
          <w:rStyle w:val="solexhl"/>
        </w:rPr>
        <w:t xml:space="preserve">Symbolic damages are most commonly </w:t>
      </w:r>
      <w:r w:rsidR="003061DB" w:rsidRPr="003061DB">
        <w:rPr>
          <w:rStyle w:val="solexhl"/>
        </w:rPr>
        <w:t>award</w:t>
      </w:r>
      <w:r>
        <w:rPr>
          <w:rStyle w:val="solexhl"/>
        </w:rPr>
        <w:t>ed</w:t>
      </w:r>
      <w:r>
        <w:t xml:space="preserve"> for violations of the </w:t>
      </w:r>
      <w:hyperlink r:id="rId10" w:history="1">
        <w:r w:rsidRPr="000A4BAD">
          <w:rPr>
            <w:rStyle w:val="Hyperlink"/>
            <w:i/>
            <w:iCs/>
            <w:color w:val="auto"/>
            <w:u w:val="none"/>
          </w:rPr>
          <w:t xml:space="preserve">Canadian </w:t>
        </w:r>
        <w:r w:rsidR="003061DB" w:rsidRPr="003061DB">
          <w:rPr>
            <w:rStyle w:val="Hyperlink"/>
            <w:i/>
            <w:iCs/>
            <w:color w:val="auto"/>
            <w:u w:val="none"/>
          </w:rPr>
          <w:t>Charter</w:t>
        </w:r>
        <w:r w:rsidRPr="000A4BAD">
          <w:rPr>
            <w:rStyle w:val="Hyperlink"/>
            <w:i/>
            <w:iCs/>
            <w:color w:val="auto"/>
            <w:u w:val="none"/>
          </w:rPr>
          <w:t xml:space="preserve"> of Rights and Freedoms</w:t>
        </w:r>
      </w:hyperlink>
      <w:r w:rsidRPr="000A4BAD">
        <w:rPr>
          <w:i/>
          <w:iCs/>
        </w:rPr>
        <w:t>.</w:t>
      </w:r>
      <w:r w:rsidRPr="000A4BAD">
        <w:t xml:space="preserve"> </w:t>
      </w:r>
      <w:r>
        <w:t xml:space="preserve">The courts have also </w:t>
      </w:r>
      <w:r w:rsidR="003061DB" w:rsidRPr="003061DB">
        <w:t>award</w:t>
      </w:r>
      <w:r>
        <w:t xml:space="preserve">ed symbolic damages in circumstances such as those that arose </w:t>
      </w:r>
      <w:r>
        <w:rPr>
          <w:rStyle w:val="reflex"/>
        </w:rPr>
        <w:t xml:space="preserve">in </w:t>
      </w:r>
      <w:r>
        <w:rPr>
          <w:rStyle w:val="reflex"/>
          <w:i/>
          <w:iCs/>
        </w:rPr>
        <w:t>Jones</w:t>
      </w:r>
      <w:r w:rsidR="005D2995">
        <w:rPr>
          <w:rStyle w:val="reflex"/>
          <w:i/>
          <w:iCs/>
        </w:rPr>
        <w:t xml:space="preserve"> </w:t>
      </w:r>
      <w:r w:rsidR="005D2995">
        <w:rPr>
          <w:rStyle w:val="reflex"/>
        </w:rPr>
        <w:t>[i</w:t>
      </w:r>
      <w:r w:rsidR="00C0261B">
        <w:rPr>
          <w:rStyle w:val="reflex"/>
        </w:rPr>
        <w:t>.</w:t>
      </w:r>
      <w:r w:rsidR="005D2995">
        <w:rPr>
          <w:rStyle w:val="reflex"/>
        </w:rPr>
        <w:t>e</w:t>
      </w:r>
      <w:r w:rsidR="00C0261B">
        <w:rPr>
          <w:rStyle w:val="reflex"/>
        </w:rPr>
        <w:t>.,</w:t>
      </w:r>
      <w:r w:rsidR="005D2995">
        <w:rPr>
          <w:rStyle w:val="reflex"/>
        </w:rPr>
        <w:t xml:space="preserve"> </w:t>
      </w:r>
      <w:r w:rsidR="005D2995" w:rsidRPr="00C0261B">
        <w:rPr>
          <w:rStyle w:val="reflex"/>
          <w:i/>
          <w:iCs/>
        </w:rPr>
        <w:t>Tsige</w:t>
      </w:r>
      <w:r w:rsidR="005D2995">
        <w:rPr>
          <w:rStyle w:val="reflex"/>
        </w:rPr>
        <w:t>]</w:t>
      </w:r>
      <w:r>
        <w:rPr>
          <w:i/>
          <w:iCs/>
        </w:rPr>
        <w:t>,</w:t>
      </w:r>
      <w:r>
        <w:t xml:space="preserve"> in which the tort of intrusion upon seclusion is proven but no measurable loss is identified. Symbolic damages </w:t>
      </w:r>
      <w:r w:rsidR="003061DB" w:rsidRPr="003061DB">
        <w:t>awards</w:t>
      </w:r>
      <w:r>
        <w:t xml:space="preserve"> outside these two situations are highly exceptional</w:t>
      </w:r>
      <w:r w:rsidR="00B97629">
        <w:t>….</w:t>
      </w:r>
      <w:r>
        <w:rPr>
          <w:rStyle w:val="FootnoteReference"/>
        </w:rPr>
        <w:footnoteReference w:id="91"/>
      </w:r>
    </w:p>
    <w:p w14:paraId="70DD2616" w14:textId="6D71043E" w:rsidR="007A4601" w:rsidRDefault="002A0471" w:rsidP="003B6F56">
      <w:pPr>
        <w:spacing w:before="100" w:beforeAutospacing="1" w:after="100" w:afterAutospacing="1"/>
        <w:ind w:firstLine="360"/>
      </w:pPr>
      <w:r>
        <w:t>Further, t</w:t>
      </w:r>
      <w:r w:rsidR="007A4601">
        <w:t xml:space="preserve">hough </w:t>
      </w:r>
      <w:r w:rsidR="003061DB" w:rsidRPr="003061DB">
        <w:rPr>
          <w:i/>
          <w:iCs/>
        </w:rPr>
        <w:t>Ward</w:t>
      </w:r>
      <w:r w:rsidR="007A4601" w:rsidRPr="007A4601">
        <w:rPr>
          <w:i/>
          <w:iCs/>
        </w:rPr>
        <w:t xml:space="preserve">, </w:t>
      </w:r>
      <w:proofErr w:type="spellStart"/>
      <w:r w:rsidR="007A4601" w:rsidRPr="007A4601">
        <w:rPr>
          <w:i/>
          <w:iCs/>
        </w:rPr>
        <w:t>Nammo</w:t>
      </w:r>
      <w:proofErr w:type="spellEnd"/>
      <w:r w:rsidR="007A4601">
        <w:t xml:space="preserve">, and </w:t>
      </w:r>
      <w:r w:rsidR="007A4601" w:rsidRPr="007A4601">
        <w:rPr>
          <w:i/>
          <w:iCs/>
        </w:rPr>
        <w:t>Tsige</w:t>
      </w:r>
      <w:r w:rsidR="007A4601">
        <w:t xml:space="preserve"> all </w:t>
      </w:r>
      <w:r w:rsidR="003061DB" w:rsidRPr="003061DB">
        <w:t>award</w:t>
      </w:r>
      <w:r w:rsidR="000F15A8">
        <w:t>ed</w:t>
      </w:r>
      <w:r w:rsidR="007A4601">
        <w:t xml:space="preserve"> symbolic damages in some form, only </w:t>
      </w:r>
      <w:r w:rsidR="007A4601" w:rsidRPr="007A4601">
        <w:rPr>
          <w:i/>
          <w:iCs/>
        </w:rPr>
        <w:t>Tsige</w:t>
      </w:r>
      <w:r w:rsidR="007A4601">
        <w:t xml:space="preserve"> refers to them as such. </w:t>
      </w:r>
      <w:r w:rsidR="003061DB" w:rsidRPr="003061DB">
        <w:rPr>
          <w:i/>
          <w:iCs/>
        </w:rPr>
        <w:t>Ward</w:t>
      </w:r>
      <w:r w:rsidR="000F15A8">
        <w:t xml:space="preserve">, for example, </w:t>
      </w:r>
      <w:r w:rsidR="007A4601">
        <w:t>references “</w:t>
      </w:r>
      <w:r w:rsidR="003061DB" w:rsidRPr="003061DB">
        <w:rPr>
          <w:i/>
          <w:iCs/>
        </w:rPr>
        <w:t>Charter</w:t>
      </w:r>
      <w:r w:rsidR="007A4601">
        <w:t xml:space="preserve"> damages” instead of “symbolic damages” perhaps given uncertainty as to what the term precisely meant in the case</w:t>
      </w:r>
      <w:r>
        <w:t>-</w:t>
      </w:r>
      <w:r w:rsidR="007A4601">
        <w:t>law</w:t>
      </w:r>
      <w:r w:rsidR="007A4601">
        <w:rPr>
          <w:rStyle w:val="FootnoteReference"/>
        </w:rPr>
        <w:footnoteReference w:id="92"/>
      </w:r>
      <w:r w:rsidR="007A4601">
        <w:t xml:space="preserve"> and perhaps because a reference to </w:t>
      </w:r>
      <w:r w:rsidR="003061DB" w:rsidRPr="003061DB">
        <w:rPr>
          <w:i/>
          <w:iCs/>
        </w:rPr>
        <w:t>Charter</w:t>
      </w:r>
      <w:r w:rsidR="007A4601">
        <w:t xml:space="preserve"> damages is inherently more descriptive. Beyond this, and as WH Charles argues, t</w:t>
      </w:r>
      <w:r w:rsidR="007A4601" w:rsidRPr="007A4601">
        <w:t xml:space="preserve">he </w:t>
      </w:r>
      <w:r w:rsidR="007A4601">
        <w:t>“</w:t>
      </w:r>
      <w:r w:rsidR="007A4601" w:rsidRPr="007A4601">
        <w:t xml:space="preserve">issue of language and in particular the meaning of specific terms like </w:t>
      </w:r>
      <w:r w:rsidR="00212808">
        <w:t>‘</w:t>
      </w:r>
      <w:r w:rsidR="007A4601" w:rsidRPr="007A4601">
        <w:t>symbolic</w:t>
      </w:r>
      <w:r w:rsidR="00212808">
        <w:t>’</w:t>
      </w:r>
      <w:r w:rsidR="007A4601" w:rsidRPr="007A4601">
        <w:t xml:space="preserve"> or </w:t>
      </w:r>
      <w:r w:rsidR="00212808">
        <w:t>‘</w:t>
      </w:r>
      <w:r w:rsidR="007A4601" w:rsidRPr="007A4601">
        <w:t>moral damages</w:t>
      </w:r>
      <w:r w:rsidR="00212808">
        <w:t>’</w:t>
      </w:r>
      <w:r w:rsidR="007A4601" w:rsidRPr="007A4601">
        <w:t xml:space="preserve"> was not directly addressed in the </w:t>
      </w:r>
      <w:r w:rsidR="003061DB" w:rsidRPr="003061DB">
        <w:rPr>
          <w:i/>
          <w:iCs/>
        </w:rPr>
        <w:t>Ward</w:t>
      </w:r>
      <w:r w:rsidR="007A4601" w:rsidRPr="007A4601">
        <w:t xml:space="preserve"> decision because it was subsumed in the new discussion of the functions or purposes of </w:t>
      </w:r>
      <w:r w:rsidR="003061DB" w:rsidRPr="003061DB">
        <w:rPr>
          <w:i/>
          <w:iCs/>
        </w:rPr>
        <w:t>Charter</w:t>
      </w:r>
      <w:r w:rsidR="007A4601" w:rsidRPr="007A4601">
        <w:t xml:space="preserve"> damages, particularly the purpose of vindication.</w:t>
      </w:r>
      <w:r w:rsidR="007A4601">
        <w:t>”</w:t>
      </w:r>
      <w:r w:rsidR="007A4601">
        <w:rPr>
          <w:rStyle w:val="FootnoteReference"/>
        </w:rPr>
        <w:footnoteReference w:id="93"/>
      </w:r>
      <w:r w:rsidR="007A4601" w:rsidRPr="007A4601">
        <w:t xml:space="preserve"> </w:t>
      </w:r>
      <w:r w:rsidR="000A4BAD">
        <w:t xml:space="preserve">Most importantly, the implicit wisdom of the Supreme Court of Canada in abandoning </w:t>
      </w:r>
      <w:r w:rsidR="003B6F56">
        <w:t xml:space="preserve">the </w:t>
      </w:r>
      <w:r w:rsidR="000A4BAD">
        <w:t xml:space="preserve">use of the word ‘symbolic’ shines through.  ‘Symbolic’ is not the ideal moniker </w:t>
      </w:r>
      <w:r w:rsidR="007D1765">
        <w:t>not just because it is a possibly unclear term. The adjective may also</w:t>
      </w:r>
      <w:r w:rsidR="000A4BAD">
        <w:t xml:space="preserve"> suggest t</w:t>
      </w:r>
      <w:r w:rsidR="003B6F56">
        <w:t>hat the damages suffered are of</w:t>
      </w:r>
      <w:r w:rsidR="000A4BAD">
        <w:t xml:space="preserve"> </w:t>
      </w:r>
      <w:r w:rsidR="00E13098">
        <w:t>in</w:t>
      </w:r>
      <w:r w:rsidR="00B02945">
        <w:t xml:space="preserve">sufficient </w:t>
      </w:r>
      <w:r w:rsidR="000A4BAD">
        <w:t>substance or are implicitly somehow “damages-lite”. Reference to “</w:t>
      </w:r>
      <w:r w:rsidR="003061DB" w:rsidRPr="003061DB">
        <w:rPr>
          <w:i/>
          <w:iCs/>
        </w:rPr>
        <w:t>Charter</w:t>
      </w:r>
      <w:r w:rsidR="000A4BAD">
        <w:t xml:space="preserve"> damages” (under </w:t>
      </w:r>
      <w:r w:rsidR="003061DB" w:rsidRPr="003061DB">
        <w:rPr>
          <w:i/>
          <w:iCs/>
        </w:rPr>
        <w:t>Ward</w:t>
      </w:r>
      <w:r w:rsidR="000A4BAD">
        <w:t xml:space="preserve">) and </w:t>
      </w:r>
      <w:r w:rsidR="003061DB" w:rsidRPr="003061DB">
        <w:rPr>
          <w:i/>
          <w:iCs/>
        </w:rPr>
        <w:t>PIPEDA</w:t>
      </w:r>
      <w:r w:rsidR="000A4BAD">
        <w:t xml:space="preserve"> damages (under </w:t>
      </w:r>
      <w:proofErr w:type="spellStart"/>
      <w:r w:rsidR="000A4BAD" w:rsidRPr="00E13098">
        <w:rPr>
          <w:i/>
          <w:iCs/>
        </w:rPr>
        <w:t>Nammo</w:t>
      </w:r>
      <w:proofErr w:type="spellEnd"/>
      <w:r w:rsidR="000A4BAD">
        <w:t xml:space="preserve">) is more robust and less </w:t>
      </w:r>
      <w:r w:rsidR="00B02945">
        <w:t xml:space="preserve">possibly </w:t>
      </w:r>
      <w:r w:rsidR="000A4BAD">
        <w:t xml:space="preserve">diminishing. </w:t>
      </w:r>
      <w:r w:rsidR="00B97629">
        <w:t xml:space="preserve">It is hoped that courts </w:t>
      </w:r>
      <w:r w:rsidR="003B6F56">
        <w:t xml:space="preserve">in the future </w:t>
      </w:r>
      <w:r w:rsidR="00B97629">
        <w:t xml:space="preserve">will follow </w:t>
      </w:r>
      <w:r w:rsidR="00B97629" w:rsidRPr="003B6F56">
        <w:rPr>
          <w:i/>
          <w:iCs/>
        </w:rPr>
        <w:t>Ward</w:t>
      </w:r>
      <w:r w:rsidR="00B97629">
        <w:t xml:space="preserve"> and </w:t>
      </w:r>
      <w:proofErr w:type="spellStart"/>
      <w:r w:rsidR="00B97629" w:rsidRPr="003B6F56">
        <w:rPr>
          <w:i/>
          <w:iCs/>
        </w:rPr>
        <w:t>Nammo</w:t>
      </w:r>
      <w:r w:rsidR="00D91331">
        <w:t>’s</w:t>
      </w:r>
      <w:proofErr w:type="spellEnd"/>
      <w:r w:rsidR="00D91331">
        <w:t xml:space="preserve"> lead by </w:t>
      </w:r>
      <w:r w:rsidR="00E13098">
        <w:t xml:space="preserve">also </w:t>
      </w:r>
      <w:r w:rsidR="00B97629">
        <w:t>dropping reference to “symbolic” damages.</w:t>
      </w:r>
    </w:p>
    <w:p w14:paraId="61F44BE5" w14:textId="4EC6889D" w:rsidR="00C25E62" w:rsidRDefault="00C25E62" w:rsidP="00224DA6">
      <w:pPr>
        <w:spacing w:before="100" w:beforeAutospacing="1" w:after="100" w:afterAutospacing="1"/>
        <w:ind w:firstLine="360"/>
        <w:contextualSpacing/>
      </w:pPr>
      <w:bookmarkStart w:id="20" w:name="_Hlk80860987"/>
      <w:r>
        <w:rPr>
          <w:lang w:val="en-US" w:bidi="he-IL"/>
        </w:rPr>
        <w:t xml:space="preserve">While breach of privacy will often bring to the fore </w:t>
      </w:r>
      <w:r w:rsidR="00225025">
        <w:rPr>
          <w:lang w:val="en-US" w:bidi="he-IL"/>
        </w:rPr>
        <w:t xml:space="preserve">compensatory, </w:t>
      </w:r>
      <w:r>
        <w:rPr>
          <w:lang w:val="en-US" w:bidi="he-IL"/>
        </w:rPr>
        <w:t>non-pecuniary damages such as distress or humiliation, symbolic damages cover different terrain. They serve public policy goals including recognizing the value of dignity. These damages</w:t>
      </w:r>
      <w:r w:rsidR="00225025">
        <w:rPr>
          <w:lang w:val="en-US" w:bidi="he-IL"/>
        </w:rPr>
        <w:t xml:space="preserve"> – which are awarded under </w:t>
      </w:r>
      <w:r w:rsidR="00225025" w:rsidRPr="008A30A9">
        <w:rPr>
          <w:i/>
          <w:iCs/>
          <w:lang w:val="en-US" w:bidi="he-IL"/>
        </w:rPr>
        <w:t>Ward</w:t>
      </w:r>
      <w:r w:rsidR="00225025">
        <w:rPr>
          <w:lang w:val="en-US" w:bidi="he-IL"/>
        </w:rPr>
        <w:t xml:space="preserve"> and </w:t>
      </w:r>
      <w:proofErr w:type="spellStart"/>
      <w:r w:rsidR="00225025" w:rsidRPr="008A30A9">
        <w:rPr>
          <w:i/>
          <w:iCs/>
          <w:lang w:val="en-US" w:bidi="he-IL"/>
        </w:rPr>
        <w:t>Nammo</w:t>
      </w:r>
      <w:r w:rsidR="00225025">
        <w:rPr>
          <w:lang w:val="en-US" w:bidi="he-IL"/>
        </w:rPr>
        <w:t>’s</w:t>
      </w:r>
      <w:proofErr w:type="spellEnd"/>
      <w:r w:rsidR="00225025">
        <w:rPr>
          <w:lang w:val="en-US" w:bidi="he-IL"/>
        </w:rPr>
        <w:t xml:space="preserve"> vindicatory function –   </w:t>
      </w:r>
      <w:r>
        <w:rPr>
          <w:lang w:val="en-US" w:bidi="he-IL"/>
        </w:rPr>
        <w:t xml:space="preserve"> should not necessarily be modest</w:t>
      </w:r>
      <w:r w:rsidR="00225025">
        <w:rPr>
          <w:lang w:val="en-US" w:bidi="he-IL"/>
        </w:rPr>
        <w:t xml:space="preserve"> when the </w:t>
      </w:r>
      <w:r>
        <w:rPr>
          <w:lang w:val="en-US" w:bidi="he-IL"/>
        </w:rPr>
        <w:t>functional approach to quantification</w:t>
      </w:r>
      <w:r w:rsidR="00225025">
        <w:rPr>
          <w:lang w:val="en-US" w:bidi="he-IL"/>
        </w:rPr>
        <w:t xml:space="preserve"> requires to the contrary. </w:t>
      </w:r>
    </w:p>
    <w:bookmarkEnd w:id="20"/>
    <w:p w14:paraId="6B944488" w14:textId="1B9DC1A7" w:rsidR="00522526" w:rsidRPr="00522526" w:rsidRDefault="00522526" w:rsidP="00D36D81">
      <w:pPr>
        <w:pStyle w:val="ListParagraph"/>
        <w:numPr>
          <w:ilvl w:val="0"/>
          <w:numId w:val="19"/>
        </w:numPr>
        <w:spacing w:before="100" w:beforeAutospacing="1" w:after="100" w:afterAutospacing="1"/>
        <w:rPr>
          <w:b/>
          <w:bCs/>
        </w:rPr>
      </w:pPr>
      <w:r w:rsidRPr="00522526">
        <w:rPr>
          <w:b/>
          <w:bCs/>
        </w:rPr>
        <w:lastRenderedPageBreak/>
        <w:t xml:space="preserve">Critique of </w:t>
      </w:r>
      <w:proofErr w:type="spellStart"/>
      <w:r w:rsidRPr="00992DB2">
        <w:rPr>
          <w:b/>
          <w:bCs/>
          <w:i/>
          <w:iCs/>
        </w:rPr>
        <w:t>Nammo</w:t>
      </w:r>
      <w:proofErr w:type="spellEnd"/>
      <w:r w:rsidRPr="00992DB2">
        <w:rPr>
          <w:b/>
          <w:bCs/>
          <w:i/>
          <w:iCs/>
        </w:rPr>
        <w:t xml:space="preserve"> v TransUnion of Canada Inc</w:t>
      </w:r>
      <w:r w:rsidRPr="00522526">
        <w:rPr>
          <w:b/>
          <w:bCs/>
        </w:rPr>
        <w:t>, 2010 FC 1284</w:t>
      </w:r>
    </w:p>
    <w:p w14:paraId="4A8A8E72" w14:textId="3AD76300" w:rsidR="007D692E" w:rsidRDefault="003C3BF5" w:rsidP="0033698A">
      <w:pPr>
        <w:spacing w:before="100" w:beforeAutospacing="1" w:after="100" w:afterAutospacing="1"/>
        <w:ind w:firstLine="720"/>
        <w:contextualSpacing/>
      </w:pPr>
      <w:r>
        <w:t xml:space="preserve">While </w:t>
      </w:r>
      <w:proofErr w:type="spellStart"/>
      <w:r w:rsidRPr="002C44FA">
        <w:rPr>
          <w:i/>
          <w:iCs/>
        </w:rPr>
        <w:t>Nammo</w:t>
      </w:r>
      <w:proofErr w:type="spellEnd"/>
      <w:r>
        <w:t xml:space="preserve"> </w:t>
      </w:r>
      <w:r w:rsidR="00FD1E7B">
        <w:t xml:space="preserve">is </w:t>
      </w:r>
      <w:r>
        <w:t xml:space="preserve">a compelling application of </w:t>
      </w:r>
      <w:r w:rsidR="003061DB" w:rsidRPr="003061DB">
        <w:rPr>
          <w:i/>
          <w:iCs/>
        </w:rPr>
        <w:t>Ward</w:t>
      </w:r>
      <w:r w:rsidRPr="00FD1E7B">
        <w:rPr>
          <w:i/>
          <w:iCs/>
        </w:rPr>
        <w:t xml:space="preserve"> </w:t>
      </w:r>
      <w:r>
        <w:t>to private sector disputes</w:t>
      </w:r>
      <w:r w:rsidR="00FD1E7B">
        <w:t xml:space="preserve"> and </w:t>
      </w:r>
      <w:r w:rsidR="000D208A">
        <w:t xml:space="preserve">an enormous contribution </w:t>
      </w:r>
      <w:r w:rsidR="00FD1E7B">
        <w:t>to Canadian privacy law,</w:t>
      </w:r>
      <w:r>
        <w:t xml:space="preserve"> it does have a notable deficiency, namely its </w:t>
      </w:r>
      <w:r w:rsidR="00FD1E7B">
        <w:t xml:space="preserve">low, </w:t>
      </w:r>
      <w:r>
        <w:t xml:space="preserve">$5,000 quantum. This is particularly so </w:t>
      </w:r>
      <w:r w:rsidR="002B79DC">
        <w:t>considering the court’s finding that</w:t>
      </w:r>
      <w:r w:rsidR="007D692E">
        <w:t xml:space="preserve"> the circumstances of </w:t>
      </w:r>
      <w:r w:rsidR="00E974C8">
        <w:t>Mr.</w:t>
      </w:r>
      <w:r w:rsidR="00524063">
        <w:t xml:space="preserve"> </w:t>
      </w:r>
      <w:proofErr w:type="spellStart"/>
      <w:r w:rsidR="00291290" w:rsidRPr="00524063">
        <w:t>Nammo</w:t>
      </w:r>
      <w:r w:rsidR="007D692E" w:rsidRPr="00524063">
        <w:t>’</w:t>
      </w:r>
      <w:r w:rsidR="007D692E">
        <w:t>s</w:t>
      </w:r>
      <w:proofErr w:type="spellEnd"/>
      <w:r w:rsidR="007D692E">
        <w:t xml:space="preserve"> humiliation </w:t>
      </w:r>
      <w:r w:rsidR="00B02945">
        <w:t xml:space="preserve">(in face of a false and negative credit report) </w:t>
      </w:r>
      <w:r w:rsidR="007D692E">
        <w:t>were pronounced</w:t>
      </w:r>
      <w:r w:rsidR="00E566E8">
        <w:t xml:space="preserve"> and given the court’s finding that </w:t>
      </w:r>
      <w:r w:rsidR="00E566E8">
        <w:rPr>
          <w:lang w:bidi="he-IL"/>
        </w:rPr>
        <w:t xml:space="preserve">TransUnion had committed a serious breach of </w:t>
      </w:r>
      <w:r w:rsidR="003061DB" w:rsidRPr="003061DB">
        <w:rPr>
          <w:i/>
          <w:iCs/>
          <w:lang w:bidi="he-IL"/>
        </w:rPr>
        <w:t>PIPEDA</w:t>
      </w:r>
      <w:r w:rsidR="00E566E8">
        <w:rPr>
          <w:lang w:bidi="he-IL"/>
        </w:rPr>
        <w:t xml:space="preserve"> “involving financial information of high personal and professional importance.”</w:t>
      </w:r>
      <w:r w:rsidR="00E566E8">
        <w:rPr>
          <w:rStyle w:val="FootnoteReference"/>
          <w:lang w:bidi="he-IL"/>
        </w:rPr>
        <w:footnoteReference w:id="94"/>
      </w:r>
      <w:r w:rsidR="00E566E8">
        <w:rPr>
          <w:lang w:bidi="he-IL"/>
        </w:rPr>
        <w:t xml:space="preserve"> </w:t>
      </w:r>
      <w:r w:rsidR="002B79DC">
        <w:t xml:space="preserve">As observed by the court, </w:t>
      </w:r>
      <w:proofErr w:type="spellStart"/>
      <w:r w:rsidR="00291290" w:rsidRPr="00E566E8">
        <w:t>Nammo</w:t>
      </w:r>
      <w:proofErr w:type="spellEnd"/>
      <w:r w:rsidR="002B79DC" w:rsidRPr="00E566E8">
        <w:t xml:space="preserve"> </w:t>
      </w:r>
    </w:p>
    <w:p w14:paraId="73FDD1BC" w14:textId="77777777" w:rsidR="0033698A" w:rsidRDefault="0033698A" w:rsidP="0033698A">
      <w:pPr>
        <w:spacing w:before="100" w:beforeAutospacing="1" w:after="100" w:afterAutospacing="1"/>
        <w:ind w:firstLine="720"/>
        <w:contextualSpacing/>
      </w:pPr>
    </w:p>
    <w:p w14:paraId="7E0E6079" w14:textId="0C8E6496" w:rsidR="004E4A00" w:rsidRDefault="002B79DC" w:rsidP="00CA3404">
      <w:pPr>
        <w:spacing w:before="100" w:beforeAutospacing="1" w:after="100" w:afterAutospacing="1"/>
        <w:ind w:left="720"/>
        <w:contextualSpacing/>
      </w:pPr>
      <w:r>
        <w:t xml:space="preserve">had partnered with a friend to undertake a business; his role was to secure financing because he was creditworthy while his friend was not, and the loan was approved subject to the credit check, which came back indicating that Mr. </w:t>
      </w:r>
      <w:proofErr w:type="spellStart"/>
      <w:r w:rsidR="00291290" w:rsidRPr="00524063">
        <w:t>Nammo</w:t>
      </w:r>
      <w:proofErr w:type="spellEnd"/>
      <w:r w:rsidRPr="00524063">
        <w:t xml:space="preserve"> </w:t>
      </w:r>
      <w:r>
        <w:t>had poor credit.</w:t>
      </w:r>
      <w:r w:rsidR="00367704">
        <w:t xml:space="preserve"> </w:t>
      </w:r>
      <w:r>
        <w:t xml:space="preserve">Mr. </w:t>
      </w:r>
      <w:proofErr w:type="spellStart"/>
      <w:r w:rsidR="00291290" w:rsidRPr="00524063">
        <w:t>Nammo</w:t>
      </w:r>
      <w:proofErr w:type="spellEnd"/>
      <w:r>
        <w:t xml:space="preserve"> then had to inform his partner of this result. Although he said to his partner that the information was wrong, the credit reporting service said that it would take up to 30 days to investigate, during which time the opportunity and partnership were lost. In addition, RBC officials were provided with information that led them to conclude that the applicant was not a good credit risk. The reasonable person, knowing that the assessment made of his creditworthiness must be incorrect, would be humiliated at having to face and to protest to both his prospective partner and to bank officials. The reasonable person would suffer additional humiliation when the error was not clearly corrected by informing RBC and the credit applicant that an error was made, that there was no debt owed by the applicant, and that the error had been corrected.</w:t>
      </w:r>
      <w:r w:rsidR="00DD1912">
        <w:rPr>
          <w:rStyle w:val="FootnoteReference"/>
        </w:rPr>
        <w:footnoteReference w:id="95"/>
      </w:r>
    </w:p>
    <w:p w14:paraId="5782306D" w14:textId="77777777" w:rsidR="0033698A" w:rsidRDefault="0033698A" w:rsidP="0033698A">
      <w:pPr>
        <w:spacing w:before="100" w:beforeAutospacing="1" w:after="100" w:afterAutospacing="1"/>
        <w:contextualSpacing/>
      </w:pPr>
    </w:p>
    <w:p w14:paraId="74A00C58" w14:textId="62D8BECD" w:rsidR="00B02945" w:rsidRDefault="00E00A8D" w:rsidP="003830BA">
      <w:pPr>
        <w:spacing w:before="100" w:beforeAutospacing="1" w:after="100" w:afterAutospacing="1"/>
        <w:contextualSpacing/>
      </w:pPr>
      <w:r>
        <w:t xml:space="preserve">What also makes the compensation in </w:t>
      </w:r>
      <w:proofErr w:type="spellStart"/>
      <w:r>
        <w:rPr>
          <w:i/>
          <w:iCs/>
        </w:rPr>
        <w:t>Nammo</w:t>
      </w:r>
      <w:proofErr w:type="spellEnd"/>
      <w:r>
        <w:rPr>
          <w:i/>
          <w:iCs/>
        </w:rPr>
        <w:t xml:space="preserve"> </w:t>
      </w:r>
      <w:r>
        <w:t>too low is</w:t>
      </w:r>
      <w:r w:rsidR="008532ED">
        <w:t xml:space="preserve"> this: the respondent’s misconduct </w:t>
      </w:r>
      <w:r w:rsidR="000D208A">
        <w:t>amount</w:t>
      </w:r>
      <w:r w:rsidR="00450A19">
        <w:t>ed</w:t>
      </w:r>
      <w:r w:rsidR="000D208A">
        <w:t xml:space="preserve"> to both</w:t>
      </w:r>
      <w:r w:rsidR="008532ED">
        <w:t xml:space="preserve"> </w:t>
      </w:r>
      <w:r w:rsidR="00FD1E7B">
        <w:t>a breach</w:t>
      </w:r>
      <w:r w:rsidR="008532ED">
        <w:t xml:space="preserve"> of </w:t>
      </w:r>
      <w:r w:rsidR="003061DB" w:rsidRPr="003061DB">
        <w:rPr>
          <w:i/>
          <w:iCs/>
        </w:rPr>
        <w:t>PIPEDA</w:t>
      </w:r>
      <w:r w:rsidR="00FD1E7B">
        <w:t xml:space="preserve"> and </w:t>
      </w:r>
      <w:r w:rsidR="000D208A">
        <w:t>the tort of</w:t>
      </w:r>
      <w:r w:rsidR="008532ED">
        <w:t xml:space="preserve"> defamation </w:t>
      </w:r>
      <w:r>
        <w:t>though that</w:t>
      </w:r>
      <w:r w:rsidR="000D208A">
        <w:t xml:space="preserve"> latter</w:t>
      </w:r>
      <w:r>
        <w:t xml:space="preserve"> action was </w:t>
      </w:r>
      <w:r w:rsidR="00524063">
        <w:t>never</w:t>
      </w:r>
      <w:r>
        <w:t xml:space="preserve"> </w:t>
      </w:r>
      <w:r w:rsidR="008532ED">
        <w:t xml:space="preserve">apparently pursued. </w:t>
      </w:r>
      <w:r>
        <w:t xml:space="preserve">In short, it </w:t>
      </w:r>
      <w:r w:rsidR="00450A19">
        <w:t>was</w:t>
      </w:r>
      <w:r>
        <w:t xml:space="preserve"> not just that </w:t>
      </w:r>
      <w:proofErr w:type="spellStart"/>
      <w:r w:rsidR="008532ED">
        <w:t>Nammo’s</w:t>
      </w:r>
      <w:proofErr w:type="spellEnd"/>
      <w:r w:rsidR="008532ED">
        <w:t xml:space="preserve"> </w:t>
      </w:r>
      <w:r>
        <w:t>personal information was wrongfully shared</w:t>
      </w:r>
      <w:r w:rsidR="008532ED">
        <w:t xml:space="preserve">; </w:t>
      </w:r>
      <w:r w:rsidRPr="00987FB9">
        <w:rPr>
          <w:i/>
          <w:iCs/>
        </w:rPr>
        <w:t>erroneous</w:t>
      </w:r>
      <w:r>
        <w:t xml:space="preserve"> personal information that put </w:t>
      </w:r>
      <w:r w:rsidR="008532ED">
        <w:t xml:space="preserve">him </w:t>
      </w:r>
      <w:r>
        <w:t xml:space="preserve">in a bad light that was </w:t>
      </w:r>
      <w:r w:rsidR="008532ED">
        <w:t xml:space="preserve">wrongfully </w:t>
      </w:r>
      <w:r>
        <w:t>shared</w:t>
      </w:r>
      <w:r w:rsidR="004E13BC">
        <w:t xml:space="preserve">, with </w:t>
      </w:r>
      <w:r w:rsidR="003C3BF5">
        <w:t xml:space="preserve">considerable non-pecuniary loss </w:t>
      </w:r>
      <w:r w:rsidR="004E13BC">
        <w:t xml:space="preserve">as a result. </w:t>
      </w:r>
      <w:r>
        <w:t xml:space="preserve">   </w:t>
      </w:r>
    </w:p>
    <w:p w14:paraId="0D428359" w14:textId="77777777" w:rsidR="00DA17D3" w:rsidRDefault="00DA17D3" w:rsidP="00224DA6">
      <w:pPr>
        <w:spacing w:before="100" w:beforeAutospacing="1" w:after="100" w:afterAutospacing="1"/>
        <w:contextualSpacing/>
      </w:pPr>
    </w:p>
    <w:p w14:paraId="31F8E728" w14:textId="1702702C" w:rsidR="0033698A" w:rsidRDefault="003C3BF5" w:rsidP="0033698A">
      <w:pPr>
        <w:spacing w:before="100" w:beforeAutospacing="1" w:after="100" w:afterAutospacing="1"/>
        <w:ind w:firstLine="360"/>
        <w:contextualSpacing/>
      </w:pPr>
      <w:r>
        <w:t xml:space="preserve">On a related front, </w:t>
      </w:r>
      <w:r w:rsidR="00364891">
        <w:t xml:space="preserve">one could easily </w:t>
      </w:r>
      <w:r>
        <w:t xml:space="preserve">conclude that </w:t>
      </w:r>
      <w:r w:rsidR="00364891">
        <w:t xml:space="preserve">the circumstances in </w:t>
      </w:r>
      <w:proofErr w:type="spellStart"/>
      <w:r w:rsidR="00364891" w:rsidRPr="00A76299">
        <w:rPr>
          <w:i/>
          <w:iCs/>
        </w:rPr>
        <w:t>Nammo</w:t>
      </w:r>
      <w:proofErr w:type="spellEnd"/>
      <w:r w:rsidR="00364891">
        <w:t xml:space="preserve"> </w:t>
      </w:r>
      <w:r w:rsidR="00450A19">
        <w:t>wer</w:t>
      </w:r>
      <w:r w:rsidR="00E13098">
        <w:t>e</w:t>
      </w:r>
      <w:r>
        <w:t>,</w:t>
      </w:r>
      <w:r w:rsidR="00364891">
        <w:t xml:space="preserve"> in fact</w:t>
      </w:r>
      <w:r>
        <w:t>,</w:t>
      </w:r>
      <w:r w:rsidR="00364891">
        <w:t xml:space="preserve"> worse than what transpired in </w:t>
      </w:r>
      <w:r w:rsidR="00364891">
        <w:rPr>
          <w:i/>
          <w:iCs/>
        </w:rPr>
        <w:t>Tsige</w:t>
      </w:r>
      <w:r w:rsidR="004E13BC">
        <w:t xml:space="preserve">, a case we have already critiqued </w:t>
      </w:r>
      <w:r w:rsidR="00B41A3B">
        <w:t xml:space="preserve">above </w:t>
      </w:r>
      <w:r w:rsidR="004E13BC">
        <w:t xml:space="preserve">as itself </w:t>
      </w:r>
      <w:r w:rsidR="003061DB" w:rsidRPr="003061DB">
        <w:t>awarding</w:t>
      </w:r>
      <w:r w:rsidR="004E13BC">
        <w:t xml:space="preserve"> too low a quantum. As discussed in </w:t>
      </w:r>
      <w:r w:rsidR="00EE3CF7">
        <w:t>Part</w:t>
      </w:r>
      <w:r w:rsidR="005D2995">
        <w:t xml:space="preserve"> One</w:t>
      </w:r>
      <w:r w:rsidR="004E13BC">
        <w:t xml:space="preserve">, the plaintiff in </w:t>
      </w:r>
      <w:r w:rsidR="004E13BC" w:rsidRPr="00E13098">
        <w:rPr>
          <w:i/>
          <w:iCs/>
        </w:rPr>
        <w:t>Tsige</w:t>
      </w:r>
      <w:r w:rsidR="004E13BC">
        <w:t xml:space="preserve"> was </w:t>
      </w:r>
      <w:r w:rsidR="003061DB" w:rsidRPr="003061DB">
        <w:t>award</w:t>
      </w:r>
      <w:r w:rsidR="004E13BC">
        <w:t xml:space="preserve">ed </w:t>
      </w:r>
      <w:r w:rsidR="00364891">
        <w:t>$10,000 in damages</w:t>
      </w:r>
      <w:r w:rsidR="004E13BC">
        <w:t xml:space="preserve"> </w:t>
      </w:r>
      <w:r w:rsidR="002C44FA">
        <w:t xml:space="preserve">(double the quantum in </w:t>
      </w:r>
      <w:proofErr w:type="spellStart"/>
      <w:r w:rsidR="002C44FA" w:rsidRPr="00E13098">
        <w:rPr>
          <w:i/>
          <w:iCs/>
        </w:rPr>
        <w:t>Nammo</w:t>
      </w:r>
      <w:proofErr w:type="spellEnd"/>
      <w:r w:rsidR="002C44FA">
        <w:t xml:space="preserve">) </w:t>
      </w:r>
      <w:r w:rsidR="004E13BC">
        <w:t xml:space="preserve">because </w:t>
      </w:r>
      <w:r w:rsidR="00364891">
        <w:t>the</w:t>
      </w:r>
      <w:r w:rsidR="00AF03A9">
        <w:t xml:space="preserve"> defendant wrongfully</w:t>
      </w:r>
      <w:r w:rsidR="00340CED">
        <w:t xml:space="preserve"> and repeatedly </w:t>
      </w:r>
      <w:r w:rsidR="00AF03A9">
        <w:t xml:space="preserve">accessed </w:t>
      </w:r>
      <w:r w:rsidR="003F2C94">
        <w:t>the plaintiff’s</w:t>
      </w:r>
      <w:r w:rsidR="00364891">
        <w:t xml:space="preserve"> private financial information for reasons</w:t>
      </w:r>
      <w:r w:rsidR="00D8683A">
        <w:t xml:space="preserve"> related to the relationship both had with the plaintiff’s ex-husband</w:t>
      </w:r>
      <w:r w:rsidR="00FD1E7B">
        <w:t>. Significantly, however,</w:t>
      </w:r>
      <w:r w:rsidR="00364891">
        <w:t xml:space="preserve"> </w:t>
      </w:r>
      <w:r w:rsidR="00AF03A9">
        <w:t xml:space="preserve">there was no finding that </w:t>
      </w:r>
      <w:r w:rsidR="00FD1E7B">
        <w:t>the defendant</w:t>
      </w:r>
      <w:r w:rsidR="00AF03A9">
        <w:t xml:space="preserve"> republished</w:t>
      </w:r>
      <w:r w:rsidR="00AA369A">
        <w:t xml:space="preserve"> or otherwise distributed</w:t>
      </w:r>
      <w:r w:rsidR="00AF03A9">
        <w:t xml:space="preserve"> that information</w:t>
      </w:r>
      <w:r w:rsidR="00AA369A">
        <w:t xml:space="preserve"> in any way.</w:t>
      </w:r>
      <w:r w:rsidR="007B7BF7">
        <w:rPr>
          <w:rStyle w:val="FootnoteReference"/>
        </w:rPr>
        <w:footnoteReference w:id="96"/>
      </w:r>
      <w:r w:rsidR="00AF03A9">
        <w:t xml:space="preserve"> </w:t>
      </w:r>
      <w:r w:rsidR="00364891">
        <w:t xml:space="preserve">Conversely, </w:t>
      </w:r>
      <w:r w:rsidR="003F2C94">
        <w:t xml:space="preserve">in </w:t>
      </w:r>
      <w:proofErr w:type="spellStart"/>
      <w:r w:rsidR="003F2C94">
        <w:rPr>
          <w:i/>
          <w:iCs/>
        </w:rPr>
        <w:t>Nammo</w:t>
      </w:r>
      <w:proofErr w:type="spellEnd"/>
      <w:r w:rsidR="003F2C94">
        <w:rPr>
          <w:i/>
          <w:iCs/>
        </w:rPr>
        <w:t xml:space="preserve">, </w:t>
      </w:r>
      <w:r w:rsidR="003F2C94">
        <w:t xml:space="preserve">the credit report </w:t>
      </w:r>
      <w:r w:rsidR="003F2C94">
        <w:lastRenderedPageBreak/>
        <w:t xml:space="preserve">containing inaccurate </w:t>
      </w:r>
      <w:r w:rsidR="00364891">
        <w:t xml:space="preserve">financial information </w:t>
      </w:r>
      <w:r w:rsidR="000C17A3">
        <w:t xml:space="preserve">became known to </w:t>
      </w:r>
      <w:r>
        <w:t xml:space="preserve">two third parties: </w:t>
      </w:r>
      <w:r w:rsidR="00364891">
        <w:t xml:space="preserve">the Bank and </w:t>
      </w:r>
      <w:proofErr w:type="spellStart"/>
      <w:r w:rsidR="00364891">
        <w:t>Nammo’s</w:t>
      </w:r>
      <w:proofErr w:type="spellEnd"/>
      <w:r w:rsidR="00364891">
        <w:t xml:space="preserve"> erstwhile business partner. This republication destroyed </w:t>
      </w:r>
      <w:proofErr w:type="spellStart"/>
      <w:r w:rsidR="00364891">
        <w:t>Nammo’s</w:t>
      </w:r>
      <w:proofErr w:type="spellEnd"/>
      <w:r w:rsidR="00364891">
        <w:t xml:space="preserve"> otherwise promising business relationship, led to a loan denial, and left the applicant feeling disgraced and </w:t>
      </w:r>
      <w:r w:rsidR="00AF03A9">
        <w:t>discredited</w:t>
      </w:r>
      <w:r w:rsidR="00364891">
        <w:t xml:space="preserve">. </w:t>
      </w:r>
    </w:p>
    <w:p w14:paraId="314287F4" w14:textId="77777777" w:rsidR="0033698A" w:rsidRPr="00364891" w:rsidRDefault="0033698A" w:rsidP="008A30A9">
      <w:pPr>
        <w:spacing w:before="100" w:beforeAutospacing="1" w:after="100" w:afterAutospacing="1"/>
        <w:ind w:firstLine="360"/>
        <w:contextualSpacing/>
      </w:pPr>
    </w:p>
    <w:p w14:paraId="3C1879EA" w14:textId="7BEF330A" w:rsidR="0033698A" w:rsidRDefault="00E566E8" w:rsidP="00B41A3B">
      <w:pPr>
        <w:spacing w:before="100" w:beforeAutospacing="1" w:after="100" w:afterAutospacing="1"/>
        <w:ind w:firstLine="360"/>
      </w:pPr>
      <w:r>
        <w:t>One possible</w:t>
      </w:r>
      <w:r w:rsidR="00340CED">
        <w:t xml:space="preserve"> damper on the quantum front </w:t>
      </w:r>
      <w:r w:rsidR="00364891">
        <w:t xml:space="preserve">in </w:t>
      </w:r>
      <w:proofErr w:type="spellStart"/>
      <w:r w:rsidR="00364891" w:rsidRPr="003F2C94">
        <w:rPr>
          <w:i/>
          <w:iCs/>
        </w:rPr>
        <w:t>Nammo</w:t>
      </w:r>
      <w:proofErr w:type="spellEnd"/>
      <w:r w:rsidR="00364891">
        <w:t xml:space="preserve"> </w:t>
      </w:r>
      <w:r w:rsidR="007A4601">
        <w:t>relates to</w:t>
      </w:r>
      <w:r w:rsidR="00364891">
        <w:t xml:space="preserve"> traditional judicial </w:t>
      </w:r>
      <w:r w:rsidR="00FD1E7B">
        <w:t xml:space="preserve">hesitation </w:t>
      </w:r>
      <w:r w:rsidR="00364891">
        <w:t>in face of intangible loss</w:t>
      </w:r>
      <w:r w:rsidR="00FD1E7B">
        <w:t>,</w:t>
      </w:r>
      <w:r w:rsidR="00ED084D">
        <w:rPr>
          <w:rStyle w:val="FootnoteReference"/>
        </w:rPr>
        <w:footnoteReference w:id="97"/>
      </w:r>
      <w:r w:rsidR="00ED084D">
        <w:t xml:space="preserve"> </w:t>
      </w:r>
      <w:r w:rsidR="00FD1E7B">
        <w:t xml:space="preserve">including apprehension about </w:t>
      </w:r>
      <w:r w:rsidR="00ED084D">
        <w:t>“</w:t>
      </w:r>
      <w:r w:rsidR="00ED084D">
        <w:rPr>
          <w:sz w:val="25"/>
          <w:szCs w:val="25"/>
        </w:rPr>
        <w:t>[d]</w:t>
      </w:r>
      <w:proofErr w:type="spellStart"/>
      <w:r w:rsidR="00ED084D">
        <w:rPr>
          <w:sz w:val="25"/>
          <w:szCs w:val="25"/>
        </w:rPr>
        <w:t>ifficulties</w:t>
      </w:r>
      <w:proofErr w:type="spellEnd"/>
      <w:r w:rsidR="00ED084D">
        <w:rPr>
          <w:sz w:val="25"/>
          <w:szCs w:val="25"/>
        </w:rPr>
        <w:t xml:space="preserve"> of proof, the risk of frivolous claims, and floodgate concerns.”</w:t>
      </w:r>
      <w:r w:rsidR="00ED084D">
        <w:rPr>
          <w:rStyle w:val="FootnoteReference"/>
          <w:sz w:val="25"/>
          <w:szCs w:val="25"/>
        </w:rPr>
        <w:footnoteReference w:id="98"/>
      </w:r>
      <w:r w:rsidR="00ED084D">
        <w:rPr>
          <w:sz w:val="25"/>
          <w:szCs w:val="25"/>
        </w:rPr>
        <w:t xml:space="preserve"> </w:t>
      </w:r>
      <w:r w:rsidR="00D535DB">
        <w:rPr>
          <w:sz w:val="25"/>
          <w:szCs w:val="25"/>
        </w:rPr>
        <w:t xml:space="preserve">The Supreme Court of Canada in </w:t>
      </w:r>
      <w:r w:rsidR="003061DB" w:rsidRPr="003061DB">
        <w:rPr>
          <w:i/>
          <w:iCs/>
          <w:sz w:val="25"/>
          <w:szCs w:val="25"/>
        </w:rPr>
        <w:t>Ward</w:t>
      </w:r>
      <w:r w:rsidR="00D535DB">
        <w:rPr>
          <w:sz w:val="25"/>
          <w:szCs w:val="25"/>
        </w:rPr>
        <w:t xml:space="preserve"> seemed attentive to at least some of these </w:t>
      </w:r>
      <w:r w:rsidR="00605CAE">
        <w:rPr>
          <w:sz w:val="25"/>
          <w:szCs w:val="25"/>
        </w:rPr>
        <w:t>matters</w:t>
      </w:r>
      <w:r w:rsidR="00D535DB">
        <w:rPr>
          <w:sz w:val="25"/>
          <w:szCs w:val="25"/>
        </w:rPr>
        <w:t xml:space="preserve"> when </w:t>
      </w:r>
      <w:r w:rsidR="00605CAE">
        <w:rPr>
          <w:sz w:val="25"/>
          <w:szCs w:val="25"/>
        </w:rPr>
        <w:t xml:space="preserve">observing that </w:t>
      </w:r>
      <w:r w:rsidR="00D535DB">
        <w:rPr>
          <w:sz w:val="25"/>
          <w:szCs w:val="25"/>
        </w:rPr>
        <w:t>while non-pecuniary damages are harder to measure, “[y]et they are not by that reason to be rejected.”</w:t>
      </w:r>
      <w:r w:rsidR="003D717D">
        <w:rPr>
          <w:rStyle w:val="FootnoteReference"/>
        </w:rPr>
        <w:footnoteReference w:id="99"/>
      </w:r>
      <w:r w:rsidR="003D717D">
        <w:t xml:space="preserve"> </w:t>
      </w:r>
      <w:r w:rsidR="00FD1E7B">
        <w:t xml:space="preserve"> </w:t>
      </w:r>
    </w:p>
    <w:p w14:paraId="1178E849" w14:textId="70EFD703" w:rsidR="008D156D" w:rsidRDefault="00B41A3B" w:rsidP="00B41A3B">
      <w:pPr>
        <w:spacing w:before="100" w:beforeAutospacing="1" w:after="100" w:afterAutospacing="1"/>
        <w:ind w:firstLine="360"/>
      </w:pPr>
      <w:r>
        <w:t>In addition, it is possible that</w:t>
      </w:r>
      <w:r w:rsidR="00E90E92">
        <w:t xml:space="preserve"> a more significant damper </w:t>
      </w:r>
      <w:r w:rsidR="00605CAE">
        <w:t xml:space="preserve">in </w:t>
      </w:r>
      <w:proofErr w:type="spellStart"/>
      <w:r w:rsidR="00605CAE">
        <w:rPr>
          <w:i/>
          <w:iCs/>
        </w:rPr>
        <w:t>Nammo</w:t>
      </w:r>
      <w:proofErr w:type="spellEnd"/>
      <w:r w:rsidR="00524063">
        <w:t xml:space="preserve"> is</w:t>
      </w:r>
      <w:r w:rsidR="00FD1E7B">
        <w:t xml:space="preserve"> </w:t>
      </w:r>
      <w:r w:rsidR="00E90E92">
        <w:t>the Supreme Court of Canada</w:t>
      </w:r>
      <w:r w:rsidR="00524063">
        <w:t>’s damage assessment</w:t>
      </w:r>
      <w:r w:rsidR="00E90E92">
        <w:t xml:space="preserve"> in </w:t>
      </w:r>
      <w:r w:rsidR="003061DB" w:rsidRPr="003061DB">
        <w:rPr>
          <w:i/>
          <w:iCs/>
        </w:rPr>
        <w:t>Ward</w:t>
      </w:r>
      <w:r w:rsidR="00E90E92">
        <w:t xml:space="preserve">. As already noted, </w:t>
      </w:r>
      <w:r w:rsidR="003061DB" w:rsidRPr="003061DB">
        <w:rPr>
          <w:i/>
          <w:iCs/>
        </w:rPr>
        <w:t>Ward</w:t>
      </w:r>
      <w:r w:rsidR="004E4A00">
        <w:t xml:space="preserve"> involv</w:t>
      </w:r>
      <w:r w:rsidR="00E90E92">
        <w:t xml:space="preserve">ed </w:t>
      </w:r>
      <w:r w:rsidR="004E4A00">
        <w:t xml:space="preserve">a wrongful strip search </w:t>
      </w:r>
      <w:r w:rsidR="00605CAE">
        <w:t xml:space="preserve">though one </w:t>
      </w:r>
      <w:r w:rsidR="004E4A00">
        <w:t xml:space="preserve">which the </w:t>
      </w:r>
      <w:r w:rsidR="00E90E92">
        <w:t xml:space="preserve">court </w:t>
      </w:r>
      <w:r w:rsidR="00D52356">
        <w:t xml:space="preserve"> </w:t>
      </w:r>
      <w:r w:rsidR="004E4A00">
        <w:t>d</w:t>
      </w:r>
      <w:r w:rsidR="00774F87">
        <w:t>e</w:t>
      </w:r>
      <w:r w:rsidR="004E4A00">
        <w:t>scribed as “relatively brief and not extremely disre</w:t>
      </w:r>
      <w:r w:rsidR="00774F87">
        <w:t>spec</w:t>
      </w:r>
      <w:r w:rsidR="004E4A00">
        <w:t>tful, as strip searches go</w:t>
      </w:r>
      <w:r w:rsidR="00D52356">
        <w:t>.</w:t>
      </w:r>
      <w:r w:rsidR="004E4A00">
        <w:t>”</w:t>
      </w:r>
      <w:r w:rsidR="00774F87">
        <w:rPr>
          <w:rStyle w:val="FootnoteReference"/>
        </w:rPr>
        <w:footnoteReference w:id="100"/>
      </w:r>
      <w:r w:rsidR="004E4A00">
        <w:t xml:space="preserve"> </w:t>
      </w:r>
      <w:r w:rsidR="003061DB" w:rsidRPr="003061DB">
        <w:rPr>
          <w:i/>
          <w:iCs/>
        </w:rPr>
        <w:t>Ward</w:t>
      </w:r>
      <w:r w:rsidR="00D52356">
        <w:t xml:space="preserve">’s damages were quantified at </w:t>
      </w:r>
      <w:r w:rsidR="004E4A00">
        <w:t>$5,000</w:t>
      </w:r>
      <w:r w:rsidR="00BB76A8">
        <w:t xml:space="preserve"> taking into account the need to compensate</w:t>
      </w:r>
      <w:r w:rsidR="00605CAE">
        <w:t xml:space="preserve"> </w:t>
      </w:r>
      <w:r>
        <w:t xml:space="preserve">for breach of his </w:t>
      </w:r>
      <w:r w:rsidR="002C23F1">
        <w:t>section</w:t>
      </w:r>
      <w:r w:rsidR="00BB76A8">
        <w:t xml:space="preserve"> 8 rights but also to engage “the objects of vindication of the right and deterrence of future breaches</w:t>
      </w:r>
      <w:r w:rsidR="00456507">
        <w:t>.</w:t>
      </w:r>
      <w:r w:rsidR="00BB76A8">
        <w:t>”</w:t>
      </w:r>
      <w:r w:rsidR="00456507">
        <w:rPr>
          <w:rStyle w:val="FootnoteReference"/>
        </w:rPr>
        <w:footnoteReference w:id="101"/>
      </w:r>
      <w:r w:rsidR="00BB76A8">
        <w:t xml:space="preserve"> </w:t>
      </w:r>
      <w:r w:rsidR="00774F87">
        <w:t xml:space="preserve">In working with the </w:t>
      </w:r>
      <w:r w:rsidR="003061DB" w:rsidRPr="003061DB">
        <w:rPr>
          <w:i/>
          <w:iCs/>
        </w:rPr>
        <w:t>Ward</w:t>
      </w:r>
      <w:r w:rsidR="00774F87">
        <w:t xml:space="preserve"> case, Zinn J </w:t>
      </w:r>
      <w:r w:rsidR="00605CAE">
        <w:t xml:space="preserve">reached for analogies when he </w:t>
      </w:r>
      <w:r w:rsidR="00774F87">
        <w:t>stated</w:t>
      </w:r>
      <w:r w:rsidR="00605CAE">
        <w:t>:</w:t>
      </w:r>
      <w:r w:rsidR="00774F87">
        <w:t xml:space="preserve"> “Although the dissemination of false credit information is not a strip search, it does lay bare to those receiving the information the creditworthiness of the person. In my assessment, it can be as equally intrusive, embarrassing and humiliating as a brief and respectful strip search.”</w:t>
      </w:r>
      <w:r w:rsidR="00774F87">
        <w:rPr>
          <w:rStyle w:val="FootnoteReference"/>
        </w:rPr>
        <w:footnoteReference w:id="102"/>
      </w:r>
      <w:r w:rsidR="00774F87">
        <w:t xml:space="preserve"> </w:t>
      </w:r>
      <w:r w:rsidR="002C44FA">
        <w:t>The</w:t>
      </w:r>
      <w:r w:rsidR="00E13098">
        <w:t>re</w:t>
      </w:r>
      <w:r w:rsidR="002C44FA">
        <w:t xml:space="preserve"> </w:t>
      </w:r>
      <w:r w:rsidR="007D1765">
        <w:t xml:space="preserve">can be little doubt that the </w:t>
      </w:r>
      <w:r w:rsidR="002C44FA">
        <w:t xml:space="preserve">court felt confined to what was ordered in </w:t>
      </w:r>
      <w:r w:rsidR="003061DB" w:rsidRPr="003061DB">
        <w:rPr>
          <w:i/>
          <w:iCs/>
        </w:rPr>
        <w:t>Ward</w:t>
      </w:r>
      <w:r w:rsidR="007D1765">
        <w:t xml:space="preserve"> as a ceiling.</w:t>
      </w:r>
    </w:p>
    <w:p w14:paraId="790913A7" w14:textId="14F543AB" w:rsidR="007554E8" w:rsidRDefault="002C44FA" w:rsidP="00B41A3B">
      <w:pPr>
        <w:spacing w:before="100" w:beforeAutospacing="1" w:after="100" w:afterAutospacing="1"/>
        <w:ind w:firstLine="360"/>
      </w:pPr>
      <w:r>
        <w:t xml:space="preserve">The problem indeed is that </w:t>
      </w:r>
      <w:r w:rsidR="00774F87">
        <w:t>the quant</w:t>
      </w:r>
      <w:r w:rsidR="00060A48">
        <w:t>um</w:t>
      </w:r>
      <w:r w:rsidR="00774F87">
        <w:t xml:space="preserve"> in </w:t>
      </w:r>
      <w:r w:rsidR="003061DB" w:rsidRPr="003061DB">
        <w:rPr>
          <w:i/>
          <w:iCs/>
        </w:rPr>
        <w:t>Ward</w:t>
      </w:r>
      <w:r w:rsidR="00774F87">
        <w:t xml:space="preserve"> was also too low, particularly </w:t>
      </w:r>
      <w:r w:rsidR="00511B4D">
        <w:t xml:space="preserve">given </w:t>
      </w:r>
      <w:r w:rsidR="00774F87">
        <w:t xml:space="preserve">the circumstances of that case. Mr. </w:t>
      </w:r>
      <w:r w:rsidR="003061DB" w:rsidRPr="00B41A3B">
        <w:t>Ward</w:t>
      </w:r>
      <w:r w:rsidR="00774F87">
        <w:t>, an innocent bystander, was wrongly identified as an individual who was going to throw a pie at then Prime Minister</w:t>
      </w:r>
      <w:r w:rsidR="008D156D">
        <w:t xml:space="preserve"> Jean Chretien.</w:t>
      </w:r>
      <w:r w:rsidR="00A053C3">
        <w:rPr>
          <w:rStyle w:val="FootnoteReference"/>
        </w:rPr>
        <w:footnoteReference w:id="103"/>
      </w:r>
      <w:r w:rsidR="008D156D">
        <w:t xml:space="preserve"> Police chased </w:t>
      </w:r>
      <w:r w:rsidR="003061DB" w:rsidRPr="00B41A3B">
        <w:t>Ward</w:t>
      </w:r>
      <w:r w:rsidR="00BB76A8">
        <w:t xml:space="preserve"> </w:t>
      </w:r>
      <w:r w:rsidR="000B0A60">
        <w:t>down</w:t>
      </w:r>
      <w:r w:rsidR="00BB76A8">
        <w:t>,</w:t>
      </w:r>
      <w:r w:rsidR="000B0A60">
        <w:t xml:space="preserve"> </w:t>
      </w:r>
      <w:r w:rsidR="008D156D">
        <w:t>handcuffed him</w:t>
      </w:r>
      <w:r w:rsidR="00BB76A8">
        <w:t>, then arrested him</w:t>
      </w:r>
      <w:r w:rsidR="00B06DA6">
        <w:t xml:space="preserve"> while Ward protested loudly.</w:t>
      </w:r>
      <w:r w:rsidR="00A053C3">
        <w:rPr>
          <w:rStyle w:val="FootnoteReference"/>
        </w:rPr>
        <w:footnoteReference w:id="104"/>
      </w:r>
      <w:r w:rsidR="008D156D">
        <w:t xml:space="preserve"> Upon arrival at the police lockup he was strip searched and his car impounded. Several hours later, police released him</w:t>
      </w:r>
      <w:r w:rsidR="00D52356">
        <w:t xml:space="preserve"> without charge</w:t>
      </w:r>
      <w:r w:rsidR="008D156D">
        <w:t>.</w:t>
      </w:r>
      <w:r w:rsidR="00A053C3">
        <w:rPr>
          <w:rStyle w:val="FootnoteReference"/>
        </w:rPr>
        <w:footnoteReference w:id="105"/>
      </w:r>
      <w:r w:rsidR="00D52356">
        <w:t xml:space="preserve"> As the Supreme </w:t>
      </w:r>
      <w:r w:rsidR="00D52356">
        <w:lastRenderedPageBreak/>
        <w:t xml:space="preserve">Court of Canada concluded, Mr. </w:t>
      </w:r>
      <w:r w:rsidR="003061DB" w:rsidRPr="00E13098">
        <w:t>Ward</w:t>
      </w:r>
      <w:r w:rsidR="00D52356" w:rsidRPr="00E13098">
        <w:t>’</w:t>
      </w:r>
      <w:r w:rsidR="00D52356">
        <w:t>s treatment in the hands of the police was “without ca</w:t>
      </w:r>
      <w:r w:rsidR="00F24DC3">
        <w:t>u</w:t>
      </w:r>
      <w:r w:rsidR="00D52356">
        <w:t>se</w:t>
      </w:r>
      <w:r w:rsidR="00E566E8">
        <w:t>,</w:t>
      </w:r>
      <w:r w:rsidR="00D52356">
        <w:t>”</w:t>
      </w:r>
      <w:r w:rsidR="00511B4D">
        <w:rPr>
          <w:rStyle w:val="FootnoteReference"/>
        </w:rPr>
        <w:footnoteReference w:id="106"/>
      </w:r>
      <w:r w:rsidR="00D52356">
        <w:t xml:space="preserve"> though not in bad faith</w:t>
      </w:r>
      <w:r w:rsidR="00511B4D">
        <w:t>.</w:t>
      </w:r>
    </w:p>
    <w:p w14:paraId="16C85564" w14:textId="24C06AB6" w:rsidR="00491156" w:rsidRPr="00491156" w:rsidRDefault="002C44FA" w:rsidP="000C51F9">
      <w:pPr>
        <w:spacing w:before="100" w:beforeAutospacing="1" w:after="100" w:afterAutospacing="1"/>
        <w:ind w:firstLine="360"/>
        <w:rPr>
          <w:bCs/>
        </w:rPr>
      </w:pPr>
      <w:r>
        <w:t>But p</w:t>
      </w:r>
      <w:r w:rsidR="000D208A">
        <w:t xml:space="preserve">robably the most </w:t>
      </w:r>
      <w:r w:rsidR="00524063">
        <w:t>significant</w:t>
      </w:r>
      <w:r w:rsidR="000D208A">
        <w:t xml:space="preserve"> </w:t>
      </w:r>
      <w:r w:rsidR="00F24DC3">
        <w:t xml:space="preserve">factor </w:t>
      </w:r>
      <w:r w:rsidR="00342FAA">
        <w:t xml:space="preserve">unduly </w:t>
      </w:r>
      <w:r w:rsidR="00F24DC3">
        <w:t>suppressing quantum i</w:t>
      </w:r>
      <w:r w:rsidR="00E566E8">
        <w:t xml:space="preserve">n </w:t>
      </w:r>
      <w:proofErr w:type="spellStart"/>
      <w:r w:rsidR="00291290" w:rsidRPr="00291290">
        <w:rPr>
          <w:i/>
          <w:iCs/>
        </w:rPr>
        <w:t>Nammo</w:t>
      </w:r>
      <w:proofErr w:type="spellEnd"/>
      <w:r w:rsidR="00F24DC3">
        <w:t xml:space="preserve"> </w:t>
      </w:r>
      <w:r w:rsidR="00605CAE">
        <w:t xml:space="preserve">is </w:t>
      </w:r>
      <w:r w:rsidR="00F24DC3">
        <w:t>i</w:t>
      </w:r>
      <w:r w:rsidR="00605CAE">
        <w:t>t</w:t>
      </w:r>
      <w:r w:rsidR="00F24DC3">
        <w:t xml:space="preserve">s </w:t>
      </w:r>
      <w:r w:rsidR="00605CAE">
        <w:t>status as</w:t>
      </w:r>
      <w:r w:rsidR="00E566E8">
        <w:t xml:space="preserve"> </w:t>
      </w:r>
      <w:r w:rsidR="00F24DC3">
        <w:t xml:space="preserve">the first decision under </w:t>
      </w:r>
      <w:r w:rsidR="003061DB" w:rsidRPr="003061DB">
        <w:rPr>
          <w:i/>
          <w:iCs/>
        </w:rPr>
        <w:t>PIPEDA</w:t>
      </w:r>
      <w:r w:rsidR="00FD1E7B">
        <w:rPr>
          <w:i/>
          <w:iCs/>
        </w:rPr>
        <w:t xml:space="preserve"> </w:t>
      </w:r>
      <w:r w:rsidR="00FD1E7B">
        <w:t xml:space="preserve">to ever </w:t>
      </w:r>
      <w:r w:rsidR="003061DB" w:rsidRPr="003061DB">
        <w:t>award</w:t>
      </w:r>
      <w:r w:rsidR="00FD1E7B">
        <w:t xml:space="preserve"> damages.</w:t>
      </w:r>
      <w:r w:rsidR="00F24DC3">
        <w:rPr>
          <w:rStyle w:val="FootnoteReference"/>
        </w:rPr>
        <w:footnoteReference w:id="107"/>
      </w:r>
      <w:r w:rsidR="00E566E8">
        <w:t xml:space="preserve"> T</w:t>
      </w:r>
      <w:r w:rsidR="00F24DC3">
        <w:t>his</w:t>
      </w:r>
      <w:r w:rsidR="00A053C3">
        <w:t xml:space="preserve"> </w:t>
      </w:r>
      <w:r w:rsidR="00FD1E7B">
        <w:t>prominence</w:t>
      </w:r>
      <w:r w:rsidR="00605CAE">
        <w:t xml:space="preserve"> </w:t>
      </w:r>
      <w:r w:rsidR="00FC313D">
        <w:t xml:space="preserve">may have made </w:t>
      </w:r>
      <w:r w:rsidR="00A053C3">
        <w:t xml:space="preserve">the judge </w:t>
      </w:r>
      <w:r w:rsidR="00CA443D">
        <w:t xml:space="preserve">understandably </w:t>
      </w:r>
      <w:r w:rsidR="00A053C3">
        <w:t>cautious</w:t>
      </w:r>
      <w:r w:rsidR="00A76299">
        <w:t xml:space="preserve"> and, being first out of the gate, also gave the </w:t>
      </w:r>
      <w:r w:rsidR="00EF2B62">
        <w:t>case</w:t>
      </w:r>
      <w:r w:rsidR="00605CAE">
        <w:t xml:space="preserve"> </w:t>
      </w:r>
      <w:r w:rsidR="00F24DC3">
        <w:t>an outsized influence</w:t>
      </w:r>
      <w:r w:rsidR="00E566E8">
        <w:t xml:space="preserve"> </w:t>
      </w:r>
      <w:r w:rsidR="00605CAE">
        <w:t xml:space="preserve">in relation to quantum </w:t>
      </w:r>
      <w:r w:rsidR="00E566E8">
        <w:t xml:space="preserve">going </w:t>
      </w:r>
      <w:r w:rsidR="003061DB" w:rsidRPr="003061DB">
        <w:t>forward</w:t>
      </w:r>
      <w:r w:rsidR="00F24DC3">
        <w:t xml:space="preserve">. </w:t>
      </w:r>
      <w:r>
        <w:t>It is of further note that</w:t>
      </w:r>
      <w:r w:rsidR="00EA7C00">
        <w:t xml:space="preserve"> </w:t>
      </w:r>
      <w:r w:rsidR="00A76299">
        <w:t xml:space="preserve">the court </w:t>
      </w:r>
      <w:r w:rsidR="006803F6">
        <w:t xml:space="preserve">in </w:t>
      </w:r>
      <w:proofErr w:type="spellStart"/>
      <w:r w:rsidR="006803F6" w:rsidRPr="00B41A3B">
        <w:rPr>
          <w:i/>
          <w:iCs/>
        </w:rPr>
        <w:t>Nammo</w:t>
      </w:r>
      <w:proofErr w:type="spellEnd"/>
      <w:r w:rsidR="006803F6">
        <w:t xml:space="preserve"> </w:t>
      </w:r>
      <w:r w:rsidR="00FD1E7B">
        <w:t xml:space="preserve">did not have the benefit </w:t>
      </w:r>
      <w:r w:rsidR="00A76299">
        <w:t>of submissions by a lawyer</w:t>
      </w:r>
      <w:r w:rsidR="00EA7C00">
        <w:t xml:space="preserve"> in setting quantum</w:t>
      </w:r>
      <w:r>
        <w:t xml:space="preserve">; </w:t>
      </w:r>
      <w:r w:rsidR="000D208A">
        <w:t xml:space="preserve">Mr. </w:t>
      </w:r>
      <w:proofErr w:type="spellStart"/>
      <w:r w:rsidR="00FC313D">
        <w:t>Nammo</w:t>
      </w:r>
      <w:proofErr w:type="spellEnd"/>
      <w:r w:rsidR="00A76299">
        <w:t xml:space="preserve"> was self-represented. Though the court compliment</w:t>
      </w:r>
      <w:r w:rsidR="006803F6">
        <w:t>ed</w:t>
      </w:r>
      <w:r w:rsidR="00A76299">
        <w:t xml:space="preserve"> </w:t>
      </w:r>
      <w:proofErr w:type="spellStart"/>
      <w:r w:rsidR="00A76299" w:rsidRPr="00B41A3B">
        <w:t>Nammo</w:t>
      </w:r>
      <w:proofErr w:type="spellEnd"/>
      <w:r w:rsidR="00A76299" w:rsidRPr="00A76299">
        <w:t xml:space="preserve"> </w:t>
      </w:r>
      <w:r w:rsidR="006803F6">
        <w:t>for doing “</w:t>
      </w:r>
      <w:r w:rsidR="00A76299">
        <w:t>an admirable job for one unskilled in the law</w:t>
      </w:r>
      <w:r w:rsidR="006803F6">
        <w:t>,”</w:t>
      </w:r>
      <w:r w:rsidR="006803F6">
        <w:rPr>
          <w:rStyle w:val="FootnoteReference"/>
        </w:rPr>
        <w:footnoteReference w:id="108"/>
      </w:r>
      <w:r w:rsidR="00A76299">
        <w:t xml:space="preserve"> </w:t>
      </w:r>
      <w:r w:rsidR="00AF03A9">
        <w:t xml:space="preserve">a lawyer might </w:t>
      </w:r>
      <w:r w:rsidR="000D208A">
        <w:t xml:space="preserve">well </w:t>
      </w:r>
      <w:r w:rsidR="00F24DC3">
        <w:t xml:space="preserve">have been able to make more of the applicant’s </w:t>
      </w:r>
      <w:r w:rsidR="00342FAA">
        <w:t>humiliation</w:t>
      </w:r>
      <w:r w:rsidR="00AF03A9">
        <w:t>, for example</w:t>
      </w:r>
      <w:r w:rsidR="00E90E92">
        <w:t xml:space="preserve">, and secure a higher damage </w:t>
      </w:r>
      <w:r w:rsidR="003061DB" w:rsidRPr="003061DB">
        <w:t>award</w:t>
      </w:r>
      <w:r w:rsidR="00E90E92">
        <w:t>.</w:t>
      </w:r>
      <w:r w:rsidR="0069091E">
        <w:t xml:space="preserve"> As Jef</w:t>
      </w:r>
      <w:r w:rsidR="0086257D">
        <w:t>frey</w:t>
      </w:r>
      <w:r w:rsidR="0069091E">
        <w:t xml:space="preserve"> Berryman </w:t>
      </w:r>
      <w:r w:rsidR="00E90E92">
        <w:t xml:space="preserve">astutely </w:t>
      </w:r>
      <w:r w:rsidR="0069091E">
        <w:t>observes in a slightly different context</w:t>
      </w:r>
      <w:r w:rsidR="00FC313D">
        <w:t xml:space="preserve"> </w:t>
      </w:r>
      <w:r w:rsidR="00B41A3B">
        <w:t>(</w:t>
      </w:r>
      <w:r w:rsidR="00FC313D">
        <w:t xml:space="preserve">though it applies equally to </w:t>
      </w:r>
      <w:proofErr w:type="spellStart"/>
      <w:r w:rsidR="00FC313D">
        <w:rPr>
          <w:i/>
          <w:iCs/>
        </w:rPr>
        <w:t>Nammo</w:t>
      </w:r>
      <w:proofErr w:type="spellEnd"/>
      <w:r w:rsidR="00B41A3B">
        <w:t>),</w:t>
      </w:r>
      <w:r w:rsidR="0069091E">
        <w:t xml:space="preserve"> th</w:t>
      </w:r>
      <w:r w:rsidR="00E91F7E">
        <w:t>e</w:t>
      </w:r>
      <w:r w:rsidR="0069091E">
        <w:t xml:space="preserve"> “first litigant to court</w:t>
      </w:r>
      <w:r w:rsidR="00E91F7E">
        <w:t>” can have “</w:t>
      </w:r>
      <w:r w:rsidR="0069091E">
        <w:t>an undue impact on setting the range.”</w:t>
      </w:r>
      <w:r w:rsidR="0069091E">
        <w:rPr>
          <w:rStyle w:val="FootnoteReference"/>
        </w:rPr>
        <w:footnoteReference w:id="109"/>
      </w:r>
      <w:r w:rsidR="00F24DC3">
        <w:t xml:space="preserve"> </w:t>
      </w:r>
      <w:r w:rsidR="00100A41">
        <w:t xml:space="preserve">Opportunities to moderate such an impact are further reduced when </w:t>
      </w:r>
      <w:r w:rsidR="00100A41" w:rsidRPr="00100A41">
        <w:rPr>
          <w:b/>
          <w:bCs/>
        </w:rPr>
        <w:t>all</w:t>
      </w:r>
      <w:r w:rsidR="00100A41">
        <w:t xml:space="preserve"> of the successful cases that follow</w:t>
      </w:r>
      <w:r w:rsidR="00340322">
        <w:t xml:space="preserve">ed </w:t>
      </w:r>
      <w:proofErr w:type="spellStart"/>
      <w:r w:rsidR="00340322">
        <w:rPr>
          <w:i/>
          <w:iCs/>
        </w:rPr>
        <w:t>Nammo</w:t>
      </w:r>
      <w:proofErr w:type="spellEnd"/>
      <w:r w:rsidR="00340322">
        <w:t xml:space="preserve"> to</w:t>
      </w:r>
      <w:r w:rsidR="00E55A5C">
        <w:t>-</w:t>
      </w:r>
      <w:r w:rsidR="00340322">
        <w:t>date</w:t>
      </w:r>
      <w:r w:rsidR="00100A41">
        <w:t xml:space="preserve"> involve</w:t>
      </w:r>
      <w:r w:rsidR="00340322">
        <w:t>d</w:t>
      </w:r>
      <w:r w:rsidR="00100A41">
        <w:t xml:space="preserve"> self-represented litigants as well.</w:t>
      </w:r>
      <w:r w:rsidR="00F24DC3">
        <w:t xml:space="preserve"> </w:t>
      </w:r>
      <w:r w:rsidR="00100A41">
        <w:t xml:space="preserve">As the details of these cases </w:t>
      </w:r>
      <w:r w:rsidR="00340322">
        <w:t>(</w:t>
      </w:r>
      <w:r w:rsidR="00100A41">
        <w:t>listed in Appendix A</w:t>
      </w:r>
      <w:r w:rsidR="00340322">
        <w:t>)</w:t>
      </w:r>
      <w:r w:rsidR="00100A41">
        <w:t xml:space="preserve"> demonstrate</w:t>
      </w:r>
      <w:r w:rsidR="00340322">
        <w:t>,</w:t>
      </w:r>
      <w:r w:rsidR="00100A41">
        <w:t xml:space="preserve"> many of the </w:t>
      </w:r>
      <w:r w:rsidR="00340322">
        <w:t>damage claims made by s</w:t>
      </w:r>
      <w:r w:rsidR="00100A41">
        <w:t xml:space="preserve">uch litigants </w:t>
      </w:r>
      <w:r w:rsidR="00340322">
        <w:t>are rejected or reduced because the litigants provided little or no evidence in support. Second, self</w:t>
      </w:r>
      <w:r w:rsidR="000C51F9">
        <w:t>-</w:t>
      </w:r>
      <w:r w:rsidR="00340322">
        <w:t>represented litigants</w:t>
      </w:r>
      <w:r w:rsidR="00B84B87">
        <w:t xml:space="preserve"> do not have the background</w:t>
      </w:r>
      <w:r w:rsidR="00340322">
        <w:t xml:space="preserve"> to produce novel principled arguments in support of their claims. </w:t>
      </w:r>
      <w:r w:rsidR="00B84B87">
        <w:t>In short, c</w:t>
      </w:r>
      <w:r w:rsidR="00340322">
        <w:t xml:space="preserve">ase law that has developed on PIPEDA’s right </w:t>
      </w:r>
      <w:r w:rsidR="00B84B87">
        <w:t>to seek damages</w:t>
      </w:r>
      <w:r w:rsidR="00340322">
        <w:t xml:space="preserve"> has had little to no </w:t>
      </w:r>
      <w:r w:rsidR="00B84B87">
        <w:t>input</w:t>
      </w:r>
      <w:r w:rsidR="00340322">
        <w:t xml:space="preserve"> from </w:t>
      </w:r>
      <w:r w:rsidR="00992DB2">
        <w:t>applicant’s</w:t>
      </w:r>
      <w:r w:rsidR="00340322">
        <w:t xml:space="preserve"> counsel. </w:t>
      </w:r>
    </w:p>
    <w:p w14:paraId="16A13CF8" w14:textId="30391EE7" w:rsidR="00A053C3" w:rsidRPr="00632355" w:rsidRDefault="00EF2B62" w:rsidP="00522526">
      <w:pPr>
        <w:pStyle w:val="ListParagraph"/>
        <w:numPr>
          <w:ilvl w:val="0"/>
          <w:numId w:val="19"/>
        </w:numPr>
        <w:spacing w:before="100" w:beforeAutospacing="1" w:after="100" w:afterAutospacing="1"/>
        <w:rPr>
          <w:b/>
          <w:bCs/>
        </w:rPr>
      </w:pPr>
      <w:r w:rsidRPr="00632355">
        <w:rPr>
          <w:b/>
          <w:bCs/>
        </w:rPr>
        <w:t>Criti</w:t>
      </w:r>
      <w:r w:rsidR="00632355">
        <w:rPr>
          <w:b/>
          <w:bCs/>
        </w:rPr>
        <w:t>que</w:t>
      </w:r>
      <w:r w:rsidRPr="00632355">
        <w:rPr>
          <w:b/>
          <w:bCs/>
        </w:rPr>
        <w:t xml:space="preserve"> of </w:t>
      </w:r>
      <w:r w:rsidR="00632355" w:rsidRPr="00632355">
        <w:rPr>
          <w:b/>
          <w:bCs/>
          <w:i/>
          <w:iCs/>
        </w:rPr>
        <w:t xml:space="preserve">Randall v </w:t>
      </w:r>
      <w:proofErr w:type="spellStart"/>
      <w:r w:rsidR="00632355" w:rsidRPr="00632355">
        <w:rPr>
          <w:b/>
          <w:bCs/>
          <w:i/>
          <w:iCs/>
        </w:rPr>
        <w:t>Nubody</w:t>
      </w:r>
      <w:r w:rsidR="00D9410B">
        <w:rPr>
          <w:b/>
          <w:bCs/>
          <w:i/>
          <w:iCs/>
        </w:rPr>
        <w:t>’</w:t>
      </w:r>
      <w:r w:rsidR="00632355" w:rsidRPr="00632355">
        <w:rPr>
          <w:b/>
          <w:bCs/>
          <w:i/>
          <w:iCs/>
        </w:rPr>
        <w:t>s</w:t>
      </w:r>
      <w:proofErr w:type="spellEnd"/>
      <w:r w:rsidR="00632355" w:rsidRPr="00632355">
        <w:rPr>
          <w:b/>
          <w:bCs/>
          <w:i/>
          <w:iCs/>
        </w:rPr>
        <w:t xml:space="preserve"> Fitness Centres,</w:t>
      </w:r>
      <w:r w:rsidR="00632355" w:rsidRPr="00632355">
        <w:rPr>
          <w:b/>
          <w:bCs/>
        </w:rPr>
        <w:t xml:space="preserve"> 2010 FC 681</w:t>
      </w:r>
    </w:p>
    <w:p w14:paraId="13E9C93D" w14:textId="1585B9B5" w:rsidR="00622DD1" w:rsidRDefault="00622DD1" w:rsidP="00F50364">
      <w:r>
        <w:rPr>
          <w:i/>
          <w:iCs/>
        </w:rPr>
        <w:t xml:space="preserve">Randall </w:t>
      </w:r>
      <w:r w:rsidR="002E5413">
        <w:t xml:space="preserve">is a particularly influential case which has had the unfortunate result of drastically limiting when applicants can recover damages under </w:t>
      </w:r>
      <w:r w:rsidR="003061DB" w:rsidRPr="003061DB">
        <w:rPr>
          <w:i/>
          <w:iCs/>
        </w:rPr>
        <w:t>PIPEDA</w:t>
      </w:r>
      <w:r w:rsidR="002E5413">
        <w:t xml:space="preserve">. </w:t>
      </w:r>
      <w:r w:rsidR="002B0617">
        <w:rPr>
          <w:i/>
          <w:iCs/>
        </w:rPr>
        <w:t>Randall</w:t>
      </w:r>
      <w:r w:rsidR="00184324" w:rsidRPr="00B11899">
        <w:t xml:space="preserve"> </w:t>
      </w:r>
      <w:r w:rsidR="00184324">
        <w:t xml:space="preserve">– </w:t>
      </w:r>
      <w:r>
        <w:t xml:space="preserve">and its successor case, </w:t>
      </w:r>
      <w:proofErr w:type="spellStart"/>
      <w:r w:rsidRPr="00622DD1">
        <w:rPr>
          <w:i/>
          <w:iCs/>
        </w:rPr>
        <w:t>Girao</w:t>
      </w:r>
      <w:proofErr w:type="spellEnd"/>
      <w:r>
        <w:rPr>
          <w:rStyle w:val="FootnoteReference"/>
        </w:rPr>
        <w:footnoteReference w:id="110"/>
      </w:r>
      <w:r w:rsidR="00184324" w:rsidRPr="00B11899">
        <w:t xml:space="preserve"> </w:t>
      </w:r>
      <w:r w:rsidR="00184324">
        <w:t xml:space="preserve">– </w:t>
      </w:r>
      <w:r>
        <w:t xml:space="preserve">have been cited with approval in </w:t>
      </w:r>
      <w:r w:rsidR="00D711EA">
        <w:t>six</w:t>
      </w:r>
      <w:r>
        <w:t xml:space="preserve"> of the 10 cases summarized in Appendix A (concerning successful </w:t>
      </w:r>
      <w:r w:rsidR="003061DB" w:rsidRPr="003061DB">
        <w:rPr>
          <w:i/>
          <w:iCs/>
        </w:rPr>
        <w:t>PIPEDA</w:t>
      </w:r>
      <w:r>
        <w:t xml:space="preserve"> applications)</w:t>
      </w:r>
      <w:r w:rsidR="0013561F">
        <w:t xml:space="preserve"> in the context of requiring egregious circumstances</w:t>
      </w:r>
      <w:r>
        <w:t xml:space="preserve">. </w:t>
      </w:r>
      <w:r w:rsidR="002B0617">
        <w:rPr>
          <w:i/>
          <w:iCs/>
        </w:rPr>
        <w:t>Randall</w:t>
      </w:r>
      <w:r w:rsidRPr="00622DD1">
        <w:rPr>
          <w:i/>
          <w:iCs/>
        </w:rPr>
        <w:t xml:space="preserve"> </w:t>
      </w:r>
      <w:r w:rsidRPr="00E57F4C">
        <w:t>and</w:t>
      </w:r>
      <w:r w:rsidRPr="00622DD1">
        <w:rPr>
          <w:i/>
          <w:iCs/>
        </w:rPr>
        <w:t xml:space="preserve"> </w:t>
      </w:r>
      <w:proofErr w:type="spellStart"/>
      <w:r w:rsidRPr="00622DD1">
        <w:rPr>
          <w:i/>
          <w:iCs/>
        </w:rPr>
        <w:t>Girao</w:t>
      </w:r>
      <w:proofErr w:type="spellEnd"/>
      <w:r>
        <w:t xml:space="preserve"> were cited with approval in </w:t>
      </w:r>
      <w:r w:rsidR="0013561F">
        <w:t>three</w:t>
      </w:r>
      <w:r>
        <w:t xml:space="preserve"> of the 14 cases summarized in Appendix B (concerning unsuccessful </w:t>
      </w:r>
      <w:r w:rsidR="003061DB" w:rsidRPr="003061DB">
        <w:rPr>
          <w:i/>
          <w:iCs/>
        </w:rPr>
        <w:t>PIPEDA</w:t>
      </w:r>
      <w:r>
        <w:t xml:space="preserve"> applications)</w:t>
      </w:r>
      <w:r w:rsidR="0013561F">
        <w:t xml:space="preserve"> on this same front.</w:t>
      </w:r>
      <w:r w:rsidR="00E13098">
        <w:t xml:space="preserve"> As will be discussed below, it would be very much preferable if future</w:t>
      </w:r>
      <w:r w:rsidR="000E7A3F">
        <w:t xml:space="preserve"> </w:t>
      </w:r>
      <w:r w:rsidR="00E13098">
        <w:t xml:space="preserve">courts declined to follow </w:t>
      </w:r>
      <w:r w:rsidR="00F50364">
        <w:t>these two cases</w:t>
      </w:r>
      <w:r w:rsidR="00E13098">
        <w:t>.</w:t>
      </w:r>
    </w:p>
    <w:p w14:paraId="49A7C004" w14:textId="3AA57F13" w:rsidR="00622DD1" w:rsidRDefault="00D54918" w:rsidP="005A6536">
      <w:pPr>
        <w:ind w:firstLine="720"/>
      </w:pPr>
      <w:r>
        <w:t xml:space="preserve">In </w:t>
      </w:r>
      <w:r w:rsidR="00622DD1">
        <w:rPr>
          <w:i/>
          <w:iCs/>
        </w:rPr>
        <w:t>Randall</w:t>
      </w:r>
      <w:r>
        <w:t>, the applicant enrolled at the respondent’s fitness gym</w:t>
      </w:r>
      <w:r w:rsidR="00F504B8">
        <w:t xml:space="preserve"> because</w:t>
      </w:r>
      <w:r>
        <w:t xml:space="preserve"> the membership fees for which were partially subsidized by the applicant’s employer</w:t>
      </w:r>
      <w:r>
        <w:rPr>
          <w:rStyle w:val="FootnoteReference"/>
        </w:rPr>
        <w:footnoteReference w:id="111"/>
      </w:r>
      <w:r w:rsidR="00622DD1">
        <w:t xml:space="preserve"> as part of its employee benefits program.</w:t>
      </w:r>
      <w:r>
        <w:t xml:space="preserve"> In response to employer queries as to how many </w:t>
      </w:r>
      <w:r>
        <w:lastRenderedPageBreak/>
        <w:t>times the applicant frequented the gym, the respondent released that information.</w:t>
      </w:r>
      <w:r>
        <w:rPr>
          <w:rStyle w:val="FootnoteReference"/>
        </w:rPr>
        <w:footnoteReference w:id="112"/>
      </w:r>
      <w:r>
        <w:t xml:space="preserve"> As summarized by the judge, the applicant claimed that “the disclosure of information on his fitness centre usage caused him embarrassment and created an atmosphere of competition amongst co-workers that he was unwillingly forced into. The applicant also stated that he believes that he was reprimanded by his superiors for his communications with the respondent.”</w:t>
      </w:r>
      <w:r>
        <w:rPr>
          <w:rStyle w:val="FootnoteReference"/>
        </w:rPr>
        <w:footnoteReference w:id="113"/>
      </w:r>
      <w:r>
        <w:t xml:space="preserve">  </w:t>
      </w:r>
    </w:p>
    <w:p w14:paraId="2E650857" w14:textId="533990CF" w:rsidR="002E5413" w:rsidRDefault="00D54918" w:rsidP="00D50558">
      <w:pPr>
        <w:ind w:firstLine="720"/>
      </w:pPr>
      <w:r>
        <w:t xml:space="preserve">The court found a breach of </w:t>
      </w:r>
      <w:r w:rsidR="003061DB" w:rsidRPr="003061DB">
        <w:rPr>
          <w:i/>
          <w:iCs/>
        </w:rPr>
        <w:t>PIPEDA</w:t>
      </w:r>
      <w:r>
        <w:t xml:space="preserve"> </w:t>
      </w:r>
      <w:r w:rsidR="00622DD1">
        <w:t>given</w:t>
      </w:r>
      <w:r>
        <w:t xml:space="preserve"> </w:t>
      </w:r>
      <w:r w:rsidR="005A6536">
        <w:t xml:space="preserve">that </w:t>
      </w:r>
      <w:proofErr w:type="spellStart"/>
      <w:r>
        <w:t>Nubody</w:t>
      </w:r>
      <w:r w:rsidR="005A6536">
        <w:t>’</w:t>
      </w:r>
      <w:r w:rsidR="00622DD1">
        <w:t>s</w:t>
      </w:r>
      <w:proofErr w:type="spellEnd"/>
      <w:r>
        <w:t xml:space="preserve"> disclosed personal information concerning usage of the facility</w:t>
      </w:r>
      <w:r w:rsidR="005A6536">
        <w:t>,</w:t>
      </w:r>
      <w:r>
        <w:rPr>
          <w:rStyle w:val="FootnoteReference"/>
        </w:rPr>
        <w:footnoteReference w:id="114"/>
      </w:r>
      <w:r>
        <w:t xml:space="preserve"> but declined to </w:t>
      </w:r>
      <w:r w:rsidR="003061DB" w:rsidRPr="003061DB">
        <w:t>award</w:t>
      </w:r>
      <w:r>
        <w:t xml:space="preserve"> damages. This is, in part, because </w:t>
      </w:r>
      <w:proofErr w:type="spellStart"/>
      <w:r>
        <w:t>Nubody</w:t>
      </w:r>
      <w:r w:rsidR="00191092">
        <w:t>’</w:t>
      </w:r>
      <w:r w:rsidR="00622DD1">
        <w:t>s</w:t>
      </w:r>
      <w:proofErr w:type="spellEnd"/>
      <w:r w:rsidR="00622DD1">
        <w:t xml:space="preserve"> </w:t>
      </w:r>
      <w:r>
        <w:t xml:space="preserve">had adopted the Privacy Commissioner’s </w:t>
      </w:r>
      <w:r w:rsidR="007C4795">
        <w:t xml:space="preserve">recommendations </w:t>
      </w:r>
      <w:r>
        <w:t>to improve its systems,</w:t>
      </w:r>
      <w:r w:rsidR="002E5413">
        <w:rPr>
          <w:rStyle w:val="FootnoteReference"/>
        </w:rPr>
        <w:footnoteReference w:id="115"/>
      </w:r>
      <w:r>
        <w:t xml:space="preserve"> </w:t>
      </w:r>
      <w:r w:rsidR="00622DD1">
        <w:t>but more significantly because</w:t>
      </w:r>
      <w:r>
        <w:t xml:space="preserve"> “an </w:t>
      </w:r>
      <w:r w:rsidR="003061DB" w:rsidRPr="003061DB">
        <w:t>award</w:t>
      </w:r>
      <w:r>
        <w:t xml:space="preserve"> of damages is not be made lightly.</w:t>
      </w:r>
      <w:r w:rsidR="00DF1AE9">
        <w:t>”</w:t>
      </w:r>
      <w:r w:rsidR="00DF1AE9">
        <w:rPr>
          <w:rStyle w:val="FootnoteReference"/>
        </w:rPr>
        <w:footnoteReference w:id="116"/>
      </w:r>
      <w:r w:rsidR="00DF1AE9">
        <w:t xml:space="preserve"> </w:t>
      </w:r>
      <w:r w:rsidR="00DF1AE9" w:rsidRPr="006D3F80">
        <w:t xml:space="preserve">According to the court, </w:t>
      </w:r>
      <w:r w:rsidR="0041700A">
        <w:t>“</w:t>
      </w:r>
      <w:r w:rsidR="00DF1AE9" w:rsidRPr="0041700A">
        <w:t>s</w:t>
      </w:r>
      <w:r w:rsidRPr="0041700A">
        <w:t xml:space="preserve">uch an </w:t>
      </w:r>
      <w:r w:rsidR="003061DB" w:rsidRPr="0041700A">
        <w:t>award</w:t>
      </w:r>
      <w:r w:rsidRPr="0041700A">
        <w:t xml:space="preserve"> should only be made</w:t>
      </w:r>
      <w:r w:rsidRPr="006D3F80">
        <w:rPr>
          <w:b/>
          <w:bCs/>
        </w:rPr>
        <w:t xml:space="preserve"> in the most egregious situations</w:t>
      </w:r>
      <w:r w:rsidR="00622DD1" w:rsidRPr="008A30A9">
        <w:rPr>
          <w:rStyle w:val="FootnoteReference"/>
          <w:b/>
          <w:bCs/>
        </w:rPr>
        <w:footnoteReference w:id="117"/>
      </w:r>
      <w:r w:rsidRPr="008A30A9">
        <w:rPr>
          <w:b/>
          <w:bCs/>
        </w:rPr>
        <w:t xml:space="preserve"> </w:t>
      </w:r>
      <w:r w:rsidR="00622DD1" w:rsidRPr="0041700A">
        <w:t>and</w:t>
      </w:r>
      <w:r w:rsidR="00622DD1" w:rsidRPr="008A30A9">
        <w:rPr>
          <w:b/>
          <w:bCs/>
        </w:rPr>
        <w:t xml:space="preserve"> “where the breach has been one of </w:t>
      </w:r>
      <w:r w:rsidR="00622DD1" w:rsidRPr="006D3F80">
        <w:rPr>
          <w:b/>
          <w:bCs/>
        </w:rPr>
        <w:t>a very serious and violating</w:t>
      </w:r>
      <w:r w:rsidR="00622DD1" w:rsidRPr="006D3F80">
        <w:rPr>
          <w:b/>
          <w:bCs/>
          <w:i/>
          <w:iCs/>
        </w:rPr>
        <w:t xml:space="preserve"> </w:t>
      </w:r>
      <w:r w:rsidR="00622DD1" w:rsidRPr="006D3F80">
        <w:rPr>
          <w:b/>
          <w:bCs/>
        </w:rPr>
        <w:t>nature</w:t>
      </w:r>
      <w:r w:rsidR="00622DD1" w:rsidRPr="008A30A9">
        <w:rPr>
          <w:b/>
          <w:bCs/>
        </w:rPr>
        <w:t>”</w:t>
      </w:r>
      <w:r w:rsidR="00622DD1">
        <w:rPr>
          <w:rStyle w:val="FootnoteReference"/>
        </w:rPr>
        <w:footnoteReference w:id="118"/>
      </w:r>
      <w:r w:rsidR="00622DD1">
        <w:t xml:space="preserve"> </w:t>
      </w:r>
      <w:r w:rsidR="00DF1AE9">
        <w:t>[emphasis added].</w:t>
      </w:r>
      <w:r w:rsidR="00622DD1">
        <w:t xml:space="preserve"> The court determined that the circumstances in </w:t>
      </w:r>
      <w:r w:rsidR="00622DD1" w:rsidRPr="005A6536">
        <w:rPr>
          <w:i/>
          <w:iCs/>
        </w:rPr>
        <w:t>Randall</w:t>
      </w:r>
      <w:r w:rsidR="00622DD1">
        <w:t xml:space="preserve"> did not meet this standard”</w:t>
      </w:r>
      <w:r w:rsidR="00622DD1">
        <w:rPr>
          <w:rStyle w:val="FootnoteReference"/>
        </w:rPr>
        <w:footnoteReference w:id="119"/>
      </w:r>
      <w:r w:rsidR="00DF1AE9">
        <w:t xml:space="preserve"> </w:t>
      </w:r>
      <w:r w:rsidR="00184324">
        <w:t xml:space="preserve">– </w:t>
      </w:r>
      <w:r w:rsidR="00DF1AE9">
        <w:t xml:space="preserve">unlike, for example, cases </w:t>
      </w:r>
      <w:r w:rsidR="00622DD1">
        <w:t>involving</w:t>
      </w:r>
      <w:r>
        <w:t xml:space="preserve"> video-taping and phone-line tapping</w:t>
      </w:r>
      <w:r w:rsidR="002E5413">
        <w:t>.</w:t>
      </w:r>
      <w:r w:rsidR="002E5413">
        <w:rPr>
          <w:rStyle w:val="FootnoteReference"/>
        </w:rPr>
        <w:footnoteReference w:id="120"/>
      </w:r>
      <w:r w:rsidR="002E5413">
        <w:t xml:space="preserve"> </w:t>
      </w:r>
      <w:r w:rsidR="00E13098">
        <w:t xml:space="preserve">Rather, </w:t>
      </w:r>
      <w:r w:rsidR="007503CA">
        <w:t>“</w:t>
      </w:r>
      <w:r w:rsidR="00E13098">
        <w:t>t</w:t>
      </w:r>
      <w:r w:rsidR="00DF1AE9">
        <w:t xml:space="preserve">he </w:t>
      </w:r>
      <w:r w:rsidR="007503CA" w:rsidRPr="007503CA">
        <w:t>impugned disclosure of personal information was minimal</w:t>
      </w:r>
      <w:r w:rsidR="007503CA">
        <w:t xml:space="preserve">” and there was </w:t>
      </w:r>
      <w:r w:rsidR="00D50558">
        <w:t>“</w:t>
      </w:r>
      <w:r w:rsidR="00D50558" w:rsidRPr="007503CA">
        <w:t>no injury to the applicant justifying an award of damages.</w:t>
      </w:r>
      <w:r w:rsidR="00D50558">
        <w:t>”</w:t>
      </w:r>
      <w:r w:rsidR="002E5413">
        <w:rPr>
          <w:rStyle w:val="FootnoteReference"/>
        </w:rPr>
        <w:footnoteReference w:id="121"/>
      </w:r>
      <w:r w:rsidR="007503CA" w:rsidRPr="007503CA">
        <w:t> </w:t>
      </w:r>
    </w:p>
    <w:p w14:paraId="0E340ECD" w14:textId="5AEF220C" w:rsidR="004A1A9F" w:rsidRPr="004A1A9F" w:rsidRDefault="002E5413" w:rsidP="005A6536">
      <w:pPr>
        <w:ind w:firstLine="720"/>
      </w:pPr>
      <w:r>
        <w:t xml:space="preserve">While the court </w:t>
      </w:r>
      <w:r w:rsidR="004A1A9F">
        <w:t>was</w:t>
      </w:r>
      <w:r>
        <w:t xml:space="preserve"> almost certainly correct that the release of such innocuous information caused no loss, it </w:t>
      </w:r>
      <w:r w:rsidR="004A1A9F">
        <w:t>was</w:t>
      </w:r>
      <w:r>
        <w:t xml:space="preserve"> </w:t>
      </w:r>
      <w:r w:rsidR="004A1A9F">
        <w:t xml:space="preserve">certainly </w:t>
      </w:r>
      <w:r>
        <w:t xml:space="preserve">wrong to read into </w:t>
      </w:r>
      <w:r w:rsidR="003061DB" w:rsidRPr="003061DB">
        <w:rPr>
          <w:i/>
          <w:iCs/>
        </w:rPr>
        <w:t>PIPEDA</w:t>
      </w:r>
      <w:r>
        <w:t xml:space="preserve"> that a damage </w:t>
      </w:r>
      <w:r w:rsidR="003061DB" w:rsidRPr="003061DB">
        <w:t>award</w:t>
      </w:r>
      <w:r>
        <w:t xml:space="preserve"> should only be made in the most egregious situations. As noted in the Introduction, </w:t>
      </w:r>
      <w:r w:rsidR="004A1A9F">
        <w:t>i</w:t>
      </w:r>
      <w:r w:rsidRPr="00FD47FE">
        <w:t>n requiring egregious circumstances, the court inappropriately adds criteria to what</w:t>
      </w:r>
      <w:r w:rsidR="004A1A9F">
        <w:t xml:space="preserve"> the legislation requires, setting</w:t>
      </w:r>
      <w:r w:rsidRPr="00FD47FE">
        <w:t xml:space="preserve"> such a spectacularly high bar for recovery, it trenches on the test for punitive damages.</w:t>
      </w:r>
      <w:r w:rsidRPr="00FD47FE">
        <w:rPr>
          <w:rStyle w:val="FootnoteReference"/>
        </w:rPr>
        <w:footnoteReference w:id="122"/>
      </w:r>
      <w:r w:rsidRPr="00FD47FE">
        <w:t xml:space="preserve"> </w:t>
      </w:r>
      <w:r w:rsidR="005E0F4B">
        <w:t xml:space="preserve">Recall that </w:t>
      </w:r>
      <w:r w:rsidR="005E0F4B">
        <w:rPr>
          <w:i/>
          <w:iCs/>
        </w:rPr>
        <w:t xml:space="preserve">PIPEDA </w:t>
      </w:r>
      <w:r w:rsidR="005E0F4B">
        <w:t>already protects the “reasonable” conduct of organizations in s</w:t>
      </w:r>
      <w:r w:rsidR="00E57F4C">
        <w:t>ection</w:t>
      </w:r>
      <w:r w:rsidR="005E0F4B">
        <w:t xml:space="preserve"> 3, and that s</w:t>
      </w:r>
      <w:r w:rsidR="00E57F4C">
        <w:t>ection</w:t>
      </w:r>
      <w:r w:rsidR="005E0F4B">
        <w:t xml:space="preserve"> 14 already limits the scope of the Federal Court’s review. </w:t>
      </w:r>
      <w:r w:rsidR="004A1A9F">
        <w:t xml:space="preserve">Though not mentioning </w:t>
      </w:r>
      <w:r w:rsidR="002B0617">
        <w:rPr>
          <w:i/>
          <w:iCs/>
        </w:rPr>
        <w:t>Randall</w:t>
      </w:r>
      <w:r w:rsidR="004A1A9F">
        <w:t xml:space="preserve"> by name, the court in </w:t>
      </w:r>
      <w:proofErr w:type="spellStart"/>
      <w:r w:rsidR="004A1A9F">
        <w:rPr>
          <w:i/>
          <w:iCs/>
        </w:rPr>
        <w:t>Chitrakar</w:t>
      </w:r>
      <w:proofErr w:type="spellEnd"/>
      <w:r w:rsidR="004A1A9F">
        <w:t xml:space="preserve"> is critical, observing that </w:t>
      </w:r>
      <w:r w:rsidR="004A1A9F" w:rsidRPr="004A1A9F">
        <w:t xml:space="preserve">“there is no reason to require that the violation be egregious before damages will be awarded. To do so would </w:t>
      </w:r>
      <w:r w:rsidR="004A1A9F" w:rsidRPr="004A1A9F">
        <w:lastRenderedPageBreak/>
        <w:t>undermine the legislative intent of paragraph 16</w:t>
      </w:r>
      <w:r w:rsidR="004A1A9F" w:rsidRPr="004A1A9F">
        <w:rPr>
          <w:rStyle w:val="Emphasis"/>
        </w:rPr>
        <w:t>(c)</w:t>
      </w:r>
      <w:r w:rsidR="004A1A9F" w:rsidRPr="004A1A9F">
        <w:t xml:space="preserve"> which provides that damages be awarded for privacy violations including but not limited to damages for humiliation</w:t>
      </w:r>
      <w:r w:rsidR="004A1A9F">
        <w:t>.”</w:t>
      </w:r>
      <w:r w:rsidR="004A1A9F">
        <w:rPr>
          <w:rStyle w:val="FootnoteReference"/>
        </w:rPr>
        <w:footnoteReference w:id="123"/>
      </w:r>
    </w:p>
    <w:p w14:paraId="057295A2" w14:textId="6A326FBF" w:rsidR="000009F3" w:rsidRDefault="00DF1AE9" w:rsidP="005A6536">
      <w:pPr>
        <w:spacing w:before="100" w:beforeAutospacing="1" w:after="100" w:afterAutospacing="1"/>
        <w:ind w:firstLine="720"/>
      </w:pPr>
      <w:r>
        <w:t>Th</w:t>
      </w:r>
      <w:r w:rsidR="00622DD1">
        <w:t>e cause of the court’s misstep i</w:t>
      </w:r>
      <w:r>
        <w:t xml:space="preserve">n </w:t>
      </w:r>
      <w:r w:rsidR="002B0617">
        <w:rPr>
          <w:i/>
          <w:iCs/>
        </w:rPr>
        <w:t>Randall</w:t>
      </w:r>
      <w:r>
        <w:rPr>
          <w:i/>
          <w:iCs/>
        </w:rPr>
        <w:t xml:space="preserve"> </w:t>
      </w:r>
      <w:r>
        <w:t>is</w:t>
      </w:r>
      <w:r w:rsidR="00622DD1">
        <w:t xml:space="preserve"> unclear</w:t>
      </w:r>
      <w:r>
        <w:t xml:space="preserve">. </w:t>
      </w:r>
      <w:r w:rsidR="000009F3">
        <w:t xml:space="preserve">Partially it may be because the court relied on the privacy analysis of </w:t>
      </w:r>
      <w:r w:rsidR="000009F3" w:rsidRPr="00F504B8">
        <w:rPr>
          <w:i/>
          <w:iCs/>
        </w:rPr>
        <w:t>Poirier</w:t>
      </w:r>
      <w:r w:rsidR="000009F3">
        <w:rPr>
          <w:rStyle w:val="FootnoteReference"/>
        </w:rPr>
        <w:footnoteReference w:id="124"/>
      </w:r>
      <w:r w:rsidR="00495125">
        <w:t xml:space="preserve"> </w:t>
      </w:r>
      <w:r w:rsidR="00B97791">
        <w:t>and apparently took it out of context.</w:t>
      </w:r>
      <w:r w:rsidR="000009F3">
        <w:t xml:space="preserve"> </w:t>
      </w:r>
      <w:r w:rsidR="008C75A6" w:rsidRPr="00F504B8">
        <w:rPr>
          <w:i/>
          <w:iCs/>
        </w:rPr>
        <w:t>Poirier</w:t>
      </w:r>
      <w:r w:rsidR="008C75A6">
        <w:t xml:space="preserve"> concerned misappropriation of the Plaintiff’s personality and image pursuant to British Columbia’s statutorily created privacy tort,</w:t>
      </w:r>
      <w:r w:rsidR="008C75A6">
        <w:rPr>
          <w:rStyle w:val="FootnoteReference"/>
        </w:rPr>
        <w:footnoteReference w:id="125"/>
      </w:r>
      <w:r w:rsidR="008C75A6">
        <w:t xml:space="preserve"> discussed earlier. </w:t>
      </w:r>
      <w:r w:rsidR="000009F3">
        <w:t xml:space="preserve">In </w:t>
      </w:r>
      <w:r w:rsidR="000009F3">
        <w:rPr>
          <w:i/>
          <w:iCs/>
        </w:rPr>
        <w:t>Poirier</w:t>
      </w:r>
      <w:r w:rsidR="000009F3">
        <w:t xml:space="preserve"> the court found that the relevant factors for quantum </w:t>
      </w:r>
      <w:r w:rsidR="008C75A6">
        <w:t xml:space="preserve">for breach of privacy </w:t>
      </w:r>
      <w:r w:rsidR="000009F3">
        <w:t xml:space="preserve">were “whether </w:t>
      </w:r>
      <w:r w:rsidR="000009F3" w:rsidRPr="000009F3">
        <w:t xml:space="preserve">embarrassment, humiliation and distress was caused to the person whose privacy was violated, whether the actions of the responsible party were </w:t>
      </w:r>
      <w:r w:rsidR="000009F3" w:rsidRPr="00F504B8">
        <w:rPr>
          <w:b/>
          <w:bCs/>
        </w:rPr>
        <w:t>flagrant and callous</w:t>
      </w:r>
      <w:r w:rsidR="000009F3" w:rsidRPr="000009F3">
        <w:t>, and the extent to which the responsible part</w:t>
      </w:r>
      <w:r w:rsidR="005A6536">
        <w:t>y gained a commercial advantage</w:t>
      </w:r>
      <w:r w:rsidR="000009F3">
        <w:t>”</w:t>
      </w:r>
      <w:r w:rsidR="000009F3">
        <w:rPr>
          <w:rStyle w:val="FootnoteReference"/>
        </w:rPr>
        <w:footnoteReference w:id="126"/>
      </w:r>
      <w:r w:rsidR="000009F3">
        <w:t xml:space="preserve"> [emphasis added].</w:t>
      </w:r>
      <w:r w:rsidR="002D72E5">
        <w:t xml:space="preserve"> As the court in </w:t>
      </w:r>
      <w:r w:rsidR="002D72E5">
        <w:rPr>
          <w:i/>
          <w:iCs/>
        </w:rPr>
        <w:t>Poirier</w:t>
      </w:r>
      <w:r w:rsidR="002D72E5">
        <w:t xml:space="preserve"> noted, the</w:t>
      </w:r>
      <w:r w:rsidR="008C75A6">
        <w:t>se</w:t>
      </w:r>
      <w:r w:rsidR="002D72E5">
        <w:t xml:space="preserve"> factors go to quantum, not to the determination of whether the tort occurred,</w:t>
      </w:r>
      <w:r w:rsidR="00871B6A" w:rsidRPr="00871B6A">
        <w:rPr>
          <w:rStyle w:val="FootnoteReference"/>
        </w:rPr>
        <w:t xml:space="preserve"> </w:t>
      </w:r>
      <w:r w:rsidR="00871B6A">
        <w:rPr>
          <w:rStyle w:val="FootnoteReference"/>
        </w:rPr>
        <w:footnoteReference w:id="127"/>
      </w:r>
      <w:r w:rsidR="002D72E5">
        <w:t xml:space="preserve"> since as noted above B</w:t>
      </w:r>
      <w:r w:rsidR="00871B6A">
        <w:t xml:space="preserve">ritish </w:t>
      </w:r>
      <w:r w:rsidR="002D72E5">
        <w:t>C</w:t>
      </w:r>
      <w:r w:rsidR="00871B6A">
        <w:t>olumbia</w:t>
      </w:r>
      <w:r w:rsidR="002D72E5">
        <w:t xml:space="preserve">’s statutory tort is dignitary, and allows for damages </w:t>
      </w:r>
      <w:r w:rsidR="002D72E5">
        <w:rPr>
          <w:i/>
          <w:iCs/>
        </w:rPr>
        <w:t>per se</w:t>
      </w:r>
      <w:r w:rsidR="002D72E5">
        <w:t>.</w:t>
      </w:r>
      <w:r w:rsidR="000009F3">
        <w:t xml:space="preserve"> </w:t>
      </w:r>
    </w:p>
    <w:p w14:paraId="6F5B5EF2" w14:textId="47F6C7F4" w:rsidR="00B43ADA" w:rsidRPr="00B43ADA" w:rsidRDefault="002D72E5">
      <w:pPr>
        <w:spacing w:before="100" w:beforeAutospacing="1" w:after="100" w:afterAutospacing="1"/>
        <w:ind w:firstLine="720"/>
        <w:rPr>
          <w:b/>
          <w:bCs/>
        </w:rPr>
      </w:pPr>
      <w:r>
        <w:t xml:space="preserve">Similarly, the court in </w:t>
      </w:r>
      <w:r>
        <w:rPr>
          <w:i/>
          <w:iCs/>
        </w:rPr>
        <w:t xml:space="preserve">Randall </w:t>
      </w:r>
      <w:r>
        <w:t xml:space="preserve">may have additionally </w:t>
      </w:r>
      <w:r w:rsidR="004A1A9F">
        <w:t>misappli</w:t>
      </w:r>
      <w:r>
        <w:t>ed</w:t>
      </w:r>
      <w:r w:rsidR="004A1A9F">
        <w:t xml:space="preserve"> </w:t>
      </w:r>
      <w:r w:rsidR="003061DB" w:rsidRPr="003061DB">
        <w:rPr>
          <w:i/>
          <w:iCs/>
        </w:rPr>
        <w:t>Ward</w:t>
      </w:r>
      <w:r w:rsidR="00622DD1">
        <w:t xml:space="preserve">’s assessment that quantum for a </w:t>
      </w:r>
      <w:r w:rsidR="003061DB" w:rsidRPr="003061DB">
        <w:rPr>
          <w:i/>
          <w:iCs/>
        </w:rPr>
        <w:t>Charter</w:t>
      </w:r>
      <w:r w:rsidR="00622DD1">
        <w:t xml:space="preserve"> breach is tied to the seriousness of the breach itself and that “[g]</w:t>
      </w:r>
      <w:proofErr w:type="spellStart"/>
      <w:r w:rsidR="00622DD1">
        <w:t>enerally</w:t>
      </w:r>
      <w:proofErr w:type="spellEnd"/>
      <w:r w:rsidR="00622DD1">
        <w:t xml:space="preserve"> speaking, the more </w:t>
      </w:r>
      <w:r w:rsidR="00622DD1" w:rsidRPr="004A1A9F">
        <w:rPr>
          <w:b/>
          <w:bCs/>
        </w:rPr>
        <w:t>egregious</w:t>
      </w:r>
      <w:r w:rsidR="00622DD1">
        <w:t xml:space="preserve"> the conduct and the more serious the repercussions on the claimant, the higher the </w:t>
      </w:r>
      <w:r w:rsidR="003061DB" w:rsidRPr="003061DB">
        <w:t>award</w:t>
      </w:r>
      <w:r w:rsidR="00622DD1">
        <w:t xml:space="preserve"> for vindication or deterrence will be”</w:t>
      </w:r>
      <w:r w:rsidR="004A1A9F">
        <w:t xml:space="preserve"> [emphasis added].</w:t>
      </w:r>
      <w:r w:rsidR="00622DD1">
        <w:rPr>
          <w:rStyle w:val="FootnoteReference"/>
        </w:rPr>
        <w:footnoteReference w:id="128"/>
      </w:r>
      <w:r w:rsidR="00622DD1">
        <w:t xml:space="preserve"> In this way, </w:t>
      </w:r>
      <w:r w:rsidR="004A1A9F">
        <w:t xml:space="preserve">Ward identifies </w:t>
      </w:r>
      <w:r w:rsidR="00622DD1">
        <w:t xml:space="preserve">egregiousness </w:t>
      </w:r>
      <w:r w:rsidR="004A1A9F">
        <w:t>as</w:t>
      </w:r>
      <w:r w:rsidR="00622DD1">
        <w:t xml:space="preserve"> relevant but it goes to quantum, not recoverability. </w:t>
      </w:r>
      <w:r w:rsidR="004A1A9F">
        <w:t xml:space="preserve">  </w:t>
      </w:r>
    </w:p>
    <w:p w14:paraId="6C19129D" w14:textId="53DE3BC2" w:rsidR="0015555C" w:rsidRDefault="004A1A9F" w:rsidP="005A6536">
      <w:pPr>
        <w:spacing w:before="100" w:beforeAutospacing="1" w:after="100" w:afterAutospacing="1"/>
        <w:ind w:firstLine="720"/>
      </w:pPr>
      <w:r>
        <w:t>For all these reasons, f</w:t>
      </w:r>
      <w:r w:rsidR="00DF1AE9" w:rsidRPr="00DF1AE9">
        <w:t xml:space="preserve">uture courts </w:t>
      </w:r>
      <w:r w:rsidR="005A6536">
        <w:t>s</w:t>
      </w:r>
      <w:r w:rsidR="00DF1AE9">
        <w:t xml:space="preserve">hould decline to follow </w:t>
      </w:r>
      <w:r w:rsidR="002B0617">
        <w:rPr>
          <w:i/>
          <w:iCs/>
        </w:rPr>
        <w:t>Randall</w:t>
      </w:r>
      <w:r w:rsidR="00DF1AE9">
        <w:t>’s requirement for egregious circumstances</w:t>
      </w:r>
      <w:r>
        <w:t xml:space="preserve">. </w:t>
      </w:r>
      <w:r w:rsidR="00A34083">
        <w:t xml:space="preserve">Rejecting </w:t>
      </w:r>
      <w:r w:rsidR="00A34083" w:rsidRPr="00DD1912">
        <w:rPr>
          <w:i/>
          <w:iCs/>
        </w:rPr>
        <w:t>Randall</w:t>
      </w:r>
      <w:r w:rsidR="00A34083">
        <w:t xml:space="preserve"> may also </w:t>
      </w:r>
      <w:r w:rsidR="00DF1AE9">
        <w:t>have the salutary result of increasing damage quanta</w:t>
      </w:r>
      <w:r w:rsidR="00E816FC">
        <w:t xml:space="preserve"> by resetting the judicial tone</w:t>
      </w:r>
      <w:r w:rsidR="00DF1AE9">
        <w:t>.</w:t>
      </w:r>
    </w:p>
    <w:p w14:paraId="03C2A179" w14:textId="448556B1" w:rsidR="00D46F4A" w:rsidRPr="009B68E3" w:rsidRDefault="00DF1AE9" w:rsidP="001205E1">
      <w:pPr>
        <w:spacing w:before="100" w:beforeAutospacing="1" w:after="100" w:afterAutospacing="1"/>
        <w:ind w:firstLine="720"/>
        <w:rPr>
          <w:b/>
          <w:bCs/>
          <w:lang w:bidi="he-IL"/>
        </w:rPr>
      </w:pPr>
      <w:r>
        <w:t xml:space="preserve">  </w:t>
      </w:r>
      <w:r w:rsidR="00EE3CF7" w:rsidRPr="000C7E60">
        <w:rPr>
          <w:b/>
          <w:bCs/>
        </w:rPr>
        <w:t>Section</w:t>
      </w:r>
      <w:r w:rsidR="00EE3CF7">
        <w:t xml:space="preserve"> </w:t>
      </w:r>
      <w:r w:rsidR="00D46F4A">
        <w:rPr>
          <w:b/>
          <w:bCs/>
          <w:lang w:bidi="he-IL"/>
        </w:rPr>
        <w:t>I</w:t>
      </w:r>
      <w:r w:rsidR="00F64411">
        <w:rPr>
          <w:b/>
          <w:bCs/>
          <w:lang w:bidi="he-IL"/>
        </w:rPr>
        <w:t>I</w:t>
      </w:r>
      <w:r w:rsidR="00D46F4A" w:rsidRPr="00EC6BE7">
        <w:rPr>
          <w:b/>
          <w:bCs/>
          <w:lang w:bidi="he-IL"/>
        </w:rPr>
        <w:t xml:space="preserve">: </w:t>
      </w:r>
      <w:r w:rsidR="00AD1331">
        <w:rPr>
          <w:b/>
          <w:bCs/>
        </w:rPr>
        <w:t xml:space="preserve">Summary of </w:t>
      </w:r>
      <w:r w:rsidR="00AD1331" w:rsidRPr="008D3BE8">
        <w:rPr>
          <w:b/>
          <w:bCs/>
          <w:i/>
          <w:iCs/>
        </w:rPr>
        <w:t>CPPA</w:t>
      </w:r>
      <w:r w:rsidR="00AD1331">
        <w:rPr>
          <w:b/>
          <w:bCs/>
        </w:rPr>
        <w:t xml:space="preserve"> Deficiencies in Relation to Damages</w:t>
      </w:r>
      <w:r w:rsidR="008F1F8E">
        <w:rPr>
          <w:b/>
          <w:bCs/>
          <w:lang w:bidi="he-IL"/>
        </w:rPr>
        <w:t xml:space="preserve">   </w:t>
      </w:r>
    </w:p>
    <w:p w14:paraId="7AC9C4F2" w14:textId="6FD280BE" w:rsidR="009719C9" w:rsidRDefault="00214F8C" w:rsidP="00E55A5C">
      <w:pPr>
        <w:contextualSpacing/>
      </w:pPr>
      <w:r>
        <w:t>Given the time and effort already put into the process</w:t>
      </w:r>
      <w:r w:rsidR="00145A02">
        <w:t>,</w:t>
      </w:r>
      <w:r w:rsidR="00AD06A2">
        <w:t xml:space="preserve"> </w:t>
      </w:r>
      <w:r w:rsidR="008052E2">
        <w:t xml:space="preserve">reform of </w:t>
      </w:r>
      <w:r w:rsidR="00AD06A2">
        <w:t xml:space="preserve">federal privacy law will </w:t>
      </w:r>
      <w:r w:rsidR="008052E2">
        <w:t xml:space="preserve">likely proceed in some </w:t>
      </w:r>
      <w:r w:rsidR="00D565D9">
        <w:t xml:space="preserve">manner </w:t>
      </w:r>
      <w:r w:rsidR="009719C9">
        <w:t xml:space="preserve">though no longer under the auspices of </w:t>
      </w:r>
      <w:r w:rsidR="009719C9" w:rsidRPr="00E55A5C">
        <w:rPr>
          <w:i/>
          <w:iCs/>
        </w:rPr>
        <w:t>CPPA</w:t>
      </w:r>
      <w:r w:rsidR="00145A02">
        <w:rPr>
          <w:i/>
          <w:iCs/>
        </w:rPr>
        <w:t xml:space="preserve">. </w:t>
      </w:r>
      <w:r w:rsidR="00145A02">
        <w:t>This is because, as previous</w:t>
      </w:r>
      <w:r w:rsidR="00AD1331">
        <w:t>ly</w:t>
      </w:r>
      <w:r w:rsidR="00145A02">
        <w:t xml:space="preserve"> noted, </w:t>
      </w:r>
      <w:r w:rsidR="00145A02">
        <w:rPr>
          <w:i/>
          <w:iCs/>
        </w:rPr>
        <w:t>CPPA</w:t>
      </w:r>
      <w:r w:rsidR="00145A02">
        <w:t xml:space="preserve"> has recently died on the order </w:t>
      </w:r>
      <w:r w:rsidR="00852151">
        <w:t>article</w:t>
      </w:r>
      <w:r w:rsidR="00145A02">
        <w:t xml:space="preserve"> and must start the journey to enactment anew. </w:t>
      </w:r>
      <w:r w:rsidR="009719C9">
        <w:t>Th</w:t>
      </w:r>
      <w:r w:rsidR="00AD06A2">
        <w:t xml:space="preserve">e current </w:t>
      </w:r>
      <w:r w:rsidR="00145A02">
        <w:t>lacuna</w:t>
      </w:r>
      <w:r w:rsidR="00DA17D3">
        <w:t>, however,</w:t>
      </w:r>
      <w:r w:rsidR="00145A02">
        <w:t xml:space="preserve"> provides an </w:t>
      </w:r>
      <w:r w:rsidR="009719C9">
        <w:t xml:space="preserve">opportunity to </w:t>
      </w:r>
      <w:r w:rsidR="00E47F19">
        <w:t xml:space="preserve">briefly </w:t>
      </w:r>
      <w:r w:rsidR="009719C9">
        <w:t>assess</w:t>
      </w:r>
      <w:r w:rsidR="00145A02">
        <w:t xml:space="preserve"> </w:t>
      </w:r>
      <w:r w:rsidR="009719C9" w:rsidRPr="00E55A5C">
        <w:rPr>
          <w:i/>
          <w:iCs/>
        </w:rPr>
        <w:t>CPPA</w:t>
      </w:r>
      <w:r w:rsidR="009719C9">
        <w:t xml:space="preserve"> with an eye to </w:t>
      </w:r>
      <w:r w:rsidR="00145A02">
        <w:t xml:space="preserve">improvement, </w:t>
      </w:r>
      <w:r w:rsidR="009719C9">
        <w:t xml:space="preserve">particularly in relation </w:t>
      </w:r>
      <w:r w:rsidR="00145A02">
        <w:t xml:space="preserve">damages for breach of privacy. </w:t>
      </w:r>
      <w:r w:rsidR="009719C9">
        <w:t xml:space="preserve"> </w:t>
      </w:r>
    </w:p>
    <w:p w14:paraId="66BDA22D" w14:textId="77777777" w:rsidR="009719C9" w:rsidRDefault="009719C9" w:rsidP="008553CA">
      <w:pPr>
        <w:contextualSpacing/>
      </w:pPr>
    </w:p>
    <w:p w14:paraId="1647F325" w14:textId="7149C58F" w:rsidR="006D311C" w:rsidRDefault="00704D02" w:rsidP="00E55A5C">
      <w:pPr>
        <w:ind w:firstLine="720"/>
        <w:contextualSpacing/>
        <w:rPr>
          <w:rFonts w:eastAsia="Calibri"/>
        </w:rPr>
      </w:pPr>
      <w:r>
        <w:rPr>
          <w:rFonts w:eastAsia="Calibri"/>
        </w:rPr>
        <w:t xml:space="preserve">Currently, </w:t>
      </w:r>
      <w:r w:rsidRPr="009410E3">
        <w:rPr>
          <w:rFonts w:eastAsia="Calibri"/>
          <w:i/>
          <w:iCs/>
        </w:rPr>
        <w:t>PIPEDA</w:t>
      </w:r>
      <w:r>
        <w:rPr>
          <w:rFonts w:eastAsia="Calibri"/>
        </w:rPr>
        <w:t xml:space="preserve"> states</w:t>
      </w:r>
      <w:r w:rsidR="008553CA">
        <w:rPr>
          <w:rFonts w:eastAsia="Calibri"/>
        </w:rPr>
        <w:t xml:space="preserve"> in s 16</w:t>
      </w:r>
      <w:r>
        <w:rPr>
          <w:rFonts w:eastAsia="Calibri"/>
        </w:rPr>
        <w:t>:</w:t>
      </w:r>
    </w:p>
    <w:p w14:paraId="0BCA4656" w14:textId="68B581F8" w:rsidR="00704D02" w:rsidRDefault="00704D02" w:rsidP="008553CA">
      <w:pPr>
        <w:contextualSpacing/>
      </w:pPr>
      <w:r>
        <w:rPr>
          <w:lang w:bidi="he-IL"/>
        </w:rPr>
        <w:t xml:space="preserve">   </w:t>
      </w:r>
    </w:p>
    <w:p w14:paraId="69F91B58" w14:textId="29B42085" w:rsidR="00704D02" w:rsidRDefault="00704D02" w:rsidP="00704D02">
      <w:pPr>
        <w:ind w:firstLine="720"/>
      </w:pPr>
      <w:r w:rsidRPr="003B38B6">
        <w:t>The Court may, in addition to any other remedies it may give</w:t>
      </w:r>
      <w:r>
        <w:t>…</w:t>
      </w:r>
    </w:p>
    <w:p w14:paraId="149AF176" w14:textId="77777777" w:rsidR="00704D02" w:rsidRDefault="00704D02" w:rsidP="00136793">
      <w:pPr>
        <w:ind w:left="720"/>
      </w:pPr>
      <w:r w:rsidRPr="00366CB0">
        <w:rPr>
          <w:rStyle w:val="lawlabel"/>
        </w:rPr>
        <w:lastRenderedPageBreak/>
        <w:t>(c)</w:t>
      </w:r>
      <w:r w:rsidRPr="00366CB0">
        <w:t> </w:t>
      </w:r>
      <w:r w:rsidRPr="002B04E5">
        <w:t>award damages</w:t>
      </w:r>
      <w:r w:rsidRPr="00366CB0">
        <w:t xml:space="preserve"> to the complainant, </w:t>
      </w:r>
      <w:r w:rsidRPr="002B04E5">
        <w:t>including damages for any humiliation</w:t>
      </w:r>
      <w:r w:rsidRPr="00366CB0">
        <w:t xml:space="preserve"> that the complainant has suffered.</w:t>
      </w:r>
    </w:p>
    <w:p w14:paraId="172E0453" w14:textId="054A8A3E" w:rsidR="00704D02" w:rsidRDefault="00704D02" w:rsidP="008553CA">
      <w:pPr>
        <w:rPr>
          <w:rFonts w:eastAsia="Times New Roman"/>
          <w:bCs/>
          <w:lang w:val="en" w:eastAsia="en-CA"/>
        </w:rPr>
      </w:pPr>
      <w:r>
        <w:t>In contrast,</w:t>
      </w:r>
      <w:r w:rsidDel="00B0722A">
        <w:rPr>
          <w:rFonts w:eastAsia="Times New Roman"/>
          <w:bCs/>
          <w:lang w:val="en" w:eastAsia="en-CA"/>
        </w:rPr>
        <w:t xml:space="preserve"> </w:t>
      </w:r>
      <w:r w:rsidR="008553CA">
        <w:rPr>
          <w:rFonts w:eastAsia="Times New Roman"/>
          <w:bCs/>
          <w:lang w:val="en" w:eastAsia="en-CA"/>
        </w:rPr>
        <w:t xml:space="preserve">s 106(1), </w:t>
      </w:r>
      <w:r>
        <w:rPr>
          <w:rFonts w:eastAsia="Times New Roman"/>
          <w:bCs/>
          <w:lang w:val="en" w:eastAsia="en-CA"/>
        </w:rPr>
        <w:t>the damag</w:t>
      </w:r>
      <w:r w:rsidR="008553CA">
        <w:rPr>
          <w:rFonts w:eastAsia="Times New Roman"/>
          <w:bCs/>
          <w:lang w:val="en" w:eastAsia="en-CA"/>
        </w:rPr>
        <w:t xml:space="preserve">es provision under </w:t>
      </w:r>
      <w:r w:rsidR="008553CA" w:rsidRPr="008553CA">
        <w:rPr>
          <w:rFonts w:eastAsia="Times New Roman"/>
          <w:bCs/>
          <w:i/>
          <w:iCs/>
          <w:lang w:val="en" w:eastAsia="en-CA"/>
        </w:rPr>
        <w:t>CPPA</w:t>
      </w:r>
      <w:r w:rsidR="00115DCC">
        <w:rPr>
          <w:rFonts w:eastAsia="Times New Roman"/>
          <w:bCs/>
          <w:i/>
          <w:iCs/>
          <w:lang w:val="en" w:eastAsia="en-CA"/>
        </w:rPr>
        <w:t xml:space="preserve"> </w:t>
      </w:r>
      <w:r w:rsidR="00B84B87">
        <w:rPr>
          <w:rFonts w:eastAsia="Times New Roman"/>
          <w:bCs/>
          <w:lang w:val="en" w:eastAsia="en-CA"/>
        </w:rPr>
        <w:t>provides</w:t>
      </w:r>
      <w:r w:rsidR="00AD06A2">
        <w:rPr>
          <w:rFonts w:eastAsia="Times New Roman"/>
          <w:bCs/>
          <w:lang w:val="en" w:eastAsia="en-CA"/>
        </w:rPr>
        <w:t xml:space="preserve"> </w:t>
      </w:r>
      <w:r>
        <w:rPr>
          <w:rFonts w:eastAsia="Times New Roman"/>
          <w:bCs/>
          <w:lang w:val="en" w:eastAsia="en-CA"/>
        </w:rPr>
        <w:t>as follows:</w:t>
      </w:r>
    </w:p>
    <w:p w14:paraId="5B68B06E" w14:textId="55683869" w:rsidR="00704D02" w:rsidRDefault="00704D02" w:rsidP="00704D02">
      <w:pPr>
        <w:ind w:left="720"/>
        <w:jc w:val="both"/>
      </w:pPr>
      <w:r w:rsidRPr="001676D1">
        <w:t>An individual who is affected</w:t>
      </w:r>
      <w:r>
        <w:t xml:space="preserve"> by an act or omission by an organization that constitutes a contravention of this Act </w:t>
      </w:r>
      <w:r w:rsidRPr="00F504B8">
        <w:t xml:space="preserve">has a cause of action against the organization for damages </w:t>
      </w:r>
      <w:r w:rsidRPr="00136793">
        <w:rPr>
          <w:b/>
          <w:bCs/>
        </w:rPr>
        <w:t>for loss or injury</w:t>
      </w:r>
      <w:r>
        <w:t xml:space="preserve"> that the individual has suffered as a result of the contravention….</w:t>
      </w:r>
      <w:r w:rsidR="00067652">
        <w:t>[emphasis added.]</w:t>
      </w:r>
      <w:r>
        <w:rPr>
          <w:rStyle w:val="FootnoteReference"/>
        </w:rPr>
        <w:footnoteReference w:id="129"/>
      </w:r>
    </w:p>
    <w:p w14:paraId="35B6C0B2" w14:textId="163E26C1" w:rsidR="007E2ECB" w:rsidRDefault="00704D02" w:rsidP="00A10456">
      <w:pPr>
        <w:ind w:firstLine="720"/>
        <w:contextualSpacing/>
        <w:rPr>
          <w:rFonts w:eastAsia="Times New Roman"/>
          <w:bCs/>
          <w:lang w:val="en" w:eastAsia="en-CA"/>
        </w:rPr>
      </w:pPr>
      <w:r>
        <w:t xml:space="preserve">It can be seen that </w:t>
      </w:r>
      <w:r w:rsidRPr="003061DB">
        <w:rPr>
          <w:rFonts w:eastAsia="Times New Roman"/>
          <w:bCs/>
          <w:i/>
          <w:iCs/>
          <w:lang w:val="en" w:eastAsia="en-CA"/>
        </w:rPr>
        <w:t>CPPA</w:t>
      </w:r>
      <w:r w:rsidR="008553CA">
        <w:rPr>
          <w:rFonts w:eastAsia="Times New Roman"/>
          <w:bCs/>
          <w:lang w:val="en" w:eastAsia="en-CA"/>
        </w:rPr>
        <w:t xml:space="preserve"> br</w:t>
      </w:r>
      <w:r w:rsidR="006D311C">
        <w:rPr>
          <w:rFonts w:eastAsia="Times New Roman"/>
          <w:bCs/>
          <w:lang w:val="en" w:eastAsia="en-CA"/>
        </w:rPr>
        <w:t>eaks</w:t>
      </w:r>
      <w:r>
        <w:rPr>
          <w:rFonts w:eastAsia="Times New Roman"/>
          <w:bCs/>
          <w:lang w:val="en" w:eastAsia="en-CA"/>
        </w:rPr>
        <w:t xml:space="preserve"> with the wording of </w:t>
      </w:r>
      <w:r w:rsidRPr="003061DB">
        <w:rPr>
          <w:rFonts w:eastAsia="Times New Roman"/>
          <w:bCs/>
          <w:i/>
          <w:iCs/>
          <w:lang w:val="en" w:eastAsia="en-CA"/>
        </w:rPr>
        <w:t>PIPEDA</w:t>
      </w:r>
      <w:r>
        <w:rPr>
          <w:rFonts w:eastAsia="Times New Roman"/>
          <w:bCs/>
          <w:lang w:val="en" w:eastAsia="en-CA"/>
        </w:rPr>
        <w:t xml:space="preserve"> </w:t>
      </w:r>
      <w:r w:rsidR="00067652">
        <w:rPr>
          <w:rFonts w:eastAsia="Times New Roman"/>
          <w:bCs/>
          <w:lang w:val="en" w:eastAsia="en-CA"/>
        </w:rPr>
        <w:t xml:space="preserve">by dropping reference to the word “humiliation” on the one hand, and adding in the words “for loss or injury” </w:t>
      </w:r>
      <w:r>
        <w:rPr>
          <w:rFonts w:eastAsia="Times New Roman"/>
          <w:bCs/>
          <w:lang w:val="en" w:eastAsia="en-CA"/>
        </w:rPr>
        <w:t>o</w:t>
      </w:r>
      <w:r w:rsidR="008553CA">
        <w:rPr>
          <w:rFonts w:eastAsia="Times New Roman"/>
          <w:bCs/>
          <w:lang w:val="en" w:eastAsia="en-CA"/>
        </w:rPr>
        <w:t>n</w:t>
      </w:r>
      <w:r w:rsidR="00067652">
        <w:rPr>
          <w:rFonts w:eastAsia="Times New Roman"/>
          <w:bCs/>
          <w:lang w:val="en" w:eastAsia="en-CA"/>
        </w:rPr>
        <w:t xml:space="preserve"> the other. </w:t>
      </w:r>
      <w:r w:rsidR="003C07AE">
        <w:rPr>
          <w:rFonts w:eastAsia="Times New Roman"/>
          <w:bCs/>
          <w:lang w:val="en" w:eastAsia="en-CA"/>
        </w:rPr>
        <w:t xml:space="preserve">Elimination of the word “humiliation” is not inherently problematic </w:t>
      </w:r>
      <w:r w:rsidR="00177C2F">
        <w:rPr>
          <w:rFonts w:eastAsia="Times New Roman"/>
          <w:bCs/>
          <w:lang w:val="en" w:eastAsia="en-CA"/>
        </w:rPr>
        <w:t xml:space="preserve">if it </w:t>
      </w:r>
      <w:r w:rsidR="003C07AE">
        <w:rPr>
          <w:rFonts w:eastAsia="Times New Roman"/>
          <w:bCs/>
          <w:lang w:val="en" w:eastAsia="en-CA"/>
        </w:rPr>
        <w:t xml:space="preserve">simply </w:t>
      </w:r>
      <w:r w:rsidR="00DA17D3">
        <w:rPr>
          <w:rFonts w:eastAsia="Times New Roman"/>
          <w:bCs/>
          <w:lang w:val="en" w:eastAsia="en-CA"/>
        </w:rPr>
        <w:t>reflect</w:t>
      </w:r>
      <w:r w:rsidR="00177C2F">
        <w:rPr>
          <w:rFonts w:eastAsia="Times New Roman"/>
          <w:bCs/>
          <w:lang w:val="en" w:eastAsia="en-CA"/>
        </w:rPr>
        <w:t>s</w:t>
      </w:r>
      <w:r w:rsidR="00DA17D3">
        <w:rPr>
          <w:rFonts w:eastAsia="Times New Roman"/>
          <w:bCs/>
          <w:lang w:val="en" w:eastAsia="en-CA"/>
        </w:rPr>
        <w:t xml:space="preserve"> the conclusion that non-pecuniary damages are naturally recoverable and need no special mention. </w:t>
      </w:r>
      <w:r w:rsidR="0076518F">
        <w:rPr>
          <w:rFonts w:eastAsia="Times New Roman"/>
          <w:bCs/>
          <w:lang w:val="en" w:eastAsia="en-CA"/>
        </w:rPr>
        <w:t>Nor is e</w:t>
      </w:r>
      <w:r w:rsidR="007E2ECB">
        <w:rPr>
          <w:rFonts w:eastAsia="Times New Roman"/>
          <w:bCs/>
          <w:lang w:val="en" w:eastAsia="en-CA"/>
        </w:rPr>
        <w:t xml:space="preserve">limination of the word </w:t>
      </w:r>
      <w:r w:rsidR="0076518F">
        <w:rPr>
          <w:rFonts w:eastAsia="Times New Roman"/>
          <w:bCs/>
          <w:lang w:val="en" w:eastAsia="en-CA"/>
        </w:rPr>
        <w:t xml:space="preserve">“humiliation” </w:t>
      </w:r>
      <w:r w:rsidR="007E2ECB">
        <w:rPr>
          <w:rFonts w:eastAsia="Times New Roman"/>
          <w:bCs/>
          <w:lang w:val="en" w:eastAsia="en-CA"/>
        </w:rPr>
        <w:t xml:space="preserve">problematic </w:t>
      </w:r>
      <w:r w:rsidR="0076518F">
        <w:rPr>
          <w:rFonts w:eastAsia="Times New Roman"/>
          <w:bCs/>
          <w:lang w:val="en" w:eastAsia="en-CA"/>
        </w:rPr>
        <w:t xml:space="preserve">provided </w:t>
      </w:r>
      <w:r w:rsidR="007E2ECB">
        <w:rPr>
          <w:rFonts w:eastAsia="Times New Roman"/>
          <w:bCs/>
          <w:lang w:val="en" w:eastAsia="en-CA"/>
        </w:rPr>
        <w:t xml:space="preserve">the bench continues to </w:t>
      </w:r>
      <w:r w:rsidR="0076518F">
        <w:rPr>
          <w:rFonts w:eastAsia="Times New Roman"/>
          <w:bCs/>
          <w:lang w:val="en" w:eastAsia="en-CA"/>
        </w:rPr>
        <w:t xml:space="preserve">follow </w:t>
      </w:r>
      <w:r w:rsidR="0076518F" w:rsidRPr="00136793">
        <w:rPr>
          <w:rFonts w:eastAsia="Times New Roman"/>
          <w:bCs/>
          <w:i/>
          <w:iCs/>
          <w:lang w:val="en" w:eastAsia="en-CA"/>
        </w:rPr>
        <w:t>PIPEDA</w:t>
      </w:r>
      <w:r w:rsidR="00AD1331">
        <w:rPr>
          <w:rFonts w:eastAsia="Times New Roman"/>
          <w:bCs/>
          <w:lang w:val="en" w:eastAsia="en-CA"/>
        </w:rPr>
        <w:t>’s</w:t>
      </w:r>
      <w:r w:rsidR="0076518F">
        <w:rPr>
          <w:rFonts w:eastAsia="Times New Roman"/>
          <w:bCs/>
          <w:lang w:val="en" w:eastAsia="en-CA"/>
        </w:rPr>
        <w:t xml:space="preserve"> path and </w:t>
      </w:r>
      <w:r w:rsidR="007E2ECB">
        <w:rPr>
          <w:rFonts w:eastAsia="Times New Roman"/>
          <w:bCs/>
          <w:lang w:val="en" w:eastAsia="en-CA"/>
        </w:rPr>
        <w:t xml:space="preserve">permit recovery for non-pecuniary loss below the standard set by </w:t>
      </w:r>
      <w:r w:rsidR="007E2ECB" w:rsidRPr="007E2ECB">
        <w:rPr>
          <w:rFonts w:eastAsia="Times New Roman"/>
          <w:bCs/>
          <w:i/>
          <w:iCs/>
          <w:lang w:val="en" w:eastAsia="en-CA"/>
        </w:rPr>
        <w:t>Mustapha</w:t>
      </w:r>
      <w:r w:rsidR="0076518F">
        <w:rPr>
          <w:rFonts w:eastAsia="Times New Roman"/>
          <w:bCs/>
          <w:i/>
          <w:iCs/>
          <w:lang w:val="en" w:eastAsia="en-CA"/>
        </w:rPr>
        <w:t>,</w:t>
      </w:r>
      <w:r w:rsidR="007E2ECB">
        <w:rPr>
          <w:rFonts w:eastAsia="Times New Roman"/>
          <w:bCs/>
          <w:lang w:val="en" w:eastAsia="en-CA"/>
        </w:rPr>
        <w:t xml:space="preserve"> discussed earlier.</w:t>
      </w:r>
      <w:r w:rsidR="007E2ECB">
        <w:rPr>
          <w:rStyle w:val="FootnoteReference"/>
          <w:rFonts w:eastAsia="Times New Roman"/>
          <w:bCs/>
          <w:lang w:val="en" w:eastAsia="en-CA"/>
        </w:rPr>
        <w:footnoteReference w:id="130"/>
      </w:r>
      <w:r w:rsidR="007E2ECB">
        <w:rPr>
          <w:rFonts w:eastAsia="Times New Roman"/>
          <w:bCs/>
          <w:lang w:val="en" w:eastAsia="en-CA"/>
        </w:rPr>
        <w:t xml:space="preserve"> But both these </w:t>
      </w:r>
      <w:r w:rsidR="0076518F">
        <w:rPr>
          <w:rFonts w:eastAsia="Times New Roman"/>
          <w:bCs/>
          <w:lang w:val="en" w:eastAsia="en-CA"/>
        </w:rPr>
        <w:t xml:space="preserve">conclusions are less than foregone given </w:t>
      </w:r>
      <w:r w:rsidR="0076518F" w:rsidRPr="00136793">
        <w:rPr>
          <w:rFonts w:eastAsia="Times New Roman"/>
          <w:bCs/>
          <w:i/>
          <w:iCs/>
          <w:lang w:val="en" w:eastAsia="en-CA"/>
        </w:rPr>
        <w:t>CPPA</w:t>
      </w:r>
      <w:r w:rsidR="00F95197">
        <w:rPr>
          <w:rFonts w:eastAsia="Times New Roman"/>
          <w:bCs/>
          <w:i/>
          <w:iCs/>
          <w:lang w:val="en" w:eastAsia="en-CA"/>
        </w:rPr>
        <w:t>’s</w:t>
      </w:r>
      <w:r w:rsidR="0076518F">
        <w:rPr>
          <w:rFonts w:eastAsia="Times New Roman"/>
          <w:bCs/>
          <w:lang w:val="en" w:eastAsia="en-CA"/>
        </w:rPr>
        <w:t xml:space="preserve"> inherent ambiguity.</w:t>
      </w:r>
      <w:bookmarkStart w:id="21" w:name="_Ref82602583"/>
      <w:r w:rsidR="00115DCC">
        <w:rPr>
          <w:rStyle w:val="FootnoteReference"/>
          <w:rFonts w:eastAsia="Times New Roman"/>
          <w:bCs/>
          <w:lang w:val="en" w:eastAsia="en-CA"/>
        </w:rPr>
        <w:footnoteReference w:id="131"/>
      </w:r>
      <w:bookmarkEnd w:id="21"/>
      <w:r w:rsidR="0076518F">
        <w:rPr>
          <w:rFonts w:eastAsia="Times New Roman"/>
          <w:bCs/>
          <w:lang w:val="en" w:eastAsia="en-CA"/>
        </w:rPr>
        <w:t xml:space="preserve"> </w:t>
      </w:r>
      <w:r w:rsidR="007E2ECB">
        <w:rPr>
          <w:rFonts w:eastAsia="Times New Roman"/>
          <w:bCs/>
          <w:lang w:val="en" w:eastAsia="en-CA"/>
        </w:rPr>
        <w:t>Indeed, another interpretation</w:t>
      </w:r>
      <w:r w:rsidR="0076518F">
        <w:rPr>
          <w:rFonts w:eastAsia="Times New Roman"/>
          <w:bCs/>
          <w:lang w:val="en" w:eastAsia="en-CA"/>
        </w:rPr>
        <w:t xml:space="preserve"> </w:t>
      </w:r>
      <w:r w:rsidR="007E2ECB">
        <w:rPr>
          <w:rFonts w:eastAsia="Times New Roman"/>
          <w:bCs/>
          <w:lang w:val="en" w:eastAsia="en-CA"/>
        </w:rPr>
        <w:t>is</w:t>
      </w:r>
      <w:r w:rsidR="003946AF">
        <w:rPr>
          <w:rFonts w:eastAsia="Times New Roman"/>
          <w:bCs/>
          <w:lang w:val="en" w:eastAsia="en-CA"/>
        </w:rPr>
        <w:t xml:space="preserve"> that</w:t>
      </w:r>
      <w:r w:rsidR="007E2ECB">
        <w:rPr>
          <w:rFonts w:eastAsia="Times New Roman"/>
          <w:bCs/>
          <w:lang w:val="en" w:eastAsia="en-CA"/>
        </w:rPr>
        <w:t xml:space="preserve"> </w:t>
      </w:r>
      <w:r w:rsidR="008F1F8E">
        <w:rPr>
          <w:rFonts w:eastAsia="Times New Roman"/>
          <w:bCs/>
          <w:lang w:val="en" w:eastAsia="en-CA"/>
        </w:rPr>
        <w:t xml:space="preserve">deletion of </w:t>
      </w:r>
      <w:r w:rsidR="007E2ECB">
        <w:rPr>
          <w:rFonts w:eastAsia="Times New Roman"/>
          <w:bCs/>
          <w:lang w:val="en" w:eastAsia="en-CA"/>
        </w:rPr>
        <w:t>the word ‘humiliation’ limit</w:t>
      </w:r>
      <w:r w:rsidR="008F1F8E">
        <w:rPr>
          <w:rFonts w:eastAsia="Times New Roman"/>
          <w:bCs/>
          <w:lang w:val="en" w:eastAsia="en-CA"/>
        </w:rPr>
        <w:t>s</w:t>
      </w:r>
      <w:r w:rsidR="007E2ECB">
        <w:rPr>
          <w:rFonts w:eastAsia="Times New Roman"/>
          <w:bCs/>
          <w:lang w:val="en" w:eastAsia="en-CA"/>
        </w:rPr>
        <w:t xml:space="preserve"> </w:t>
      </w:r>
      <w:r w:rsidR="0076518F">
        <w:rPr>
          <w:rFonts w:eastAsia="Times New Roman"/>
          <w:bCs/>
          <w:lang w:val="en" w:eastAsia="en-CA"/>
        </w:rPr>
        <w:t xml:space="preserve">the plaintiff’s </w:t>
      </w:r>
      <w:r w:rsidR="007E2ECB">
        <w:rPr>
          <w:rFonts w:eastAsia="Times New Roman"/>
          <w:bCs/>
          <w:lang w:val="en" w:eastAsia="en-CA"/>
        </w:rPr>
        <w:t>recovery to pecuniary loss</w:t>
      </w:r>
      <w:r w:rsidR="0076518F">
        <w:rPr>
          <w:rFonts w:eastAsia="Times New Roman"/>
          <w:bCs/>
          <w:lang w:val="en" w:eastAsia="en-CA"/>
        </w:rPr>
        <w:t xml:space="preserve"> alone</w:t>
      </w:r>
      <w:r w:rsidR="007E2ECB">
        <w:rPr>
          <w:rFonts w:eastAsia="Times New Roman"/>
          <w:bCs/>
          <w:lang w:val="en" w:eastAsia="en-CA"/>
        </w:rPr>
        <w:t xml:space="preserve">. </w:t>
      </w:r>
      <w:r w:rsidR="0076518F">
        <w:rPr>
          <w:rFonts w:eastAsia="Times New Roman"/>
          <w:bCs/>
          <w:lang w:val="en" w:eastAsia="en-CA"/>
        </w:rPr>
        <w:t xml:space="preserve">If so, the effort is clumsy since that is not what the </w:t>
      </w:r>
      <w:r w:rsidR="00F609F5">
        <w:rPr>
          <w:rFonts w:eastAsia="Times New Roman"/>
          <w:bCs/>
          <w:lang w:val="en" w:eastAsia="en-CA"/>
        </w:rPr>
        <w:t xml:space="preserve">defunct </w:t>
      </w:r>
      <w:r w:rsidR="0076518F">
        <w:rPr>
          <w:rFonts w:eastAsia="Times New Roman"/>
          <w:bCs/>
          <w:lang w:val="en" w:eastAsia="en-CA"/>
        </w:rPr>
        <w:t>legislation says. But beyond this, the effort is</w:t>
      </w:r>
      <w:r w:rsidR="00F609F5">
        <w:rPr>
          <w:rFonts w:eastAsia="Times New Roman"/>
          <w:bCs/>
          <w:lang w:val="en" w:eastAsia="en-CA"/>
        </w:rPr>
        <w:t xml:space="preserve"> </w:t>
      </w:r>
      <w:r w:rsidR="0076518F">
        <w:rPr>
          <w:rFonts w:eastAsia="Times New Roman"/>
          <w:bCs/>
          <w:lang w:val="en" w:eastAsia="en-CA"/>
        </w:rPr>
        <w:t xml:space="preserve">unwelcome. Though the intent of the deletion may be to </w:t>
      </w:r>
      <w:r w:rsidR="007E2ECB">
        <w:rPr>
          <w:rFonts w:eastAsia="Times New Roman"/>
          <w:bCs/>
          <w:lang w:val="en" w:eastAsia="en-CA"/>
        </w:rPr>
        <w:t>save institutions</w:t>
      </w:r>
      <w:r w:rsidR="00F609F5">
        <w:rPr>
          <w:rFonts w:eastAsia="Times New Roman"/>
          <w:bCs/>
          <w:lang w:val="en" w:eastAsia="en-CA"/>
        </w:rPr>
        <w:t xml:space="preserve"> such as banks or credit offices</w:t>
      </w:r>
      <w:r w:rsidR="007E2ECB">
        <w:rPr>
          <w:rFonts w:eastAsia="Times New Roman"/>
          <w:bCs/>
          <w:lang w:val="en" w:eastAsia="en-CA"/>
        </w:rPr>
        <w:t xml:space="preserve"> from the possibly devastating impact of large class action damages</w:t>
      </w:r>
      <w:r w:rsidR="0076518F">
        <w:rPr>
          <w:rFonts w:eastAsia="Times New Roman"/>
          <w:bCs/>
          <w:lang w:val="en" w:eastAsia="en-CA"/>
        </w:rPr>
        <w:t xml:space="preserve"> for non-pecuniary loss, the provision </w:t>
      </w:r>
      <w:r w:rsidR="00F609F5">
        <w:rPr>
          <w:rFonts w:eastAsia="Times New Roman"/>
          <w:bCs/>
          <w:lang w:val="en" w:eastAsia="en-CA"/>
        </w:rPr>
        <w:t xml:space="preserve">denies justice to individual claimants who are caught in the </w:t>
      </w:r>
      <w:r w:rsidR="008F1F8E">
        <w:rPr>
          <w:rFonts w:eastAsia="Times New Roman"/>
          <w:bCs/>
          <w:lang w:val="en" w:eastAsia="en-CA"/>
        </w:rPr>
        <w:t xml:space="preserve">very </w:t>
      </w:r>
      <w:r w:rsidR="00F609F5">
        <w:rPr>
          <w:rFonts w:eastAsia="Times New Roman"/>
          <w:bCs/>
          <w:lang w:val="en" w:eastAsia="en-CA"/>
        </w:rPr>
        <w:t>same net. H</w:t>
      </w:r>
      <w:r w:rsidR="0076518F">
        <w:rPr>
          <w:rFonts w:eastAsia="Times New Roman"/>
          <w:bCs/>
          <w:lang w:val="en" w:eastAsia="en-CA"/>
        </w:rPr>
        <w:t xml:space="preserve">owever unappealing it </w:t>
      </w:r>
      <w:r w:rsidR="00F609F5">
        <w:rPr>
          <w:rFonts w:eastAsia="Times New Roman"/>
          <w:bCs/>
          <w:lang w:val="en" w:eastAsia="en-CA"/>
        </w:rPr>
        <w:t>is for</w:t>
      </w:r>
      <w:r w:rsidR="0076518F">
        <w:rPr>
          <w:rFonts w:eastAsia="Times New Roman"/>
          <w:bCs/>
          <w:lang w:val="en" w:eastAsia="en-CA"/>
        </w:rPr>
        <w:t xml:space="preserve"> a </w:t>
      </w:r>
      <w:r w:rsidR="00E33908">
        <w:rPr>
          <w:rFonts w:eastAsia="Times New Roman"/>
          <w:bCs/>
          <w:lang w:val="en" w:eastAsia="en-CA"/>
        </w:rPr>
        <w:t>personal</w:t>
      </w:r>
      <w:r w:rsidR="00115DCC">
        <w:rPr>
          <w:rFonts w:eastAsia="Times New Roman"/>
          <w:bCs/>
          <w:lang w:val="en" w:eastAsia="en-CA"/>
        </w:rPr>
        <w:t xml:space="preserve"> </w:t>
      </w:r>
      <w:r w:rsidR="0076518F">
        <w:rPr>
          <w:rFonts w:eastAsia="Times New Roman"/>
          <w:bCs/>
          <w:lang w:val="en" w:eastAsia="en-CA"/>
        </w:rPr>
        <w:t xml:space="preserve">applicant to pursue damages under </w:t>
      </w:r>
      <w:r w:rsidR="0076518F" w:rsidRPr="00136793">
        <w:rPr>
          <w:rFonts w:eastAsia="Times New Roman"/>
          <w:bCs/>
          <w:i/>
          <w:iCs/>
          <w:lang w:val="en" w:eastAsia="en-CA"/>
        </w:rPr>
        <w:t>PIPEDA</w:t>
      </w:r>
      <w:r w:rsidR="0076518F">
        <w:rPr>
          <w:rFonts w:eastAsia="Times New Roman"/>
          <w:bCs/>
          <w:lang w:val="en" w:eastAsia="en-CA"/>
        </w:rPr>
        <w:t xml:space="preserve">, it would be even less so if this reading of </w:t>
      </w:r>
      <w:r w:rsidR="0076518F" w:rsidRPr="00136793">
        <w:rPr>
          <w:rFonts w:eastAsia="Times New Roman"/>
          <w:bCs/>
          <w:i/>
          <w:iCs/>
          <w:lang w:val="en" w:eastAsia="en-CA"/>
        </w:rPr>
        <w:t>CPPA</w:t>
      </w:r>
      <w:r w:rsidR="0076518F">
        <w:rPr>
          <w:rFonts w:eastAsia="Times New Roman"/>
          <w:bCs/>
          <w:lang w:val="en" w:eastAsia="en-CA"/>
        </w:rPr>
        <w:t xml:space="preserve"> </w:t>
      </w:r>
      <w:r w:rsidR="00115DCC">
        <w:rPr>
          <w:rFonts w:eastAsia="Times New Roman"/>
          <w:bCs/>
          <w:lang w:val="en" w:eastAsia="en-CA"/>
        </w:rPr>
        <w:t xml:space="preserve">were to </w:t>
      </w:r>
      <w:r w:rsidR="0076518F">
        <w:rPr>
          <w:rFonts w:eastAsia="Times New Roman"/>
          <w:bCs/>
          <w:lang w:val="en" w:eastAsia="en-CA"/>
        </w:rPr>
        <w:t>prevail</w:t>
      </w:r>
      <w:r w:rsidR="00115DCC">
        <w:rPr>
          <w:rFonts w:eastAsia="Times New Roman"/>
          <w:bCs/>
          <w:lang w:val="en" w:eastAsia="en-CA"/>
        </w:rPr>
        <w:t xml:space="preserve"> in future legislation</w:t>
      </w:r>
      <w:r w:rsidR="0076518F">
        <w:rPr>
          <w:rFonts w:eastAsia="Times New Roman"/>
          <w:bCs/>
          <w:lang w:val="en" w:eastAsia="en-CA"/>
        </w:rPr>
        <w:t>.</w:t>
      </w:r>
      <w:r w:rsidR="00A10456">
        <w:rPr>
          <w:rStyle w:val="FootnoteReference"/>
        </w:rPr>
        <w:footnoteReference w:id="132"/>
      </w:r>
      <w:r w:rsidR="0076518F">
        <w:rPr>
          <w:rFonts w:eastAsia="Times New Roman"/>
          <w:bCs/>
          <w:lang w:val="en" w:eastAsia="en-CA"/>
        </w:rPr>
        <w:t xml:space="preserve">  </w:t>
      </w:r>
      <w:r w:rsidR="00115DCC">
        <w:rPr>
          <w:rFonts w:eastAsia="Times New Roman"/>
          <w:bCs/>
          <w:lang w:val="en" w:eastAsia="en-CA"/>
        </w:rPr>
        <w:t xml:space="preserve"> </w:t>
      </w:r>
    </w:p>
    <w:p w14:paraId="59781D40" w14:textId="77777777" w:rsidR="00F609F5" w:rsidRDefault="00F609F5" w:rsidP="00726C65">
      <w:pPr>
        <w:ind w:firstLine="720"/>
        <w:contextualSpacing/>
        <w:rPr>
          <w:rFonts w:eastAsia="Times New Roman"/>
          <w:bCs/>
          <w:lang w:val="en" w:eastAsia="en-CA"/>
        </w:rPr>
      </w:pPr>
    </w:p>
    <w:p w14:paraId="4FBC482A" w14:textId="64ECE1E5" w:rsidR="00F609F5" w:rsidRDefault="007E2ECB" w:rsidP="00D67764">
      <w:pPr>
        <w:ind w:firstLine="720"/>
        <w:contextualSpacing/>
        <w:rPr>
          <w:lang w:bidi="he-IL"/>
        </w:rPr>
      </w:pPr>
      <w:r>
        <w:rPr>
          <w:rFonts w:eastAsia="Times New Roman"/>
          <w:bCs/>
          <w:lang w:val="en" w:eastAsia="en-CA"/>
        </w:rPr>
        <w:t>On a related front</w:t>
      </w:r>
      <w:r w:rsidR="003C07AE">
        <w:rPr>
          <w:rFonts w:eastAsia="Times New Roman"/>
          <w:bCs/>
          <w:lang w:val="en" w:eastAsia="en-CA"/>
        </w:rPr>
        <w:t xml:space="preserve">, </w:t>
      </w:r>
      <w:r w:rsidR="00DA17D3">
        <w:rPr>
          <w:rFonts w:eastAsia="Times New Roman"/>
          <w:bCs/>
          <w:lang w:val="en" w:eastAsia="en-CA"/>
        </w:rPr>
        <w:t xml:space="preserve">the new </w:t>
      </w:r>
      <w:r w:rsidR="003C07AE">
        <w:rPr>
          <w:rFonts w:eastAsia="Times New Roman"/>
          <w:bCs/>
          <w:i/>
          <w:iCs/>
          <w:lang w:val="en" w:eastAsia="en-CA"/>
        </w:rPr>
        <w:t xml:space="preserve">CPPA </w:t>
      </w:r>
      <w:r w:rsidR="00DA17D3">
        <w:rPr>
          <w:rFonts w:eastAsia="Times New Roman"/>
          <w:bCs/>
          <w:lang w:val="en" w:eastAsia="en-CA"/>
        </w:rPr>
        <w:t>requirement that the plaintiff prove damages “for loss or injury”</w:t>
      </w:r>
      <w:r w:rsidR="003946AF">
        <w:rPr>
          <w:rStyle w:val="FootnoteReference"/>
          <w:rFonts w:eastAsia="Times New Roman"/>
          <w:bCs/>
          <w:lang w:val="en" w:eastAsia="en-CA"/>
        </w:rPr>
        <w:footnoteReference w:id="133"/>
      </w:r>
      <w:r w:rsidR="003C07AE">
        <w:rPr>
          <w:rFonts w:eastAsia="Times New Roman"/>
          <w:bCs/>
          <w:lang w:val="en" w:eastAsia="en-CA"/>
        </w:rPr>
        <w:t xml:space="preserve"> is concerning as it</w:t>
      </w:r>
      <w:r w:rsidR="006773FA">
        <w:rPr>
          <w:rFonts w:eastAsia="Times New Roman"/>
          <w:bCs/>
          <w:lang w:val="en" w:eastAsia="en-CA"/>
        </w:rPr>
        <w:t xml:space="preserve"> could mean the elimination of symbolic damages and actionability </w:t>
      </w:r>
      <w:r w:rsidR="006773FA" w:rsidRPr="00D67764">
        <w:rPr>
          <w:rFonts w:eastAsia="Times New Roman"/>
          <w:bCs/>
          <w:i/>
          <w:iCs/>
          <w:lang w:val="en" w:eastAsia="en-CA"/>
        </w:rPr>
        <w:t>per se</w:t>
      </w:r>
      <w:r w:rsidR="006773FA">
        <w:rPr>
          <w:rFonts w:eastAsia="Times New Roman"/>
          <w:bCs/>
          <w:lang w:val="en" w:eastAsia="en-CA"/>
        </w:rPr>
        <w:t xml:space="preserve">. </w:t>
      </w:r>
      <w:r w:rsidR="003C07AE">
        <w:rPr>
          <w:rFonts w:eastAsia="Times New Roman"/>
          <w:bCs/>
          <w:lang w:val="en" w:eastAsia="en-CA"/>
        </w:rPr>
        <w:t xml:space="preserve">On this reading, </w:t>
      </w:r>
      <w:r w:rsidR="006773FA">
        <w:rPr>
          <w:i/>
          <w:iCs/>
          <w:lang w:bidi="he-IL"/>
        </w:rPr>
        <w:t xml:space="preserve">CPPA </w:t>
      </w:r>
      <w:r w:rsidR="00177C2F">
        <w:rPr>
          <w:lang w:bidi="he-IL"/>
        </w:rPr>
        <w:t>reflects a legislati</w:t>
      </w:r>
      <w:r w:rsidR="00D67764">
        <w:rPr>
          <w:lang w:bidi="he-IL"/>
        </w:rPr>
        <w:t>ve</w:t>
      </w:r>
      <w:r w:rsidR="00177C2F">
        <w:rPr>
          <w:lang w:bidi="he-IL"/>
        </w:rPr>
        <w:t xml:space="preserve"> intention </w:t>
      </w:r>
      <w:r w:rsidR="00737427">
        <w:rPr>
          <w:lang w:bidi="he-IL"/>
        </w:rPr>
        <w:t xml:space="preserve">to </w:t>
      </w:r>
      <w:r w:rsidR="00F609F5">
        <w:rPr>
          <w:lang w:bidi="he-IL"/>
        </w:rPr>
        <w:t xml:space="preserve">further </w:t>
      </w:r>
      <w:r w:rsidR="00FF3A02">
        <w:rPr>
          <w:lang w:bidi="he-IL"/>
        </w:rPr>
        <w:t>dampen</w:t>
      </w:r>
      <w:r w:rsidR="005B0479">
        <w:rPr>
          <w:lang w:bidi="he-IL"/>
        </w:rPr>
        <w:t xml:space="preserve"> what little</w:t>
      </w:r>
      <w:r w:rsidR="00E47F19">
        <w:rPr>
          <w:lang w:bidi="he-IL"/>
        </w:rPr>
        <w:t xml:space="preserve"> litigation</w:t>
      </w:r>
      <w:r w:rsidR="005B0479">
        <w:rPr>
          <w:lang w:bidi="he-IL"/>
        </w:rPr>
        <w:t xml:space="preserve"> there is</w:t>
      </w:r>
      <w:r w:rsidR="00726C65">
        <w:rPr>
          <w:lang w:bidi="he-IL"/>
        </w:rPr>
        <w:t xml:space="preserve"> under </w:t>
      </w:r>
      <w:r w:rsidR="00726C65" w:rsidRPr="00D67764">
        <w:rPr>
          <w:i/>
          <w:iCs/>
          <w:lang w:bidi="he-IL"/>
        </w:rPr>
        <w:t>PIPEDA</w:t>
      </w:r>
      <w:r w:rsidR="00D67764">
        <w:rPr>
          <w:lang w:bidi="he-IL"/>
        </w:rPr>
        <w:t xml:space="preserve"> – </w:t>
      </w:r>
      <w:r w:rsidR="00E47F19">
        <w:rPr>
          <w:lang w:bidi="he-IL"/>
        </w:rPr>
        <w:t xml:space="preserve">including </w:t>
      </w:r>
      <w:r w:rsidR="00FF3A02">
        <w:rPr>
          <w:lang w:bidi="he-IL"/>
        </w:rPr>
        <w:t>potential</w:t>
      </w:r>
      <w:r w:rsidR="00756390">
        <w:rPr>
          <w:lang w:bidi="he-IL"/>
        </w:rPr>
        <w:t xml:space="preserve"> </w:t>
      </w:r>
      <w:r w:rsidR="00737427">
        <w:rPr>
          <w:lang w:bidi="he-IL"/>
        </w:rPr>
        <w:t>class action lawsuits</w:t>
      </w:r>
      <w:r w:rsidR="006773FA">
        <w:rPr>
          <w:lang w:bidi="he-IL"/>
        </w:rPr>
        <w:t>.</w:t>
      </w:r>
      <w:r w:rsidR="001E3D18">
        <w:rPr>
          <w:lang w:bidi="he-IL"/>
        </w:rPr>
        <w:t xml:space="preserve"> </w:t>
      </w:r>
      <w:r w:rsidR="007C4BC3">
        <w:rPr>
          <w:lang w:bidi="he-IL"/>
        </w:rPr>
        <w:t>If th</w:t>
      </w:r>
      <w:r w:rsidR="00F609F5">
        <w:rPr>
          <w:lang w:bidi="he-IL"/>
        </w:rPr>
        <w:t>ese</w:t>
      </w:r>
      <w:r w:rsidR="007C4BC3">
        <w:rPr>
          <w:lang w:bidi="he-IL"/>
        </w:rPr>
        <w:t xml:space="preserve"> </w:t>
      </w:r>
      <w:r w:rsidR="006773FA">
        <w:rPr>
          <w:lang w:bidi="he-IL"/>
        </w:rPr>
        <w:t>understanding</w:t>
      </w:r>
      <w:r w:rsidR="00F609F5">
        <w:rPr>
          <w:lang w:bidi="he-IL"/>
        </w:rPr>
        <w:t>s</w:t>
      </w:r>
      <w:r w:rsidR="007C4BC3">
        <w:rPr>
          <w:lang w:bidi="he-IL"/>
        </w:rPr>
        <w:t xml:space="preserve"> </w:t>
      </w:r>
      <w:r w:rsidR="00F609F5">
        <w:rPr>
          <w:lang w:bidi="he-IL"/>
        </w:rPr>
        <w:t>are</w:t>
      </w:r>
      <w:r w:rsidR="007C4BC3">
        <w:rPr>
          <w:lang w:bidi="he-IL"/>
        </w:rPr>
        <w:t xml:space="preserve"> correct, </w:t>
      </w:r>
      <w:r w:rsidR="00F609F5">
        <w:rPr>
          <w:lang w:bidi="he-IL"/>
        </w:rPr>
        <w:t xml:space="preserve">then </w:t>
      </w:r>
      <w:r w:rsidR="00067652" w:rsidRPr="00D67764">
        <w:rPr>
          <w:i/>
          <w:iCs/>
          <w:lang w:bidi="he-IL"/>
        </w:rPr>
        <w:t>CPPA</w:t>
      </w:r>
      <w:r w:rsidR="00067652">
        <w:rPr>
          <w:lang w:bidi="he-IL"/>
        </w:rPr>
        <w:t xml:space="preserve"> represents </w:t>
      </w:r>
      <w:r w:rsidR="001E3D18">
        <w:rPr>
          <w:lang w:bidi="he-IL"/>
        </w:rPr>
        <w:t xml:space="preserve">a </w:t>
      </w:r>
      <w:r w:rsidR="007C4BC3">
        <w:rPr>
          <w:lang w:bidi="he-IL"/>
        </w:rPr>
        <w:t>momentous</w:t>
      </w:r>
      <w:r w:rsidR="001E3D18">
        <w:rPr>
          <w:lang w:bidi="he-IL"/>
        </w:rPr>
        <w:t xml:space="preserve"> </w:t>
      </w:r>
      <w:r w:rsidR="00F609F5">
        <w:rPr>
          <w:lang w:bidi="he-IL"/>
        </w:rPr>
        <w:t xml:space="preserve">and regrettable </w:t>
      </w:r>
      <w:r w:rsidR="001E3D18">
        <w:rPr>
          <w:lang w:bidi="he-IL"/>
        </w:rPr>
        <w:t xml:space="preserve">change in </w:t>
      </w:r>
      <w:r w:rsidR="006773FA">
        <w:rPr>
          <w:lang w:bidi="he-IL"/>
        </w:rPr>
        <w:t xml:space="preserve">the </w:t>
      </w:r>
      <w:r w:rsidR="001E3D18">
        <w:rPr>
          <w:lang w:bidi="he-IL"/>
        </w:rPr>
        <w:t xml:space="preserve">direction </w:t>
      </w:r>
      <w:r w:rsidR="003946AF">
        <w:rPr>
          <w:lang w:bidi="he-IL"/>
        </w:rPr>
        <w:t>in</w:t>
      </w:r>
      <w:r w:rsidR="006773FA">
        <w:rPr>
          <w:lang w:bidi="he-IL"/>
        </w:rPr>
        <w:t xml:space="preserve"> </w:t>
      </w:r>
      <w:r w:rsidR="00F609F5">
        <w:rPr>
          <w:lang w:bidi="he-IL"/>
        </w:rPr>
        <w:t xml:space="preserve">federal </w:t>
      </w:r>
      <w:r w:rsidR="006773FA">
        <w:rPr>
          <w:lang w:bidi="he-IL"/>
        </w:rPr>
        <w:t>privacy protection</w:t>
      </w:r>
      <w:r w:rsidR="00F609F5">
        <w:rPr>
          <w:lang w:bidi="he-IL"/>
        </w:rPr>
        <w:t xml:space="preserve">, particularly for the </w:t>
      </w:r>
      <w:r w:rsidR="00E33908">
        <w:rPr>
          <w:lang w:bidi="he-IL"/>
        </w:rPr>
        <w:t>personal</w:t>
      </w:r>
      <w:r w:rsidR="00F609F5">
        <w:rPr>
          <w:lang w:bidi="he-IL"/>
        </w:rPr>
        <w:t xml:space="preserve"> claimant</w:t>
      </w:r>
      <w:r w:rsidR="008F1F8E">
        <w:rPr>
          <w:lang w:bidi="he-IL"/>
        </w:rPr>
        <w:t xml:space="preserve"> since, as argued previously</w:t>
      </w:r>
      <w:r w:rsidR="00AD1331">
        <w:rPr>
          <w:lang w:bidi="he-IL"/>
        </w:rPr>
        <w:t>,</w:t>
      </w:r>
      <w:r w:rsidR="008F1F8E">
        <w:rPr>
          <w:lang w:bidi="he-IL"/>
        </w:rPr>
        <w:t xml:space="preserve"> </w:t>
      </w:r>
      <w:r w:rsidR="00115DCC" w:rsidRPr="00D67764">
        <w:rPr>
          <w:i/>
          <w:iCs/>
          <w:lang w:bidi="he-IL"/>
        </w:rPr>
        <w:t>PIPEDA</w:t>
      </w:r>
      <w:r w:rsidR="00115DCC">
        <w:rPr>
          <w:lang w:bidi="he-IL"/>
        </w:rPr>
        <w:t xml:space="preserve"> appears to regard breach of privacy as actionable </w:t>
      </w:r>
      <w:r w:rsidR="00115DCC" w:rsidRPr="00D67764">
        <w:rPr>
          <w:i/>
          <w:iCs/>
          <w:lang w:bidi="he-IL"/>
        </w:rPr>
        <w:t>per se</w:t>
      </w:r>
      <w:r w:rsidR="00115DCC">
        <w:rPr>
          <w:lang w:bidi="he-IL"/>
        </w:rPr>
        <w:t>.</w:t>
      </w:r>
      <w:r w:rsidR="008F1F8E">
        <w:rPr>
          <w:rStyle w:val="FootnoteReference"/>
          <w:lang w:bidi="he-IL"/>
        </w:rPr>
        <w:footnoteReference w:id="134"/>
      </w:r>
      <w:r w:rsidR="00115DCC">
        <w:rPr>
          <w:lang w:bidi="he-IL"/>
        </w:rPr>
        <w:t xml:space="preserve">  </w:t>
      </w:r>
    </w:p>
    <w:p w14:paraId="332E5CD4" w14:textId="77777777" w:rsidR="00F609F5" w:rsidRDefault="00F609F5" w:rsidP="00726C65">
      <w:pPr>
        <w:ind w:firstLine="720"/>
        <w:contextualSpacing/>
        <w:rPr>
          <w:lang w:bidi="he-IL"/>
        </w:rPr>
      </w:pPr>
    </w:p>
    <w:p w14:paraId="5C1F5091" w14:textId="45229578" w:rsidR="00DD3423" w:rsidRDefault="006773FA" w:rsidP="00F32DCD">
      <w:pPr>
        <w:ind w:firstLine="720"/>
        <w:contextualSpacing/>
        <w:rPr>
          <w:lang w:bidi="he-IL"/>
        </w:rPr>
      </w:pPr>
      <w:r>
        <w:rPr>
          <w:lang w:bidi="he-IL"/>
        </w:rPr>
        <w:t xml:space="preserve"> </w:t>
      </w:r>
      <w:r w:rsidR="00AD1331">
        <w:rPr>
          <w:lang w:bidi="he-IL"/>
        </w:rPr>
        <w:t>N</w:t>
      </w:r>
      <w:r w:rsidR="00F609F5">
        <w:rPr>
          <w:lang w:bidi="he-IL"/>
        </w:rPr>
        <w:t xml:space="preserve">on-pecuniary loss and </w:t>
      </w:r>
      <w:r>
        <w:rPr>
          <w:lang w:bidi="he-IL"/>
        </w:rPr>
        <w:t xml:space="preserve">actionability </w:t>
      </w:r>
      <w:r w:rsidRPr="00D67764">
        <w:rPr>
          <w:i/>
          <w:iCs/>
          <w:lang w:bidi="he-IL"/>
        </w:rPr>
        <w:t>per se</w:t>
      </w:r>
      <w:r>
        <w:rPr>
          <w:lang w:bidi="he-IL"/>
        </w:rPr>
        <w:t xml:space="preserve"> must be </w:t>
      </w:r>
      <w:r w:rsidR="00C35EBA">
        <w:rPr>
          <w:lang w:bidi="he-IL"/>
        </w:rPr>
        <w:t xml:space="preserve">expressly </w:t>
      </w:r>
      <w:r>
        <w:rPr>
          <w:lang w:bidi="he-IL"/>
        </w:rPr>
        <w:t>preserved in successor legislation for all the reasons given in this paper, including the importance of: upholding privacy as a quasi-constitutional value with strong links to defamation; providing access to justice;</w:t>
      </w:r>
      <w:r w:rsidR="008052E2">
        <w:rPr>
          <w:rStyle w:val="FootnoteReference"/>
          <w:lang w:bidi="he-IL"/>
        </w:rPr>
        <w:footnoteReference w:id="135"/>
      </w:r>
      <w:r w:rsidR="001E3D18">
        <w:rPr>
          <w:lang w:bidi="he-IL"/>
        </w:rPr>
        <w:t xml:space="preserve"> </w:t>
      </w:r>
      <w:r w:rsidR="003C07AE">
        <w:rPr>
          <w:lang w:bidi="he-IL"/>
        </w:rPr>
        <w:t xml:space="preserve">and actively </w:t>
      </w:r>
      <w:r>
        <w:rPr>
          <w:lang w:bidi="he-IL"/>
        </w:rPr>
        <w:t xml:space="preserve">respecting </w:t>
      </w:r>
      <w:r w:rsidR="00FF3A02">
        <w:rPr>
          <w:lang w:bidi="he-IL"/>
        </w:rPr>
        <w:t xml:space="preserve">the </w:t>
      </w:r>
      <w:r w:rsidR="001E3D18">
        <w:rPr>
          <w:lang w:bidi="he-IL"/>
        </w:rPr>
        <w:t xml:space="preserve">foundational </w:t>
      </w:r>
      <w:proofErr w:type="spellStart"/>
      <w:r w:rsidR="00FF3A02" w:rsidRPr="00D67764">
        <w:rPr>
          <w:i/>
          <w:iCs/>
          <w:lang w:bidi="he-IL"/>
        </w:rPr>
        <w:t>Nammo</w:t>
      </w:r>
      <w:proofErr w:type="spellEnd"/>
      <w:r w:rsidR="00FF3A02">
        <w:rPr>
          <w:lang w:bidi="he-IL"/>
        </w:rPr>
        <w:t xml:space="preserve"> principles </w:t>
      </w:r>
      <w:r w:rsidR="003C07AE">
        <w:rPr>
          <w:lang w:bidi="he-IL"/>
        </w:rPr>
        <w:t>not just of</w:t>
      </w:r>
      <w:r w:rsidR="00FF3A02">
        <w:rPr>
          <w:lang w:bidi="he-IL"/>
        </w:rPr>
        <w:t xml:space="preserve"> </w:t>
      </w:r>
      <w:r w:rsidR="00605A71">
        <w:rPr>
          <w:lang w:bidi="he-IL"/>
        </w:rPr>
        <w:t>compensation</w:t>
      </w:r>
      <w:r w:rsidR="003C07AE">
        <w:rPr>
          <w:lang w:bidi="he-IL"/>
        </w:rPr>
        <w:t xml:space="preserve"> but also </w:t>
      </w:r>
      <w:r w:rsidR="00FF3A02">
        <w:rPr>
          <w:lang w:bidi="he-IL"/>
        </w:rPr>
        <w:t>deterrence and vindication</w:t>
      </w:r>
      <w:r>
        <w:rPr>
          <w:lang w:bidi="he-IL"/>
        </w:rPr>
        <w:t>.</w:t>
      </w:r>
      <w:r w:rsidR="00C14A7D">
        <w:rPr>
          <w:lang w:bidi="he-IL"/>
        </w:rPr>
        <w:t xml:space="preserve"> </w:t>
      </w:r>
      <w:r w:rsidR="003946AF">
        <w:rPr>
          <w:lang w:bidi="he-IL"/>
        </w:rPr>
        <w:t>S</w:t>
      </w:r>
      <w:r w:rsidR="003A2C88">
        <w:rPr>
          <w:lang w:bidi="he-IL"/>
        </w:rPr>
        <w:t xml:space="preserve">uccessor legislation </w:t>
      </w:r>
      <w:r w:rsidR="003946AF">
        <w:rPr>
          <w:lang w:bidi="he-IL"/>
        </w:rPr>
        <w:t xml:space="preserve">should not </w:t>
      </w:r>
      <w:r w:rsidR="003A2C88">
        <w:rPr>
          <w:lang w:bidi="he-IL"/>
        </w:rPr>
        <w:t xml:space="preserve">be </w:t>
      </w:r>
      <w:r w:rsidR="003946AF">
        <w:rPr>
          <w:lang w:bidi="he-IL"/>
        </w:rPr>
        <w:t xml:space="preserve">organized around the singular goal </w:t>
      </w:r>
      <w:r w:rsidR="003A2C88">
        <w:rPr>
          <w:lang w:bidi="he-IL"/>
        </w:rPr>
        <w:t xml:space="preserve">of staving off class actions. Such an orientation denies access to justice </w:t>
      </w:r>
      <w:r w:rsidR="00E33908">
        <w:rPr>
          <w:lang w:bidi="he-IL"/>
        </w:rPr>
        <w:t xml:space="preserve">for the individual </w:t>
      </w:r>
      <w:r w:rsidR="003946AF">
        <w:rPr>
          <w:lang w:bidi="he-IL"/>
        </w:rPr>
        <w:t>and will further stunt the protection of privacy in Canada</w:t>
      </w:r>
      <w:r w:rsidR="00D565D9">
        <w:rPr>
          <w:lang w:bidi="he-IL"/>
        </w:rPr>
        <w:t xml:space="preserve"> as a result</w:t>
      </w:r>
      <w:r w:rsidR="003946AF">
        <w:rPr>
          <w:lang w:bidi="he-IL"/>
        </w:rPr>
        <w:t>.</w:t>
      </w:r>
      <w:r w:rsidR="001205E1">
        <w:rPr>
          <w:lang w:bidi="he-IL"/>
        </w:rPr>
        <w:t xml:space="preserve"> </w:t>
      </w:r>
      <w:r w:rsidR="005704CC">
        <w:rPr>
          <w:lang w:bidi="he-IL"/>
        </w:rPr>
        <w:t>Instead, i</w:t>
      </w:r>
      <w:r w:rsidR="001205E1">
        <w:rPr>
          <w:lang w:bidi="he-IL"/>
        </w:rPr>
        <w:t xml:space="preserve">ssues relating to class actions </w:t>
      </w:r>
      <w:r w:rsidR="005704CC">
        <w:rPr>
          <w:lang w:bidi="he-IL"/>
        </w:rPr>
        <w:t>should be treated separately</w:t>
      </w:r>
      <w:r w:rsidR="004432D6">
        <w:rPr>
          <w:lang w:bidi="he-IL"/>
        </w:rPr>
        <w:t xml:space="preserve"> and, of course, fairly.</w:t>
      </w:r>
      <w:r w:rsidR="005704CC">
        <w:rPr>
          <w:lang w:bidi="he-IL"/>
        </w:rPr>
        <w:t xml:space="preserve"> </w:t>
      </w:r>
      <w:r w:rsidR="001205E1">
        <w:rPr>
          <w:lang w:bidi="he-IL"/>
        </w:rPr>
        <w:t xml:space="preserve">  </w:t>
      </w:r>
    </w:p>
    <w:p w14:paraId="636E63E6" w14:textId="77777777" w:rsidR="00231887" w:rsidRDefault="00231887" w:rsidP="00D67764">
      <w:pPr>
        <w:ind w:firstLine="720"/>
        <w:contextualSpacing/>
        <w:rPr>
          <w:lang w:bidi="he-IL"/>
        </w:rPr>
      </w:pPr>
    </w:p>
    <w:p w14:paraId="03097F1A" w14:textId="593762A3" w:rsidR="003A2C88" w:rsidRDefault="003946AF" w:rsidP="00D67764">
      <w:pPr>
        <w:ind w:firstLine="720"/>
        <w:contextualSpacing/>
        <w:rPr>
          <w:lang w:bidi="he-IL"/>
        </w:rPr>
      </w:pPr>
      <w:r>
        <w:rPr>
          <w:lang w:bidi="he-IL"/>
        </w:rPr>
        <w:t xml:space="preserve"> </w:t>
      </w:r>
      <w:r w:rsidR="003A2C88">
        <w:rPr>
          <w:lang w:bidi="he-IL"/>
        </w:rPr>
        <w:t xml:space="preserve"> </w:t>
      </w:r>
    </w:p>
    <w:p w14:paraId="663719C0" w14:textId="661CE9BF" w:rsidR="000D62C2" w:rsidRDefault="00EE3CF7" w:rsidP="00522526">
      <w:pPr>
        <w:contextualSpacing/>
        <w:jc w:val="center"/>
        <w:rPr>
          <w:b/>
          <w:bCs/>
        </w:rPr>
      </w:pPr>
      <w:r>
        <w:rPr>
          <w:b/>
          <w:bCs/>
        </w:rPr>
        <w:t xml:space="preserve">Section </w:t>
      </w:r>
      <w:r w:rsidR="00F64411">
        <w:rPr>
          <w:b/>
          <w:bCs/>
        </w:rPr>
        <w:t>III</w:t>
      </w:r>
      <w:r w:rsidR="00EB2478" w:rsidRPr="00DF1AE9">
        <w:rPr>
          <w:b/>
          <w:bCs/>
        </w:rPr>
        <w:t xml:space="preserve">: </w:t>
      </w:r>
      <w:r w:rsidR="00522526">
        <w:rPr>
          <w:b/>
          <w:bCs/>
        </w:rPr>
        <w:t xml:space="preserve">Brief </w:t>
      </w:r>
      <w:r w:rsidR="00EB2478" w:rsidRPr="00DF1AE9">
        <w:rPr>
          <w:b/>
          <w:bCs/>
        </w:rPr>
        <w:t>Conclusion</w:t>
      </w:r>
    </w:p>
    <w:p w14:paraId="25FC2A45" w14:textId="77777777" w:rsidR="00225025" w:rsidRDefault="00225025" w:rsidP="00522526">
      <w:pPr>
        <w:contextualSpacing/>
        <w:jc w:val="center"/>
        <w:rPr>
          <w:b/>
          <w:bCs/>
        </w:rPr>
      </w:pPr>
    </w:p>
    <w:p w14:paraId="03A6139A" w14:textId="5D9B6BB2" w:rsidR="008F768D" w:rsidRDefault="004C14A0" w:rsidP="00F95197">
      <w:pPr>
        <w:ind w:firstLine="720"/>
        <w:contextualSpacing/>
      </w:pPr>
      <w:r>
        <w:t xml:space="preserve"> As has been seen, Justice Cromwell in his 2010 Pitblado lecture described the functional approach to damages in compelling terms, including that the monetary remedy address “the purposes of the underlying substantive law”</w:t>
      </w:r>
      <w:r>
        <w:rPr>
          <w:rStyle w:val="FootnoteReference"/>
        </w:rPr>
        <w:footnoteReference w:id="136"/>
      </w:r>
      <w:r>
        <w:t xml:space="preserve"> </w:t>
      </w:r>
      <w:r w:rsidR="00DF63F6">
        <w:t>and</w:t>
      </w:r>
      <w:r w:rsidR="008F768D">
        <w:t xml:space="preserve">, as relevant, </w:t>
      </w:r>
      <w:r w:rsidR="00DF63F6">
        <w:t>include non-economic damages</w:t>
      </w:r>
      <w:r w:rsidR="00DF63F6">
        <w:rPr>
          <w:rStyle w:val="FootnoteReference"/>
        </w:rPr>
        <w:footnoteReference w:id="137"/>
      </w:r>
      <w:r w:rsidR="00DF63F6">
        <w:t xml:space="preserve"> so as to demonstrate that a given right (such as privacy) is “deeply valued by the community.”</w:t>
      </w:r>
      <w:r w:rsidR="00DF63F6">
        <w:rPr>
          <w:rStyle w:val="FootnoteReference"/>
        </w:rPr>
        <w:footnoteReference w:id="138"/>
      </w:r>
      <w:r w:rsidR="00DF63F6">
        <w:t xml:space="preserve"> </w:t>
      </w:r>
      <w:r w:rsidR="008F768D">
        <w:t xml:space="preserve">The engine driving protection of the privacy interest is its constitutional </w:t>
      </w:r>
      <w:r w:rsidR="00E55ADD">
        <w:t xml:space="preserve">status, one </w:t>
      </w:r>
      <w:r w:rsidR="0057019E">
        <w:t xml:space="preserve">which goes </w:t>
      </w:r>
      <w:r w:rsidR="008F768D">
        <w:t>to individual dignity</w:t>
      </w:r>
      <w:r w:rsidR="008F768D">
        <w:rPr>
          <w:rStyle w:val="FootnoteReference"/>
        </w:rPr>
        <w:footnoteReference w:id="139"/>
      </w:r>
      <w:r w:rsidR="008F768D">
        <w:t xml:space="preserve"> </w:t>
      </w:r>
      <w:r w:rsidR="00E55ADD">
        <w:t xml:space="preserve">and </w:t>
      </w:r>
      <w:r w:rsidR="008F768D">
        <w:t xml:space="preserve">with close links to dignitary torts, both traditional and more recently emerging.  </w:t>
      </w:r>
    </w:p>
    <w:p w14:paraId="6CD5D99F" w14:textId="77777777" w:rsidR="008F768D" w:rsidRDefault="008F768D" w:rsidP="00887F9C">
      <w:pPr>
        <w:ind w:firstLine="720"/>
        <w:contextualSpacing/>
      </w:pPr>
    </w:p>
    <w:p w14:paraId="55A103D4" w14:textId="32176070" w:rsidR="0057019E" w:rsidRDefault="0057019E" w:rsidP="00B90ADB">
      <w:pPr>
        <w:ind w:firstLine="720"/>
        <w:contextualSpacing/>
      </w:pPr>
      <w:r>
        <w:t>A central,</w:t>
      </w:r>
      <w:r w:rsidR="008F768D">
        <w:t xml:space="preserve"> </w:t>
      </w:r>
      <w:r w:rsidR="004C14A0">
        <w:t xml:space="preserve">underlying purpose </w:t>
      </w:r>
      <w:r w:rsidR="008F768D">
        <w:t xml:space="preserve">of </w:t>
      </w:r>
      <w:r w:rsidR="008F768D" w:rsidRPr="008A30A9">
        <w:rPr>
          <w:i/>
          <w:iCs/>
        </w:rPr>
        <w:t>PIPEDA</w:t>
      </w:r>
      <w:r w:rsidR="008F768D">
        <w:t xml:space="preserve"> </w:t>
      </w:r>
      <w:r w:rsidR="005D6945">
        <w:t xml:space="preserve">– </w:t>
      </w:r>
      <w:r w:rsidR="0078225C">
        <w:t xml:space="preserve">namely, </w:t>
      </w:r>
      <w:r w:rsidR="005D6945">
        <w:t>the protection of consumer privacy</w:t>
      </w:r>
      <w:r w:rsidR="000D05D6">
        <w:t xml:space="preserve"> – </w:t>
      </w:r>
      <w:r w:rsidR="005D6945">
        <w:t>has</w:t>
      </w:r>
      <w:r w:rsidR="004C14A0">
        <w:t xml:space="preserve"> been </w:t>
      </w:r>
      <w:r w:rsidR="005D6945">
        <w:t xml:space="preserve">well </w:t>
      </w:r>
      <w:r w:rsidR="004C14A0">
        <w:t>documente</w:t>
      </w:r>
      <w:r w:rsidR="005D6945">
        <w:t xml:space="preserve">d by the courts. </w:t>
      </w:r>
      <w:r>
        <w:t>Judge</w:t>
      </w:r>
      <w:r w:rsidR="005D6945">
        <w:t xml:space="preserve">s are to set damages as a </w:t>
      </w:r>
      <w:r w:rsidR="005D6945">
        <w:lastRenderedPageBreak/>
        <w:t>“meaningful response</w:t>
      </w:r>
      <w:r>
        <w:t>,</w:t>
      </w:r>
      <w:r w:rsidR="005D6945">
        <w:t>”</w:t>
      </w:r>
      <w:r w:rsidR="005D6945">
        <w:rPr>
          <w:rStyle w:val="FootnoteReference"/>
        </w:rPr>
        <w:footnoteReference w:id="140"/>
      </w:r>
      <w:r w:rsidR="005D6945">
        <w:t xml:space="preserve"> </w:t>
      </w:r>
      <w:r>
        <w:t xml:space="preserve">to a given </w:t>
      </w:r>
      <w:r w:rsidRPr="008A30A9">
        <w:rPr>
          <w:i/>
          <w:iCs/>
        </w:rPr>
        <w:t>PIPEDA</w:t>
      </w:r>
      <w:r>
        <w:t xml:space="preserve"> breach, with reference to the important </w:t>
      </w:r>
      <w:r w:rsidR="005D6945">
        <w:t xml:space="preserve">functions of </w:t>
      </w:r>
      <w:r w:rsidR="004C14A0">
        <w:t>compensat</w:t>
      </w:r>
      <w:r w:rsidR="00DF63F6">
        <w:t xml:space="preserve">ion, vindication, and </w:t>
      </w:r>
      <w:r w:rsidR="004C14A0">
        <w:t>deter</w:t>
      </w:r>
      <w:r w:rsidR="00DF63F6">
        <w:t>rence.</w:t>
      </w:r>
      <w:r w:rsidR="004C14A0">
        <w:t xml:space="preserve"> </w:t>
      </w:r>
      <w:r w:rsidR="0078225C">
        <w:t xml:space="preserve">This </w:t>
      </w:r>
      <w:r w:rsidR="00852151">
        <w:t>article</w:t>
      </w:r>
      <w:r w:rsidR="0078225C">
        <w:t xml:space="preserve"> concludes </w:t>
      </w:r>
      <w:r>
        <w:t>that the case law has</w:t>
      </w:r>
      <w:r w:rsidR="0078225C">
        <w:t>, regrettably,</w:t>
      </w:r>
      <w:r>
        <w:t xml:space="preserve"> fallen short of </w:t>
      </w:r>
      <w:r w:rsidR="00C25E62">
        <w:t xml:space="preserve">serving </w:t>
      </w:r>
      <w:r w:rsidR="00C25E62" w:rsidRPr="008A30A9">
        <w:rPr>
          <w:i/>
          <w:iCs/>
        </w:rPr>
        <w:t>PIPEDA</w:t>
      </w:r>
      <w:r w:rsidR="00C25E62">
        <w:t>’s underlying purpose</w:t>
      </w:r>
      <w:r w:rsidR="00147D62">
        <w:t xml:space="preserve"> </w:t>
      </w:r>
      <w:r w:rsidR="00C25E62">
        <w:t xml:space="preserve">due </w:t>
      </w:r>
      <w:r w:rsidR="000D05D6">
        <w:t xml:space="preserve">to </w:t>
      </w:r>
      <w:r>
        <w:t>chronically low damage</w:t>
      </w:r>
      <w:r w:rsidR="000D05D6">
        <w:t xml:space="preserve"> awards</w:t>
      </w:r>
      <w:r>
        <w:t>. As noted</w:t>
      </w:r>
      <w:r w:rsidR="000D05D6">
        <w:t>,</w:t>
      </w:r>
      <w:r>
        <w:t xml:space="preserve"> </w:t>
      </w:r>
      <w:r w:rsidRPr="008A30A9">
        <w:rPr>
          <w:i/>
          <w:iCs/>
        </w:rPr>
        <w:t>PIPEDA</w:t>
      </w:r>
      <w:r>
        <w:t xml:space="preserve"> damage claims range between an average of $3,000 and $5,000 and</w:t>
      </w:r>
      <w:r w:rsidR="000D05D6">
        <w:t>,</w:t>
      </w:r>
      <w:r w:rsidR="003316CA">
        <w:t xml:space="preserve"> in just over 20 years, only 24</w:t>
      </w:r>
      <w:r>
        <w:t xml:space="preserve"> applications for </w:t>
      </w:r>
      <w:r w:rsidRPr="003061DB">
        <w:rPr>
          <w:i/>
          <w:iCs/>
        </w:rPr>
        <w:t>PIPEDA</w:t>
      </w:r>
      <w:r>
        <w:t xml:space="preserve"> damages have been brought </w:t>
      </w:r>
      <w:r w:rsidRPr="003061DB">
        <w:t>forward</w:t>
      </w:r>
      <w:r>
        <w:t>.</w:t>
      </w:r>
    </w:p>
    <w:p w14:paraId="57202A17" w14:textId="7B610F9D" w:rsidR="0057019E" w:rsidRDefault="0057019E" w:rsidP="00E55ADD">
      <w:pPr>
        <w:ind w:firstLine="720"/>
        <w:contextualSpacing/>
      </w:pPr>
      <w:r>
        <w:t xml:space="preserve">  </w:t>
      </w:r>
      <w:r w:rsidR="00E55ADD">
        <w:t xml:space="preserve"> </w:t>
      </w:r>
    </w:p>
    <w:p w14:paraId="2D1FDA59" w14:textId="18355AC0" w:rsidR="00E55ADD" w:rsidRDefault="00E55ADD" w:rsidP="00E55ADD">
      <w:pPr>
        <w:ind w:firstLine="720"/>
        <w:contextualSpacing/>
      </w:pPr>
      <w:r>
        <w:t xml:space="preserve">The court in </w:t>
      </w:r>
      <w:proofErr w:type="spellStart"/>
      <w:r w:rsidR="00181947">
        <w:rPr>
          <w:i/>
          <w:iCs/>
        </w:rPr>
        <w:t>Miglialo</w:t>
      </w:r>
      <w:proofErr w:type="spellEnd"/>
      <w:r>
        <w:t xml:space="preserve"> is correct that “not every breach of </w:t>
      </w:r>
      <w:r w:rsidRPr="003061DB">
        <w:rPr>
          <w:i/>
          <w:iCs/>
        </w:rPr>
        <w:t>PIPEDA</w:t>
      </w:r>
      <w:r>
        <w:t xml:space="preserve">”, however nominal, should be transformed into an “opportunity for vindication in the form of the imposition of an </w:t>
      </w:r>
      <w:r w:rsidRPr="003061DB">
        <w:t>award</w:t>
      </w:r>
      <w:r>
        <w:t xml:space="preserve"> of damages.”</w:t>
      </w:r>
      <w:r>
        <w:rPr>
          <w:rStyle w:val="FootnoteReference"/>
        </w:rPr>
        <w:footnoteReference w:id="141"/>
      </w:r>
      <w:r w:rsidR="00C32362">
        <w:t xml:space="preserve"> </w:t>
      </w:r>
      <w:r w:rsidR="00147D62">
        <w:t>At the same time</w:t>
      </w:r>
      <w:r>
        <w:t xml:space="preserve">, </w:t>
      </w:r>
      <w:r w:rsidR="00147D62">
        <w:t xml:space="preserve">and </w:t>
      </w:r>
      <w:r>
        <w:t xml:space="preserve">to reiterate the Supreme Court of Canada’s observation in </w:t>
      </w:r>
      <w:r w:rsidRPr="003061DB">
        <w:rPr>
          <w:i/>
          <w:iCs/>
        </w:rPr>
        <w:t>Ward</w:t>
      </w:r>
      <w:r>
        <w:t xml:space="preserve">, an important purpose of </w:t>
      </w:r>
      <w:r w:rsidRPr="003061DB">
        <w:rPr>
          <w:i/>
          <w:iCs/>
        </w:rPr>
        <w:t>Charter</w:t>
      </w:r>
      <w:r>
        <w:t xml:space="preserve"> damages in relation to vindication is that constitutional rights “must be maintained and cannot be allowed to be whittled away by attrition.”</w:t>
      </w:r>
      <w:r>
        <w:rPr>
          <w:rStyle w:val="FootnoteReference"/>
        </w:rPr>
        <w:footnoteReference w:id="142"/>
      </w:r>
    </w:p>
    <w:p w14:paraId="69E55A9E" w14:textId="5F3049EA" w:rsidR="00E55ADD" w:rsidRDefault="00E55ADD" w:rsidP="00887F9C">
      <w:pPr>
        <w:ind w:firstLine="720"/>
        <w:contextualSpacing/>
      </w:pPr>
    </w:p>
    <w:p w14:paraId="5A908460" w14:textId="48AAE9BC" w:rsidR="00E55ADD" w:rsidRDefault="0057332D" w:rsidP="00887F9C">
      <w:pPr>
        <w:ind w:firstLine="720"/>
        <w:contextualSpacing/>
      </w:pPr>
      <w:r>
        <w:t>I</w:t>
      </w:r>
      <w:r w:rsidR="0078225C">
        <w:t xml:space="preserve">n relation to </w:t>
      </w:r>
      <w:r>
        <w:t xml:space="preserve">the protection of privacy via </w:t>
      </w:r>
      <w:r w:rsidR="0078225C">
        <w:t>damage claims</w:t>
      </w:r>
      <w:r>
        <w:t>, attrition</w:t>
      </w:r>
      <w:r w:rsidR="0078225C">
        <w:t xml:space="preserve"> i</w:t>
      </w:r>
      <w:r w:rsidR="00E55ADD">
        <w:t xml:space="preserve">s the risk faced by </w:t>
      </w:r>
      <w:r w:rsidR="00E55ADD" w:rsidRPr="008A30A9">
        <w:rPr>
          <w:i/>
          <w:iCs/>
        </w:rPr>
        <w:t>PIPEDA</w:t>
      </w:r>
      <w:r w:rsidR="00E55ADD">
        <w:t xml:space="preserve"> and, unless carefully formulated, any successor legislation. </w:t>
      </w:r>
    </w:p>
    <w:p w14:paraId="18C97A74" w14:textId="77777777" w:rsidR="00E55ADD" w:rsidRDefault="00E55ADD" w:rsidP="00887F9C">
      <w:pPr>
        <w:ind w:firstLine="720"/>
        <w:contextualSpacing/>
      </w:pPr>
    </w:p>
    <w:p w14:paraId="333D968D" w14:textId="7961AC7A" w:rsidR="005B4BFE" w:rsidRDefault="005B4BFE" w:rsidP="005B4BFE">
      <w:pPr>
        <w:ind w:firstLine="720"/>
      </w:pPr>
      <w:r>
        <w:t xml:space="preserve">[see next page for </w:t>
      </w:r>
      <w:r w:rsidR="004432D6">
        <w:t>A</w:t>
      </w:r>
      <w:r>
        <w:t>ppendices]</w:t>
      </w:r>
    </w:p>
    <w:p w14:paraId="507F2E1A" w14:textId="58CAA38F" w:rsidR="0068690C" w:rsidRPr="008D5924" w:rsidRDefault="00D921A9" w:rsidP="0068690C">
      <w:pPr>
        <w:ind w:firstLine="720"/>
        <w:rPr>
          <w:rFonts w:asciiTheme="minorHAnsi" w:hAnsiTheme="minorHAnsi" w:cstheme="minorHAnsi"/>
          <w:color w:val="272627"/>
          <w:sz w:val="22"/>
          <w:szCs w:val="22"/>
          <w:lang w:val="en-US"/>
        </w:rPr>
      </w:pPr>
      <w:r>
        <w:rPr>
          <w:rStyle w:val="Hyperlink"/>
        </w:rPr>
        <w:br w:type="page"/>
      </w:r>
    </w:p>
    <w:p w14:paraId="54380045" w14:textId="77777777" w:rsidR="0068690C" w:rsidRPr="00FF2575" w:rsidRDefault="0068690C" w:rsidP="0068690C">
      <w:pPr>
        <w:ind w:firstLine="720"/>
        <w:jc w:val="center"/>
        <w:rPr>
          <w:b/>
          <w:bCs/>
        </w:rPr>
      </w:pPr>
      <w:r w:rsidRPr="00FF2575">
        <w:rPr>
          <w:b/>
        </w:rPr>
        <w:lastRenderedPageBreak/>
        <w:t xml:space="preserve">Appendix A:  Successful Applications for Damages under </w:t>
      </w:r>
      <w:r w:rsidRPr="003061DB">
        <w:rPr>
          <w:b/>
          <w:i/>
          <w:iCs/>
        </w:rPr>
        <w:t>PIPEDA</w:t>
      </w:r>
      <w:r>
        <w:rPr>
          <w:b/>
        </w:rPr>
        <w:t xml:space="preserve"> in a Commercial Context</w:t>
      </w:r>
      <w:r w:rsidRPr="00FF2575">
        <w:rPr>
          <w:b/>
        </w:rPr>
        <w:t xml:space="preserve"> **</w:t>
      </w:r>
    </w:p>
    <w:p w14:paraId="036F3E66" w14:textId="77777777" w:rsidR="0068690C" w:rsidRPr="00FF2575" w:rsidRDefault="0068690C" w:rsidP="0068690C">
      <w:pPr>
        <w:jc w:val="center"/>
        <w:rPr>
          <w:b/>
          <w:bCs/>
        </w:rPr>
      </w:pPr>
      <w:bookmarkStart w:id="22" w:name="_Hlk70925794"/>
      <w:r w:rsidRPr="00FF2575">
        <w:rPr>
          <w:b/>
        </w:rPr>
        <w:t>(**as at May 2, 2021)</w:t>
      </w:r>
    </w:p>
    <w:bookmarkEnd w:id="22"/>
    <w:p w14:paraId="5DB96EAC" w14:textId="77777777" w:rsidR="0068690C" w:rsidRPr="00B97791" w:rsidRDefault="0068690C" w:rsidP="0068690C">
      <w:pPr>
        <w:rPr>
          <w:rFonts w:ascii="Times New Roman" w:hAnsi="Times New Roman" w:cs="Times New Roman"/>
          <w:b/>
          <w:bCs/>
        </w:rPr>
      </w:pPr>
    </w:p>
    <w:tbl>
      <w:tblPr>
        <w:tblStyle w:val="TableGrid"/>
        <w:tblW w:w="9634" w:type="dxa"/>
        <w:tblLook w:val="04A0" w:firstRow="1" w:lastRow="0" w:firstColumn="1" w:lastColumn="0" w:noHBand="0" w:noVBand="1"/>
      </w:tblPr>
      <w:tblGrid>
        <w:gridCol w:w="2155"/>
        <w:gridCol w:w="2340"/>
        <w:gridCol w:w="3240"/>
        <w:gridCol w:w="1899"/>
      </w:tblGrid>
      <w:tr w:rsidR="0068690C" w14:paraId="67301E50" w14:textId="77777777" w:rsidTr="008E5CBF">
        <w:trPr>
          <w:tblHeader/>
        </w:trPr>
        <w:tc>
          <w:tcPr>
            <w:tcW w:w="2155" w:type="dxa"/>
          </w:tcPr>
          <w:p w14:paraId="2DD7AF5A"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466ED4A1"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Case</w:t>
            </w:r>
          </w:p>
          <w:p w14:paraId="24E00286"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tc>
        <w:tc>
          <w:tcPr>
            <w:tcW w:w="2340" w:type="dxa"/>
          </w:tcPr>
          <w:p w14:paraId="40CDA6F2"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2C8A6AB5"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Facts</w:t>
            </w:r>
          </w:p>
          <w:p w14:paraId="552C5E98"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tc>
        <w:tc>
          <w:tcPr>
            <w:tcW w:w="3240" w:type="dxa"/>
          </w:tcPr>
          <w:p w14:paraId="2235D9F1"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06F6BB89"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Judicial Analysis</w:t>
            </w:r>
          </w:p>
        </w:tc>
        <w:tc>
          <w:tcPr>
            <w:tcW w:w="1899" w:type="dxa"/>
          </w:tcPr>
          <w:p w14:paraId="42852719"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0939C9FE"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Quantum</w:t>
            </w:r>
          </w:p>
          <w:p w14:paraId="0906DBEF" w14:textId="77777777" w:rsidR="0068690C" w:rsidRPr="00374DE4" w:rsidRDefault="0068690C" w:rsidP="008E5CBF">
            <w:pPr>
              <w:autoSpaceDE w:val="0"/>
              <w:autoSpaceDN w:val="0"/>
              <w:adjustRightInd w:val="0"/>
              <w:jc w:val="center"/>
              <w:rPr>
                <w:rFonts w:ascii="Times New Roman" w:hAnsi="Times New Roman" w:cs="Times New Roman"/>
                <w:b/>
                <w:bCs w:val="0"/>
                <w:smallCaps/>
                <w:color w:val="272627"/>
                <w:sz w:val="24"/>
                <w:szCs w:val="24"/>
              </w:rPr>
            </w:pPr>
          </w:p>
        </w:tc>
      </w:tr>
      <w:tr w:rsidR="0068690C" w14:paraId="2652E329" w14:textId="77777777" w:rsidTr="008E5CBF">
        <w:trPr>
          <w:trHeight w:val="948"/>
        </w:trPr>
        <w:tc>
          <w:tcPr>
            <w:tcW w:w="2155" w:type="dxa"/>
          </w:tcPr>
          <w:p w14:paraId="3C07CFA2" w14:textId="77777777" w:rsidR="0068690C" w:rsidRDefault="0068690C" w:rsidP="008E5CBF">
            <w:pPr>
              <w:autoSpaceDE w:val="0"/>
              <w:autoSpaceDN w:val="0"/>
              <w:adjustRightInd w:val="0"/>
              <w:rPr>
                <w:b/>
                <w:bCs w:val="0"/>
              </w:rPr>
            </w:pPr>
            <w:r>
              <w:rPr>
                <w:b/>
                <w:bCs w:val="0"/>
                <w:i/>
                <w:iCs/>
              </w:rPr>
              <w:t>1.</w:t>
            </w:r>
            <w:r w:rsidRPr="004112E8">
              <w:rPr>
                <w:b/>
                <w:bCs w:val="0"/>
                <w:i/>
                <w:iCs/>
              </w:rPr>
              <w:t>Montalbo v Royal Bank of Canada</w:t>
            </w:r>
            <w:r w:rsidRPr="004112E8">
              <w:rPr>
                <w:b/>
                <w:bCs w:val="0"/>
              </w:rPr>
              <w:t>, 2018 FC 1155</w:t>
            </w:r>
          </w:p>
          <w:p w14:paraId="12B55B43" w14:textId="77777777" w:rsidR="0068690C" w:rsidRPr="00D711EA" w:rsidRDefault="0068690C" w:rsidP="008E5CBF">
            <w:pPr>
              <w:autoSpaceDE w:val="0"/>
              <w:autoSpaceDN w:val="0"/>
              <w:adjustRightInd w:val="0"/>
              <w:rPr>
                <w:rFonts w:cs="Times New Roman"/>
                <w:color w:val="272627"/>
              </w:rPr>
            </w:pPr>
            <w:r>
              <w:rPr>
                <w:color w:val="272627"/>
              </w:rPr>
              <w:t>[cites Randall at para 60]</w:t>
            </w:r>
          </w:p>
        </w:tc>
        <w:tc>
          <w:tcPr>
            <w:tcW w:w="2340" w:type="dxa"/>
          </w:tcPr>
          <w:p w14:paraId="527AD1E9" w14:textId="77777777" w:rsidR="0068690C" w:rsidRPr="004A3BD7" w:rsidRDefault="0068690C" w:rsidP="008E5CBF">
            <w:pPr>
              <w:autoSpaceDE w:val="0"/>
              <w:autoSpaceDN w:val="0"/>
              <w:adjustRightInd w:val="0"/>
              <w:rPr>
                <w:rFonts w:cs="Times New Roman"/>
                <w:color w:val="272627"/>
              </w:rPr>
            </w:pPr>
            <w:r>
              <w:t xml:space="preserve">Applicant alleged that the Royal Bank failed to safeguard her personal information disclosed in relation to her residential property mortgage application. </w:t>
            </w:r>
          </w:p>
        </w:tc>
        <w:tc>
          <w:tcPr>
            <w:tcW w:w="3240" w:type="dxa"/>
          </w:tcPr>
          <w:p w14:paraId="4CD3B6CE" w14:textId="77777777" w:rsidR="0068690C" w:rsidRDefault="0068690C" w:rsidP="008E5CBF">
            <w:pPr>
              <w:autoSpaceDE w:val="0"/>
              <w:autoSpaceDN w:val="0"/>
              <w:adjustRightInd w:val="0"/>
              <w:rPr>
                <w:rFonts w:cs="Times New Roman"/>
                <w:color w:val="272627"/>
              </w:rPr>
            </w:pPr>
            <w:r>
              <w:rPr>
                <w:rFonts w:cs="Times New Roman"/>
                <w:color w:val="272627"/>
              </w:rPr>
              <w:t>Court agreed that the Royal Bank’s safeguards were inadequate, at para 47 and that the financial information was “highly sensitive” at para 45</w:t>
            </w:r>
          </w:p>
          <w:p w14:paraId="7118CA89" w14:textId="77777777" w:rsidR="0068690C" w:rsidRPr="008D18B7" w:rsidRDefault="0068690C" w:rsidP="008E5CBF">
            <w:pPr>
              <w:autoSpaceDE w:val="0"/>
              <w:autoSpaceDN w:val="0"/>
              <w:adjustRightInd w:val="0"/>
              <w:rPr>
                <w:rFonts w:cs="Times New Roman"/>
                <w:i/>
                <w:color w:val="272627"/>
              </w:rPr>
            </w:pPr>
          </w:p>
        </w:tc>
        <w:tc>
          <w:tcPr>
            <w:tcW w:w="1899" w:type="dxa"/>
          </w:tcPr>
          <w:p w14:paraId="5F1ED178" w14:textId="77777777" w:rsidR="0068690C" w:rsidRDefault="0068690C" w:rsidP="008E5CBF">
            <w:pPr>
              <w:autoSpaceDE w:val="0"/>
              <w:autoSpaceDN w:val="0"/>
              <w:adjustRightInd w:val="0"/>
              <w:rPr>
                <w:rFonts w:cs="Times New Roman"/>
                <w:color w:val="272627"/>
              </w:rPr>
            </w:pPr>
            <w:r w:rsidRPr="00D735C1">
              <w:rPr>
                <w:rFonts w:cs="Times New Roman"/>
                <w:b/>
                <w:bCs w:val="0"/>
                <w:color w:val="272627"/>
              </w:rPr>
              <w:t>$2,000</w:t>
            </w:r>
            <w:r>
              <w:rPr>
                <w:rFonts w:cs="Times New Roman"/>
                <w:color w:val="272627"/>
              </w:rPr>
              <w:t xml:space="preserve"> in “nominal” damages for “some anxiety and stress” at para 62 </w:t>
            </w:r>
          </w:p>
          <w:p w14:paraId="3C56D16B" w14:textId="77777777" w:rsidR="0068690C" w:rsidRDefault="0068690C" w:rsidP="008E5CBF">
            <w:pPr>
              <w:autoSpaceDE w:val="0"/>
              <w:autoSpaceDN w:val="0"/>
              <w:adjustRightInd w:val="0"/>
              <w:rPr>
                <w:rFonts w:cs="Times New Roman"/>
                <w:color w:val="272627"/>
              </w:rPr>
            </w:pPr>
            <w:r>
              <w:rPr>
                <w:rFonts w:cs="Times New Roman"/>
                <w:color w:val="272627"/>
              </w:rPr>
              <w:t>plus $800 costs to the self-represented litigant, at para 63.</w:t>
            </w:r>
          </w:p>
          <w:p w14:paraId="69ACD421" w14:textId="77777777" w:rsidR="0068690C" w:rsidRPr="004A3BD7" w:rsidRDefault="0068690C" w:rsidP="008E5CBF">
            <w:pPr>
              <w:autoSpaceDE w:val="0"/>
              <w:autoSpaceDN w:val="0"/>
              <w:adjustRightInd w:val="0"/>
              <w:rPr>
                <w:rFonts w:cs="Times New Roman"/>
                <w:color w:val="272627"/>
              </w:rPr>
            </w:pPr>
          </w:p>
        </w:tc>
      </w:tr>
      <w:tr w:rsidR="0068690C" w14:paraId="61CDF097" w14:textId="77777777" w:rsidTr="008E5CBF">
        <w:trPr>
          <w:trHeight w:val="526"/>
        </w:trPr>
        <w:tc>
          <w:tcPr>
            <w:tcW w:w="2155" w:type="dxa"/>
          </w:tcPr>
          <w:p w14:paraId="54E16852" w14:textId="77777777" w:rsidR="0068690C" w:rsidRPr="00777E53" w:rsidRDefault="0068690C" w:rsidP="008E5CBF">
            <w:pPr>
              <w:autoSpaceDE w:val="0"/>
              <w:autoSpaceDN w:val="0"/>
              <w:adjustRightInd w:val="0"/>
              <w:rPr>
                <w:rFonts w:cs="Times New Roman"/>
                <w:b/>
                <w:bCs w:val="0"/>
                <w:color w:val="272627"/>
              </w:rPr>
            </w:pPr>
            <w:bookmarkStart w:id="23" w:name="_Hlk75498944"/>
            <w:r>
              <w:rPr>
                <w:rFonts w:cs="Times New Roman"/>
                <w:b/>
                <w:bCs w:val="0"/>
                <w:i/>
                <w:iCs/>
                <w:color w:val="272627"/>
              </w:rPr>
              <w:t xml:space="preserve">2. </w:t>
            </w:r>
            <w:r w:rsidRPr="00777E53">
              <w:rPr>
                <w:rFonts w:cs="Times New Roman"/>
                <w:b/>
                <w:bCs w:val="0"/>
                <w:i/>
                <w:iCs/>
                <w:color w:val="272627"/>
              </w:rPr>
              <w:t>AT v Globe24H.com</w:t>
            </w:r>
            <w:r w:rsidRPr="00777E53">
              <w:rPr>
                <w:rFonts w:cs="Times New Roman"/>
                <w:b/>
                <w:bCs w:val="0"/>
                <w:color w:val="272627"/>
              </w:rPr>
              <w:t>,</w:t>
            </w:r>
            <w:r w:rsidRPr="00777E53">
              <w:rPr>
                <w:rFonts w:cs="Times New Roman"/>
                <w:b/>
                <w:bCs w:val="0"/>
                <w:i/>
                <w:iCs/>
                <w:color w:val="272627"/>
              </w:rPr>
              <w:t xml:space="preserve"> </w:t>
            </w:r>
            <w:r w:rsidRPr="00777E53">
              <w:rPr>
                <w:rFonts w:cs="Times New Roman"/>
                <w:b/>
                <w:bCs w:val="0"/>
                <w:color w:val="272627"/>
              </w:rPr>
              <w:t>2017 FC 114</w:t>
            </w:r>
          </w:p>
          <w:p w14:paraId="666BF61E" w14:textId="77777777" w:rsidR="0068690C" w:rsidRPr="00015FF4" w:rsidRDefault="0068690C" w:rsidP="008E5CBF">
            <w:pPr>
              <w:autoSpaceDE w:val="0"/>
              <w:autoSpaceDN w:val="0"/>
              <w:adjustRightInd w:val="0"/>
              <w:rPr>
                <w:rFonts w:cs="Times New Roman"/>
                <w:color w:val="272627"/>
              </w:rPr>
            </w:pPr>
          </w:p>
        </w:tc>
        <w:tc>
          <w:tcPr>
            <w:tcW w:w="2340" w:type="dxa"/>
          </w:tcPr>
          <w:p w14:paraId="56CDBF0E" w14:textId="77777777" w:rsidR="0068690C" w:rsidRPr="004A3BD7" w:rsidRDefault="0068690C" w:rsidP="008E5CBF">
            <w:pPr>
              <w:autoSpaceDE w:val="0"/>
              <w:autoSpaceDN w:val="0"/>
              <w:adjustRightInd w:val="0"/>
              <w:rPr>
                <w:rFonts w:cs="Times New Roman"/>
                <w:color w:val="272627"/>
              </w:rPr>
            </w:pPr>
            <w:r>
              <w:t xml:space="preserve">The respondent was a Romanian website that published Canadian court and tribunal decisions. The website, unlike similar Canadian counterparts, allowed the decisions to be located via search engines like Google, at para 10. Further, the respondent indexed decisions such that “Googling” an individual’s name would show decisions concerning them, including those involving highly personal information like HIV status, divorce proceedings and personal bankruptcy, at para 13.   The respondent would then demand payment to remove the information from its website, at para 15. The Applicant claimed his privacy rights were violated when the Respondent published a </w:t>
            </w:r>
            <w:proofErr w:type="spellStart"/>
            <w:r>
              <w:t>labour</w:t>
            </w:r>
            <w:proofErr w:type="spellEnd"/>
            <w:r>
              <w:t xml:space="preserve"> board decision in </w:t>
            </w:r>
            <w:r>
              <w:lastRenderedPageBreak/>
              <w:t xml:space="preserve">which the complainant was a party.  </w:t>
            </w:r>
          </w:p>
        </w:tc>
        <w:tc>
          <w:tcPr>
            <w:tcW w:w="3240" w:type="dxa"/>
          </w:tcPr>
          <w:p w14:paraId="2E2753FA" w14:textId="77777777" w:rsidR="0068690C" w:rsidRPr="004A3BD7" w:rsidRDefault="0068690C" w:rsidP="008E5CBF">
            <w:pPr>
              <w:pBdr>
                <w:top w:val="nil"/>
                <w:left w:val="nil"/>
                <w:bottom w:val="nil"/>
                <w:right w:val="nil"/>
                <w:between w:val="nil"/>
              </w:pBdr>
              <w:spacing w:line="259" w:lineRule="auto"/>
              <w:rPr>
                <w:rFonts w:cs="Times New Roman"/>
                <w:color w:val="272627"/>
              </w:rPr>
            </w:pPr>
            <w:r>
              <w:lastRenderedPageBreak/>
              <w:t xml:space="preserve">Respondent's breach was egregious because its business was to exploit the privacy of individuals for profit. Damages were appropriate remedy because: “the respondent has commercially benefited from the breach through targeted advertising and by requiring a fee for removing the personal information of individuals contained in the decisions. The respondent has also acted in bad faith in failing to take responsibility and rectify the problem” at para 103.  </w:t>
            </w:r>
          </w:p>
        </w:tc>
        <w:tc>
          <w:tcPr>
            <w:tcW w:w="1899" w:type="dxa"/>
          </w:tcPr>
          <w:p w14:paraId="35CD7A22" w14:textId="77777777" w:rsidR="0068690C" w:rsidRDefault="0068690C" w:rsidP="008E5CBF">
            <w:r w:rsidRPr="00D735C1">
              <w:rPr>
                <w:b/>
                <w:bCs w:val="0"/>
              </w:rPr>
              <w:t>$5,000</w:t>
            </w:r>
            <w:r>
              <w:t xml:space="preserve"> in damages, at para 103, plus $300 in costs to </w:t>
            </w:r>
            <w:r>
              <w:rPr>
                <w:rFonts w:cs="Times New Roman"/>
                <w:color w:val="272627"/>
              </w:rPr>
              <w:t xml:space="preserve">self-represented litigant, at para 104.  </w:t>
            </w:r>
          </w:p>
          <w:p w14:paraId="26D33BCD" w14:textId="77777777" w:rsidR="0068690C" w:rsidRDefault="0068690C" w:rsidP="008E5CBF"/>
          <w:p w14:paraId="10A9EBF6" w14:textId="77777777" w:rsidR="0068690C" w:rsidRPr="004A3BD7" w:rsidRDefault="0068690C" w:rsidP="008E5CBF">
            <w:pPr>
              <w:autoSpaceDE w:val="0"/>
              <w:autoSpaceDN w:val="0"/>
              <w:adjustRightInd w:val="0"/>
              <w:rPr>
                <w:rFonts w:cs="Times New Roman"/>
                <w:color w:val="272627"/>
              </w:rPr>
            </w:pPr>
          </w:p>
        </w:tc>
      </w:tr>
      <w:tr w:rsidR="0068690C" w14:paraId="30A5D53F" w14:textId="77777777" w:rsidTr="008E5CBF">
        <w:trPr>
          <w:trHeight w:val="526"/>
        </w:trPr>
        <w:tc>
          <w:tcPr>
            <w:tcW w:w="2155" w:type="dxa"/>
          </w:tcPr>
          <w:p w14:paraId="3493C1D9" w14:textId="77777777" w:rsidR="0068690C" w:rsidRDefault="0068690C" w:rsidP="008E5CBF">
            <w:pPr>
              <w:autoSpaceDE w:val="0"/>
              <w:autoSpaceDN w:val="0"/>
              <w:adjustRightInd w:val="0"/>
              <w:rPr>
                <w:b/>
                <w:bCs w:val="0"/>
              </w:rPr>
            </w:pPr>
            <w:bookmarkStart w:id="24" w:name="_Hlk74581288"/>
            <w:bookmarkEnd w:id="23"/>
            <w:r>
              <w:rPr>
                <w:b/>
                <w:bCs w:val="0"/>
                <w:i/>
                <w:highlight w:val="white"/>
              </w:rPr>
              <w:lastRenderedPageBreak/>
              <w:t xml:space="preserve">3. </w:t>
            </w:r>
            <w:r w:rsidRPr="00606511">
              <w:rPr>
                <w:b/>
                <w:bCs w:val="0"/>
                <w:i/>
                <w:highlight w:val="white"/>
              </w:rPr>
              <w:t>Cote v Day &amp; Ross Inc.</w:t>
            </w:r>
            <w:r w:rsidRPr="00606511">
              <w:rPr>
                <w:b/>
                <w:bCs w:val="0"/>
                <w:highlight w:val="white"/>
              </w:rPr>
              <w:t>, 2015 FC 1283</w:t>
            </w:r>
          </w:p>
          <w:p w14:paraId="23807860" w14:textId="77777777" w:rsidR="0068690C" w:rsidRPr="00606511" w:rsidRDefault="0068690C" w:rsidP="008E5CBF">
            <w:pPr>
              <w:autoSpaceDE w:val="0"/>
              <w:autoSpaceDN w:val="0"/>
              <w:adjustRightInd w:val="0"/>
              <w:rPr>
                <w:rFonts w:cs="Times New Roman"/>
                <w:b/>
                <w:bCs w:val="0"/>
                <w:i/>
                <w:iCs/>
                <w:color w:val="272627"/>
              </w:rPr>
            </w:pPr>
          </w:p>
        </w:tc>
        <w:tc>
          <w:tcPr>
            <w:tcW w:w="2340" w:type="dxa"/>
          </w:tcPr>
          <w:p w14:paraId="1296CCDA" w14:textId="77777777" w:rsidR="0068690C" w:rsidRDefault="0068690C" w:rsidP="008E5CBF">
            <w:pPr>
              <w:autoSpaceDE w:val="0"/>
              <w:autoSpaceDN w:val="0"/>
              <w:adjustRightInd w:val="0"/>
            </w:pPr>
            <w:r>
              <w:t>Applicant’s employer was in possession of correspondence related to the applicant’s personal medical information and refused to properly disclose such correspondence to her on three occasions, at para 21.</w:t>
            </w:r>
          </w:p>
          <w:p w14:paraId="3E3D6FBB" w14:textId="77777777" w:rsidR="0068690C" w:rsidRDefault="0068690C" w:rsidP="008E5CBF">
            <w:pPr>
              <w:autoSpaceDE w:val="0"/>
              <w:autoSpaceDN w:val="0"/>
              <w:adjustRightInd w:val="0"/>
            </w:pPr>
          </w:p>
        </w:tc>
        <w:tc>
          <w:tcPr>
            <w:tcW w:w="3240" w:type="dxa"/>
          </w:tcPr>
          <w:p w14:paraId="55F43D09" w14:textId="77777777" w:rsidR="0068690C" w:rsidRDefault="0068690C" w:rsidP="008E5CBF">
            <w:pPr>
              <w:pBdr>
                <w:top w:val="nil"/>
                <w:left w:val="nil"/>
                <w:bottom w:val="nil"/>
                <w:right w:val="nil"/>
                <w:between w:val="nil"/>
              </w:pBdr>
              <w:spacing w:line="259" w:lineRule="auto"/>
            </w:pPr>
            <w:r>
              <w:rPr>
                <w:color w:val="000000"/>
              </w:rPr>
              <w:t xml:space="preserve">Court </w:t>
            </w:r>
            <w:r w:rsidRPr="003061DB">
              <w:rPr>
                <w:color w:val="000000"/>
              </w:rPr>
              <w:t>award</w:t>
            </w:r>
            <w:r>
              <w:rPr>
                <w:color w:val="000000"/>
              </w:rPr>
              <w:t xml:space="preserve">ed damages, noting such an </w:t>
            </w:r>
            <w:r w:rsidRPr="003061DB">
              <w:rPr>
                <w:color w:val="000000"/>
              </w:rPr>
              <w:t>award</w:t>
            </w:r>
            <w:r>
              <w:rPr>
                <w:color w:val="000000"/>
              </w:rPr>
              <w:t xml:space="preserve"> may make the respondent “</w:t>
            </w:r>
            <w:r>
              <w:t xml:space="preserve">more alert and sensitive to its obligations in the future” at para 21. </w:t>
            </w:r>
          </w:p>
        </w:tc>
        <w:tc>
          <w:tcPr>
            <w:tcW w:w="1899" w:type="dxa"/>
          </w:tcPr>
          <w:p w14:paraId="15D675E3" w14:textId="77777777" w:rsidR="0068690C" w:rsidRDefault="0068690C" w:rsidP="008E5CBF">
            <w:r w:rsidRPr="00606511">
              <w:rPr>
                <w:b/>
                <w:bCs w:val="0"/>
              </w:rPr>
              <w:t>$5,000</w:t>
            </w:r>
            <w:r>
              <w:t xml:space="preserve"> in damages, at para 25, plus $1,000 in costs to </w:t>
            </w:r>
            <w:r>
              <w:rPr>
                <w:rFonts w:cs="Times New Roman"/>
                <w:color w:val="272627"/>
              </w:rPr>
              <w:t>self-represented litigant,</w:t>
            </w:r>
            <w:r>
              <w:t xml:space="preserve"> at para 25.</w:t>
            </w:r>
          </w:p>
          <w:p w14:paraId="5F75435B" w14:textId="77777777" w:rsidR="0068690C" w:rsidRPr="00D735C1" w:rsidRDefault="0068690C" w:rsidP="008E5CBF">
            <w:pPr>
              <w:rPr>
                <w:b/>
                <w:bCs w:val="0"/>
              </w:rPr>
            </w:pPr>
          </w:p>
        </w:tc>
      </w:tr>
      <w:bookmarkEnd w:id="24"/>
      <w:tr w:rsidR="0068690C" w14:paraId="0CCC4C34" w14:textId="77777777" w:rsidTr="008E5CBF">
        <w:trPr>
          <w:trHeight w:val="526"/>
        </w:trPr>
        <w:tc>
          <w:tcPr>
            <w:tcW w:w="2155" w:type="dxa"/>
          </w:tcPr>
          <w:p w14:paraId="64F2ADE6" w14:textId="77777777" w:rsidR="0068690C" w:rsidRPr="00777E53" w:rsidRDefault="0068690C" w:rsidP="008E5CBF">
            <w:pPr>
              <w:autoSpaceDE w:val="0"/>
              <w:autoSpaceDN w:val="0"/>
              <w:adjustRightInd w:val="0"/>
              <w:rPr>
                <w:b/>
                <w:bCs w:val="0"/>
              </w:rPr>
            </w:pPr>
            <w:r>
              <w:rPr>
                <w:b/>
                <w:bCs w:val="0"/>
                <w:i/>
                <w:highlight w:val="white"/>
              </w:rPr>
              <w:t xml:space="preserve">4. </w:t>
            </w:r>
            <w:r w:rsidRPr="00777E53">
              <w:rPr>
                <w:b/>
                <w:bCs w:val="0"/>
                <w:i/>
                <w:highlight w:val="white"/>
              </w:rPr>
              <w:t>Blum v Mortgage Architects Inc.</w:t>
            </w:r>
            <w:r w:rsidRPr="00777E53">
              <w:rPr>
                <w:b/>
                <w:bCs w:val="0"/>
                <w:highlight w:val="white"/>
              </w:rPr>
              <w:t>, 2015 FC 323</w:t>
            </w:r>
          </w:p>
          <w:p w14:paraId="4D062C7E" w14:textId="77777777" w:rsidR="0068690C" w:rsidRDefault="0068690C" w:rsidP="008E5CBF">
            <w:pPr>
              <w:autoSpaceDE w:val="0"/>
              <w:autoSpaceDN w:val="0"/>
              <w:adjustRightInd w:val="0"/>
              <w:rPr>
                <w:rStyle w:val="solexhl"/>
              </w:rPr>
            </w:pPr>
          </w:p>
          <w:p w14:paraId="00E5B2BF" w14:textId="77777777" w:rsidR="0068690C" w:rsidRPr="008A30A9" w:rsidRDefault="0068690C" w:rsidP="008E5CBF">
            <w:pPr>
              <w:autoSpaceDE w:val="0"/>
              <w:autoSpaceDN w:val="0"/>
              <w:adjustRightInd w:val="0"/>
              <w:rPr>
                <w:rStyle w:val="solexhl"/>
                <w:rFonts w:ascii="Arial" w:hAnsi="Arial" w:cs="Arial"/>
                <w:sz w:val="24"/>
                <w:szCs w:val="24"/>
                <w:lang w:val="en-CA"/>
              </w:rPr>
            </w:pPr>
            <w:r w:rsidRPr="008A30A9">
              <w:rPr>
                <w:rStyle w:val="solexhl"/>
              </w:rPr>
              <w:t>[</w:t>
            </w:r>
            <w:r w:rsidRPr="008A30A9">
              <w:rPr>
                <w:rStyle w:val="solexhl"/>
                <w:i/>
                <w:iCs/>
              </w:rPr>
              <w:t xml:space="preserve">cites </w:t>
            </w:r>
            <w:proofErr w:type="spellStart"/>
            <w:r w:rsidRPr="008A30A9">
              <w:rPr>
                <w:rStyle w:val="solexhl"/>
                <w:i/>
                <w:iCs/>
              </w:rPr>
              <w:t>Girao</w:t>
            </w:r>
            <w:proofErr w:type="spellEnd"/>
            <w:r w:rsidRPr="008A30A9">
              <w:rPr>
                <w:rStyle w:val="solexhl"/>
                <w:i/>
                <w:iCs/>
              </w:rPr>
              <w:t>/Randall with approval, at para 15</w:t>
            </w:r>
            <w:r w:rsidRPr="0079705D">
              <w:rPr>
                <w:rStyle w:val="solexhl"/>
              </w:rPr>
              <w:t>]</w:t>
            </w:r>
          </w:p>
          <w:p w14:paraId="0706FC1E" w14:textId="77777777" w:rsidR="0068690C" w:rsidRDefault="0068690C" w:rsidP="008E5CBF">
            <w:pPr>
              <w:autoSpaceDE w:val="0"/>
              <w:autoSpaceDN w:val="0"/>
              <w:adjustRightInd w:val="0"/>
              <w:rPr>
                <w:rFonts w:cs="Times New Roman"/>
                <w:color w:val="272627"/>
              </w:rPr>
            </w:pPr>
          </w:p>
          <w:p w14:paraId="3202BD41" w14:textId="77777777" w:rsidR="0068690C" w:rsidRPr="00B74227" w:rsidRDefault="0068690C" w:rsidP="008E5CBF">
            <w:pPr>
              <w:autoSpaceDE w:val="0"/>
              <w:autoSpaceDN w:val="0"/>
              <w:adjustRightInd w:val="0"/>
              <w:rPr>
                <w:rFonts w:cs="Times New Roman"/>
                <w:color w:val="272627"/>
              </w:rPr>
            </w:pPr>
          </w:p>
        </w:tc>
        <w:tc>
          <w:tcPr>
            <w:tcW w:w="2340" w:type="dxa"/>
          </w:tcPr>
          <w:p w14:paraId="2E2327FD" w14:textId="77777777" w:rsidR="0068690C" w:rsidRPr="004A3BD7" w:rsidRDefault="0068690C" w:rsidP="008E5CBF">
            <w:pPr>
              <w:autoSpaceDE w:val="0"/>
              <w:autoSpaceDN w:val="0"/>
              <w:adjustRightInd w:val="0"/>
              <w:rPr>
                <w:rFonts w:cs="Times New Roman"/>
                <w:color w:val="272627"/>
              </w:rPr>
            </w:pPr>
            <w:r>
              <w:t>Applicant engaged in several transactions with the Mortgage Architects Inc (the respondent mortgage broker) but later defaulted under certain mortgages.  Without the Applicant’s consent, Mortgage Architects Inc sent emails to third parties mentioning applicant’s default and anticipated legal action against him, at paras 41 and 55. Applicant complained that the  purpose in releasing the personal information was “to foment trouble” and “encourage” the foreclosures, at para 57.</w:t>
            </w:r>
          </w:p>
        </w:tc>
        <w:tc>
          <w:tcPr>
            <w:tcW w:w="3240" w:type="dxa"/>
          </w:tcPr>
          <w:p w14:paraId="15C1EE0A" w14:textId="77777777" w:rsidR="0068690C" w:rsidRPr="004A3BD7" w:rsidRDefault="0068690C" w:rsidP="008E5CBF">
            <w:pPr>
              <w:autoSpaceDE w:val="0"/>
              <w:autoSpaceDN w:val="0"/>
              <w:adjustRightInd w:val="0"/>
              <w:rPr>
                <w:rFonts w:cs="Times New Roman"/>
                <w:color w:val="272627"/>
              </w:rPr>
            </w:pPr>
            <w:r>
              <w:rPr>
                <w:rFonts w:cs="Times New Roman"/>
                <w:color w:val="272627"/>
              </w:rPr>
              <w:t xml:space="preserve">While </w:t>
            </w:r>
            <w:r w:rsidRPr="003061DB">
              <w:rPr>
                <w:rFonts w:cs="Times New Roman"/>
                <w:i/>
                <w:iCs/>
                <w:color w:val="272627"/>
              </w:rPr>
              <w:t>PIPEDA</w:t>
            </w:r>
            <w:r>
              <w:rPr>
                <w:rFonts w:cs="Times New Roman"/>
                <w:color w:val="272627"/>
              </w:rPr>
              <w:t xml:space="preserve"> was violated, the applicant suffered no losses as a result. T</w:t>
            </w:r>
            <w:r>
              <w:t xml:space="preserve">he mortgages would have been foreclosed upon in any event, at para 56. </w:t>
            </w:r>
          </w:p>
          <w:p w14:paraId="4BD5BEA6" w14:textId="77777777" w:rsidR="0068690C" w:rsidRPr="004A3BD7" w:rsidRDefault="0068690C" w:rsidP="008E5CBF">
            <w:pPr>
              <w:autoSpaceDE w:val="0"/>
              <w:autoSpaceDN w:val="0"/>
              <w:adjustRightInd w:val="0"/>
              <w:rPr>
                <w:rFonts w:cs="Times New Roman"/>
                <w:color w:val="272627"/>
              </w:rPr>
            </w:pPr>
          </w:p>
        </w:tc>
        <w:tc>
          <w:tcPr>
            <w:tcW w:w="1899" w:type="dxa"/>
          </w:tcPr>
          <w:p w14:paraId="61FFD3A9" w14:textId="77777777" w:rsidR="0068690C" w:rsidRDefault="0068690C" w:rsidP="008E5CBF">
            <w:pPr>
              <w:autoSpaceDE w:val="0"/>
              <w:autoSpaceDN w:val="0"/>
              <w:adjustRightInd w:val="0"/>
              <w:rPr>
                <w:rFonts w:cs="Times New Roman"/>
                <w:color w:val="272627"/>
              </w:rPr>
            </w:pPr>
            <w:r w:rsidRPr="00D735C1">
              <w:rPr>
                <w:rFonts w:cs="Times New Roman"/>
                <w:b/>
                <w:bCs w:val="0"/>
                <w:color w:val="272627"/>
              </w:rPr>
              <w:t>$1,000</w:t>
            </w:r>
            <w:r>
              <w:rPr>
                <w:rFonts w:cs="Times New Roman"/>
                <w:color w:val="272627"/>
              </w:rPr>
              <w:t xml:space="preserve"> in “nominal” damages, at para 64.</w:t>
            </w:r>
          </w:p>
          <w:p w14:paraId="2E67EB63" w14:textId="77777777" w:rsidR="0068690C" w:rsidRDefault="0068690C" w:rsidP="008E5CBF">
            <w:pPr>
              <w:autoSpaceDE w:val="0"/>
              <w:autoSpaceDN w:val="0"/>
              <w:adjustRightInd w:val="0"/>
              <w:rPr>
                <w:rFonts w:cs="Times New Roman"/>
                <w:color w:val="272627"/>
              </w:rPr>
            </w:pPr>
          </w:p>
          <w:p w14:paraId="63BE0B81" w14:textId="77777777" w:rsidR="0068690C" w:rsidRPr="004A3BD7" w:rsidRDefault="0068690C" w:rsidP="008E5CBF">
            <w:pPr>
              <w:autoSpaceDE w:val="0"/>
              <w:autoSpaceDN w:val="0"/>
              <w:adjustRightInd w:val="0"/>
              <w:rPr>
                <w:rFonts w:cs="Times New Roman"/>
                <w:color w:val="272627"/>
              </w:rPr>
            </w:pPr>
            <w:r>
              <w:rPr>
                <w:rFonts w:cs="Times New Roman"/>
                <w:color w:val="272627"/>
              </w:rPr>
              <w:t xml:space="preserve">No costs </w:t>
            </w:r>
            <w:r w:rsidRPr="003061DB">
              <w:rPr>
                <w:rFonts w:cs="Times New Roman"/>
                <w:color w:val="272627"/>
              </w:rPr>
              <w:t>award</w:t>
            </w:r>
            <w:r>
              <w:rPr>
                <w:rFonts w:cs="Times New Roman"/>
                <w:color w:val="272627"/>
              </w:rPr>
              <w:t>ed to the respondent nor to the self-represented applicant, at para 65.</w:t>
            </w:r>
          </w:p>
        </w:tc>
      </w:tr>
      <w:tr w:rsidR="0068690C" w14:paraId="32E15AC0" w14:textId="77777777" w:rsidTr="008E5CBF">
        <w:trPr>
          <w:trHeight w:val="526"/>
        </w:trPr>
        <w:tc>
          <w:tcPr>
            <w:tcW w:w="2155" w:type="dxa"/>
          </w:tcPr>
          <w:p w14:paraId="14940F6E" w14:textId="77777777" w:rsidR="0068690C" w:rsidRPr="00C72FB0" w:rsidRDefault="0068690C" w:rsidP="008E5CBF">
            <w:pPr>
              <w:autoSpaceDE w:val="0"/>
              <w:autoSpaceDN w:val="0"/>
              <w:adjustRightInd w:val="0"/>
              <w:rPr>
                <w:b/>
                <w:bCs w:val="0"/>
                <w:i/>
                <w:highlight w:val="white"/>
              </w:rPr>
            </w:pPr>
            <w:bookmarkStart w:id="25" w:name="_Hlk74580640"/>
            <w:r>
              <w:rPr>
                <w:b/>
                <w:bCs w:val="0"/>
                <w:i/>
                <w:highlight w:val="white"/>
              </w:rPr>
              <w:t xml:space="preserve">5. </w:t>
            </w:r>
            <w:r w:rsidRPr="00C72FB0">
              <w:rPr>
                <w:b/>
                <w:bCs w:val="0"/>
                <w:i/>
                <w:highlight w:val="white"/>
              </w:rPr>
              <w:t>H</w:t>
            </w:r>
            <w:bookmarkStart w:id="26" w:name="_Hlk74580671"/>
            <w:r w:rsidRPr="00C72FB0">
              <w:rPr>
                <w:b/>
                <w:bCs w:val="0"/>
                <w:i/>
                <w:highlight w:val="white"/>
              </w:rPr>
              <w:t>enry v Bell Mobility</w:t>
            </w:r>
            <w:r w:rsidRPr="00C72FB0">
              <w:rPr>
                <w:b/>
                <w:bCs w:val="0"/>
                <w:highlight w:val="white"/>
              </w:rPr>
              <w:t>, 2014 FC 555</w:t>
            </w:r>
            <w:bookmarkEnd w:id="26"/>
          </w:p>
        </w:tc>
        <w:tc>
          <w:tcPr>
            <w:tcW w:w="2340" w:type="dxa"/>
          </w:tcPr>
          <w:p w14:paraId="0F20ACB5" w14:textId="77777777" w:rsidR="0068690C" w:rsidRDefault="0068690C" w:rsidP="008E5CBF">
            <w:pPr>
              <w:autoSpaceDE w:val="0"/>
              <w:autoSpaceDN w:val="0"/>
              <w:adjustRightInd w:val="0"/>
            </w:pPr>
            <w:r>
              <w:t>Bell Mobility revealed certain information about Henry’s mobile telephone account to an imposter who called a Bell Mobility representative, claiming to be the account holder, at paras 7 and 16.</w:t>
            </w:r>
          </w:p>
        </w:tc>
        <w:tc>
          <w:tcPr>
            <w:tcW w:w="3240" w:type="dxa"/>
          </w:tcPr>
          <w:p w14:paraId="738E42A4" w14:textId="77777777" w:rsidR="0068690C" w:rsidRDefault="0068690C" w:rsidP="008E5CBF">
            <w:pPr>
              <w:pBdr>
                <w:top w:val="nil"/>
                <w:left w:val="nil"/>
                <w:bottom w:val="nil"/>
                <w:right w:val="nil"/>
                <w:between w:val="nil"/>
              </w:pBdr>
              <w:spacing w:line="259" w:lineRule="auto"/>
            </w:pPr>
            <w:r>
              <w:rPr>
                <w:color w:val="000000"/>
              </w:rPr>
              <w:t xml:space="preserve">Court agreed that Bell had breached </w:t>
            </w:r>
            <w:r w:rsidRPr="003061DB">
              <w:rPr>
                <w:i/>
                <w:iCs/>
                <w:color w:val="000000"/>
              </w:rPr>
              <w:t>PIPEDA</w:t>
            </w:r>
            <w:r>
              <w:rPr>
                <w:color w:val="000000"/>
              </w:rPr>
              <w:t xml:space="preserve"> but that it caused no loss, at para 17.  Court </w:t>
            </w:r>
            <w:r w:rsidRPr="003061DB">
              <w:rPr>
                <w:color w:val="000000"/>
              </w:rPr>
              <w:t>award</w:t>
            </w:r>
            <w:r>
              <w:rPr>
                <w:color w:val="000000"/>
              </w:rPr>
              <w:t xml:space="preserve">ed damages, however, to “further the general objects of </w:t>
            </w:r>
            <w:r w:rsidRPr="003061DB">
              <w:rPr>
                <w:i/>
                <w:iCs/>
                <w:color w:val="000000"/>
              </w:rPr>
              <w:t>PIPEDA</w:t>
            </w:r>
            <w:r>
              <w:rPr>
                <w:color w:val="000000"/>
              </w:rPr>
              <w:t xml:space="preserve">” at para 19. </w:t>
            </w:r>
          </w:p>
          <w:p w14:paraId="339F71D5" w14:textId="77777777" w:rsidR="0068690C" w:rsidRDefault="0068690C" w:rsidP="008E5CBF">
            <w:pPr>
              <w:autoSpaceDE w:val="0"/>
              <w:autoSpaceDN w:val="0"/>
              <w:adjustRightInd w:val="0"/>
              <w:rPr>
                <w:rFonts w:cs="Times New Roman"/>
                <w:color w:val="272627"/>
              </w:rPr>
            </w:pPr>
          </w:p>
        </w:tc>
        <w:tc>
          <w:tcPr>
            <w:tcW w:w="1899" w:type="dxa"/>
          </w:tcPr>
          <w:p w14:paraId="06DED3B8" w14:textId="77777777" w:rsidR="0068690C" w:rsidRDefault="0068690C" w:rsidP="008E5CBF">
            <w:r w:rsidRPr="00D735C1">
              <w:rPr>
                <w:b/>
                <w:bCs w:val="0"/>
              </w:rPr>
              <w:t>$2,500</w:t>
            </w:r>
            <w:r>
              <w:t xml:space="preserve"> in damages, at para 27 plus</w:t>
            </w:r>
          </w:p>
          <w:p w14:paraId="2D6CFD6E" w14:textId="77777777" w:rsidR="0068690C" w:rsidRDefault="0068690C" w:rsidP="008E5CBF">
            <w:r>
              <w:t xml:space="preserve">$1,000 costs for the </w:t>
            </w:r>
            <w:r>
              <w:rPr>
                <w:rFonts w:cs="Times New Roman"/>
                <w:color w:val="272627"/>
              </w:rPr>
              <w:t>self-represented litigant</w:t>
            </w:r>
            <w:r>
              <w:t>, at para 27.</w:t>
            </w:r>
          </w:p>
          <w:p w14:paraId="494338A8" w14:textId="77777777" w:rsidR="0068690C" w:rsidRPr="00BE116C" w:rsidRDefault="0068690C" w:rsidP="008E5CBF">
            <w:pPr>
              <w:autoSpaceDE w:val="0"/>
              <w:autoSpaceDN w:val="0"/>
              <w:adjustRightInd w:val="0"/>
              <w:rPr>
                <w:rFonts w:cs="Times New Roman"/>
                <w:color w:val="272627"/>
              </w:rPr>
            </w:pPr>
          </w:p>
        </w:tc>
      </w:tr>
      <w:bookmarkEnd w:id="25"/>
      <w:tr w:rsidR="0068690C" w14:paraId="1826482D" w14:textId="77777777" w:rsidTr="008E5CBF">
        <w:trPr>
          <w:trHeight w:val="526"/>
        </w:trPr>
        <w:tc>
          <w:tcPr>
            <w:tcW w:w="2155" w:type="dxa"/>
          </w:tcPr>
          <w:p w14:paraId="0A6349CD" w14:textId="77777777" w:rsidR="0068690C" w:rsidRPr="008A30A9" w:rsidRDefault="0068690C" w:rsidP="008E5CBF">
            <w:pPr>
              <w:autoSpaceDE w:val="0"/>
              <w:autoSpaceDN w:val="0"/>
              <w:adjustRightInd w:val="0"/>
            </w:pPr>
            <w:r>
              <w:rPr>
                <w:b/>
                <w:bCs w:val="0"/>
                <w:i/>
              </w:rPr>
              <w:t xml:space="preserve">6. </w:t>
            </w:r>
            <w:proofErr w:type="spellStart"/>
            <w:r w:rsidRPr="00777E53">
              <w:rPr>
                <w:b/>
                <w:bCs w:val="0"/>
                <w:i/>
              </w:rPr>
              <w:t>Chitrakar</w:t>
            </w:r>
            <w:proofErr w:type="spellEnd"/>
            <w:r w:rsidRPr="00777E53">
              <w:rPr>
                <w:b/>
                <w:bCs w:val="0"/>
                <w:i/>
              </w:rPr>
              <w:t xml:space="preserve"> v Bell</w:t>
            </w:r>
            <w:r w:rsidRPr="00777E53">
              <w:rPr>
                <w:b/>
                <w:bCs w:val="0"/>
              </w:rPr>
              <w:t xml:space="preserve"> </w:t>
            </w:r>
            <w:r w:rsidRPr="00777E53">
              <w:rPr>
                <w:b/>
                <w:bCs w:val="0"/>
                <w:i/>
              </w:rPr>
              <w:t>TV</w:t>
            </w:r>
            <w:r w:rsidRPr="00777E53">
              <w:rPr>
                <w:b/>
                <w:bCs w:val="0"/>
              </w:rPr>
              <w:t>, 2013 FC 1103</w:t>
            </w:r>
          </w:p>
          <w:p w14:paraId="1E12ECFB" w14:textId="77777777" w:rsidR="0068690C" w:rsidRDefault="0068690C" w:rsidP="008E5CBF">
            <w:pPr>
              <w:autoSpaceDE w:val="0"/>
              <w:autoSpaceDN w:val="0"/>
              <w:adjustRightInd w:val="0"/>
              <w:rPr>
                <w:highlight w:val="white"/>
              </w:rPr>
            </w:pPr>
          </w:p>
          <w:p w14:paraId="571A12CD" w14:textId="77777777" w:rsidR="0068690C" w:rsidRPr="00777E53" w:rsidRDefault="0068690C" w:rsidP="008E5CBF">
            <w:pPr>
              <w:autoSpaceDE w:val="0"/>
              <w:autoSpaceDN w:val="0"/>
              <w:adjustRightInd w:val="0"/>
              <w:rPr>
                <w:b/>
                <w:bCs w:val="0"/>
                <w:i/>
                <w:highlight w:val="white"/>
              </w:rPr>
            </w:pPr>
            <w:r>
              <w:rPr>
                <w:highlight w:val="white"/>
              </w:rPr>
              <w:lastRenderedPageBreak/>
              <w:t>[A</w:t>
            </w:r>
            <w:r w:rsidRPr="007666CF">
              <w:rPr>
                <w:highlight w:val="white"/>
              </w:rPr>
              <w:t>ppears to</w:t>
            </w:r>
            <w:r>
              <w:rPr>
                <w:highlight w:val="white"/>
              </w:rPr>
              <w:t xml:space="preserve"> implicitly  criticize</w:t>
            </w:r>
            <w:r w:rsidRPr="007666CF">
              <w:rPr>
                <w:highlight w:val="white"/>
              </w:rPr>
              <w:t xml:space="preserve"> </w:t>
            </w:r>
            <w:r w:rsidRPr="008A30A9">
              <w:rPr>
                <w:i/>
                <w:highlight w:val="white"/>
              </w:rPr>
              <w:t xml:space="preserve">Randall </w:t>
            </w:r>
            <w:r w:rsidRPr="007666CF">
              <w:rPr>
                <w:highlight w:val="white"/>
              </w:rPr>
              <w:t>at para 24</w:t>
            </w:r>
            <w:r>
              <w:rPr>
                <w:highlight w:val="white"/>
              </w:rPr>
              <w:t>, without naming the case.]</w:t>
            </w:r>
          </w:p>
        </w:tc>
        <w:tc>
          <w:tcPr>
            <w:tcW w:w="2340" w:type="dxa"/>
          </w:tcPr>
          <w:p w14:paraId="1E503677" w14:textId="77777777" w:rsidR="0068690C" w:rsidRDefault="0068690C" w:rsidP="008E5CBF">
            <w:pPr>
              <w:autoSpaceDE w:val="0"/>
              <w:autoSpaceDN w:val="0"/>
              <w:adjustRightInd w:val="0"/>
            </w:pPr>
            <w:r>
              <w:lastRenderedPageBreak/>
              <w:t xml:space="preserve">The applicant ordered satellite television services from Bell TV and provided his signature on </w:t>
            </w:r>
            <w:r>
              <w:lastRenderedPageBreak/>
              <w:t xml:space="preserve">a “proof of delivery” device when the service was installed at para 5. Without </w:t>
            </w:r>
            <w:proofErr w:type="spellStart"/>
            <w:r>
              <w:t>Chitrakar’s</w:t>
            </w:r>
            <w:proofErr w:type="spellEnd"/>
            <w:r>
              <w:t xml:space="preserve"> permission, Bell went on to wrongfully embed the plaintiff’s signature from that device onto a TV rental agreement, which, in turn, permitted Bell to conduct credit checks, at paras 6-7.  Applicant found out that Bell </w:t>
            </w:r>
            <w:proofErr w:type="gramStart"/>
            <w:r>
              <w:t>had  ordered</w:t>
            </w:r>
            <w:proofErr w:type="gramEnd"/>
            <w:r>
              <w:t xml:space="preserve"> a credit check on him without his permission, at para 8. </w:t>
            </w:r>
          </w:p>
          <w:p w14:paraId="06462D9A" w14:textId="77777777" w:rsidR="0068690C" w:rsidRDefault="0068690C" w:rsidP="008E5CBF">
            <w:pPr>
              <w:autoSpaceDE w:val="0"/>
              <w:autoSpaceDN w:val="0"/>
              <w:adjustRightInd w:val="0"/>
            </w:pPr>
          </w:p>
          <w:p w14:paraId="4D503387" w14:textId="77777777" w:rsidR="0068690C" w:rsidRDefault="0068690C" w:rsidP="008E5CBF">
            <w:pPr>
              <w:autoSpaceDE w:val="0"/>
              <w:autoSpaceDN w:val="0"/>
              <w:adjustRightInd w:val="0"/>
            </w:pPr>
            <w:r>
              <w:t xml:space="preserve">Bell did not appear in proceedings before the privacy commissioner, though served, at para 15, nor respond to </w:t>
            </w:r>
            <w:proofErr w:type="spellStart"/>
            <w:r>
              <w:t>Chitrakar’s</w:t>
            </w:r>
            <w:proofErr w:type="spellEnd"/>
            <w:r>
              <w:t xml:space="preserve"> concerns nor even appear at the court hearing, at para 18.</w:t>
            </w:r>
          </w:p>
        </w:tc>
        <w:tc>
          <w:tcPr>
            <w:tcW w:w="3240" w:type="dxa"/>
          </w:tcPr>
          <w:p w14:paraId="18D59FEE" w14:textId="77777777" w:rsidR="0068690C" w:rsidRDefault="0068690C" w:rsidP="008E5CBF">
            <w:r>
              <w:lastRenderedPageBreak/>
              <w:t xml:space="preserve">Court described Bell TV’s </w:t>
            </w:r>
            <w:proofErr w:type="spellStart"/>
            <w:r>
              <w:t>behaviour</w:t>
            </w:r>
            <w:proofErr w:type="spellEnd"/>
            <w:r>
              <w:t xml:space="preserve"> as “reprehensible” in relation to the applicant’s privacy rights, at para 18, including in its failure to appear in </w:t>
            </w:r>
            <w:r>
              <w:lastRenderedPageBreak/>
              <w:t xml:space="preserve">the subject proceedings or follow the Privacy Commissioners recommendations in this matter, at para 18.  It acknowledged that Bell’s “hard check” on the applicant’s credit rating had an adverse effect on that rating, at para 20. </w:t>
            </w:r>
          </w:p>
          <w:p w14:paraId="566537CA" w14:textId="77777777" w:rsidR="0068690C" w:rsidRDefault="0068690C" w:rsidP="008E5CBF"/>
          <w:p w14:paraId="041A216B" w14:textId="77777777" w:rsidR="0068690C" w:rsidRDefault="0068690C" w:rsidP="008E5CBF">
            <w:r>
              <w:t xml:space="preserve">Court emphasized the importance of a damage </w:t>
            </w:r>
            <w:r w:rsidRPr="003061DB">
              <w:t>award</w:t>
            </w:r>
            <w:r>
              <w:t xml:space="preserve"> that would provide, at para 26, “meaningful compensation, deterrence and vindication”, particularly in relation to a large company like Bell, at para 27.   </w:t>
            </w:r>
          </w:p>
          <w:p w14:paraId="7980C1F6" w14:textId="77777777" w:rsidR="0068690C" w:rsidRDefault="0068690C" w:rsidP="008E5CBF"/>
          <w:p w14:paraId="5B9DEE21" w14:textId="77777777" w:rsidR="0068690C" w:rsidRDefault="0068690C" w:rsidP="008E5CBF">
            <w:r>
              <w:t xml:space="preserve">Without expressly mentioning the decision of </w:t>
            </w:r>
            <w:r>
              <w:rPr>
                <w:i/>
              </w:rPr>
              <w:t xml:space="preserve">Randall v </w:t>
            </w:r>
            <w:proofErr w:type="spellStart"/>
            <w:r>
              <w:rPr>
                <w:i/>
              </w:rPr>
              <w:t>Nubodys</w:t>
            </w:r>
            <w:proofErr w:type="spellEnd"/>
            <w:r>
              <w:rPr>
                <w:i/>
              </w:rPr>
              <w:t xml:space="preserve"> Fitness </w:t>
            </w:r>
            <w:proofErr w:type="spellStart"/>
            <w:r>
              <w:rPr>
                <w:i/>
              </w:rPr>
              <w:t>Centres</w:t>
            </w:r>
            <w:proofErr w:type="spellEnd"/>
            <w:r>
              <w:t xml:space="preserve">, 2010 FC 681 (summarized in Appendix B of this article), the court indirectly criticized it, stating at para </w:t>
            </w:r>
            <w:proofErr w:type="gramStart"/>
            <w:r>
              <w:t>24:</w:t>
            </w:r>
            <w:r>
              <w:rPr>
                <w:rFonts w:asciiTheme="minorHAnsi" w:hAnsiTheme="minorHAnsi" w:cstheme="minorHAnsi"/>
              </w:rPr>
              <w:t>“</w:t>
            </w:r>
            <w:proofErr w:type="gramEnd"/>
            <w:r>
              <w:rPr>
                <w:rFonts w:asciiTheme="minorHAnsi" w:hAnsiTheme="minorHAnsi" w:cstheme="minorHAnsi"/>
              </w:rPr>
              <w:t>there is</w:t>
            </w:r>
            <w:r w:rsidRPr="00AD3E80">
              <w:rPr>
                <w:rFonts w:asciiTheme="minorHAnsi" w:hAnsiTheme="minorHAnsi" w:cstheme="minorHAnsi"/>
              </w:rPr>
              <w:t xml:space="preserve"> no reason to require that the violation be egregious before damages will be </w:t>
            </w:r>
            <w:r w:rsidRPr="003061DB">
              <w:rPr>
                <w:rFonts w:asciiTheme="minorHAnsi" w:hAnsiTheme="minorHAnsi" w:cstheme="minorHAnsi"/>
              </w:rPr>
              <w:t>award</w:t>
            </w:r>
            <w:r w:rsidRPr="00AD3E80">
              <w:rPr>
                <w:rFonts w:asciiTheme="minorHAnsi" w:hAnsiTheme="minorHAnsi" w:cstheme="minorHAnsi"/>
              </w:rPr>
              <w:t>ed. To do so would undermine the legislative intent of paragraph 16</w:t>
            </w:r>
            <w:r w:rsidRPr="00AD3E80">
              <w:rPr>
                <w:rStyle w:val="Emphasis"/>
                <w:rFonts w:asciiTheme="minorHAnsi" w:hAnsiTheme="minorHAnsi" w:cstheme="minorHAnsi"/>
              </w:rPr>
              <w:t>(c)</w:t>
            </w:r>
            <w:r w:rsidRPr="00AD3E80">
              <w:rPr>
                <w:rFonts w:asciiTheme="minorHAnsi" w:hAnsiTheme="minorHAnsi" w:cstheme="minorHAnsi"/>
              </w:rPr>
              <w:t xml:space="preserve"> which provides that damages be </w:t>
            </w:r>
            <w:r w:rsidRPr="003061DB">
              <w:rPr>
                <w:rFonts w:asciiTheme="minorHAnsi" w:hAnsiTheme="minorHAnsi" w:cstheme="minorHAnsi"/>
              </w:rPr>
              <w:t>award</w:t>
            </w:r>
            <w:r w:rsidRPr="00AD3E80">
              <w:rPr>
                <w:rFonts w:asciiTheme="minorHAnsi" w:hAnsiTheme="minorHAnsi" w:cstheme="minorHAnsi"/>
              </w:rPr>
              <w:t>ed for privacy violations including but not limited to damages for humiliation.</w:t>
            </w:r>
            <w:r>
              <w:rPr>
                <w:rFonts w:asciiTheme="minorHAnsi" w:hAnsiTheme="minorHAnsi" w:cstheme="minorHAnsi"/>
              </w:rPr>
              <w:t>”</w:t>
            </w:r>
          </w:p>
          <w:p w14:paraId="54C55A41" w14:textId="77777777" w:rsidR="0068690C" w:rsidRDefault="0068690C" w:rsidP="008E5CBF"/>
          <w:p w14:paraId="32244987" w14:textId="77777777" w:rsidR="0068690C" w:rsidRDefault="0068690C" w:rsidP="008E5CBF">
            <w:r>
              <w:t xml:space="preserve">In addition to damages, court </w:t>
            </w:r>
            <w:r w:rsidRPr="003061DB">
              <w:t>award</w:t>
            </w:r>
            <w:r>
              <w:t xml:space="preserve">ed exemplary damages, at para 28 “for Bell's conduct at the time of </w:t>
            </w:r>
            <w:proofErr w:type="gramStart"/>
            <w:r>
              <w:t>the  breach</w:t>
            </w:r>
            <w:proofErr w:type="gramEnd"/>
            <w:r>
              <w:t xml:space="preserve"> of the privacy rights and thereafter. I take account of Bell's dealings with </w:t>
            </w:r>
            <w:proofErr w:type="spellStart"/>
            <w:r>
              <w:t>Chitrakar</w:t>
            </w:r>
            <w:proofErr w:type="spellEnd"/>
            <w:r>
              <w:t xml:space="preserve"> as well as its reactions to the Privacy Commissioner and her recommendations and its failure to take these proceedings seriously.”</w:t>
            </w:r>
          </w:p>
          <w:p w14:paraId="352598AF" w14:textId="77777777" w:rsidR="0068690C" w:rsidRDefault="0068690C" w:rsidP="008E5CBF">
            <w:pPr>
              <w:pBdr>
                <w:top w:val="nil"/>
                <w:left w:val="nil"/>
                <w:bottom w:val="nil"/>
                <w:right w:val="nil"/>
                <w:between w:val="nil"/>
              </w:pBdr>
              <w:spacing w:line="259" w:lineRule="auto"/>
              <w:rPr>
                <w:color w:val="000000"/>
              </w:rPr>
            </w:pPr>
          </w:p>
        </w:tc>
        <w:tc>
          <w:tcPr>
            <w:tcW w:w="1899" w:type="dxa"/>
          </w:tcPr>
          <w:p w14:paraId="7E5F46D7" w14:textId="77777777" w:rsidR="0068690C" w:rsidRDefault="0068690C" w:rsidP="008E5CBF">
            <w:r w:rsidRPr="00B228D5">
              <w:rPr>
                <w:b/>
                <w:bCs w:val="0"/>
              </w:rPr>
              <w:lastRenderedPageBreak/>
              <w:t>$10,000</w:t>
            </w:r>
            <w:r>
              <w:t xml:space="preserve"> in damages, at para 28, plus</w:t>
            </w:r>
          </w:p>
          <w:p w14:paraId="282D9B12" w14:textId="77777777" w:rsidR="0068690C" w:rsidRDefault="0068690C" w:rsidP="008E5CBF">
            <w:r w:rsidRPr="00B228D5">
              <w:rPr>
                <w:b/>
                <w:bCs w:val="0"/>
              </w:rPr>
              <w:t>$10,000</w:t>
            </w:r>
            <w:r>
              <w:t xml:space="preserve"> in exemplary damages </w:t>
            </w:r>
            <w:r>
              <w:lastRenderedPageBreak/>
              <w:t xml:space="preserve">plus, </w:t>
            </w:r>
            <w:r w:rsidRPr="000132ED">
              <w:t>$1,000</w:t>
            </w:r>
            <w:r>
              <w:t xml:space="preserve"> in costs for </w:t>
            </w:r>
            <w:r>
              <w:rPr>
                <w:rFonts w:cs="Times New Roman"/>
                <w:color w:val="272627"/>
              </w:rPr>
              <w:t>self-represented litigant</w:t>
            </w:r>
            <w:r>
              <w:t>, at para 29.</w:t>
            </w:r>
          </w:p>
          <w:p w14:paraId="78A2C9D7" w14:textId="77777777" w:rsidR="0068690C" w:rsidRDefault="0068690C" w:rsidP="008E5CBF"/>
        </w:tc>
      </w:tr>
      <w:tr w:rsidR="0068690C" w14:paraId="3154FD30" w14:textId="77777777" w:rsidTr="008E5CBF">
        <w:trPr>
          <w:trHeight w:val="526"/>
        </w:trPr>
        <w:tc>
          <w:tcPr>
            <w:tcW w:w="2155" w:type="dxa"/>
          </w:tcPr>
          <w:p w14:paraId="0FAB9E9F" w14:textId="77777777" w:rsidR="0068690C" w:rsidRPr="008A30A9" w:rsidRDefault="0068690C" w:rsidP="008E5CBF">
            <w:pPr>
              <w:autoSpaceDE w:val="0"/>
              <w:autoSpaceDN w:val="0"/>
              <w:adjustRightInd w:val="0"/>
              <w:rPr>
                <w:color w:val="000000"/>
              </w:rPr>
            </w:pPr>
            <w:r>
              <w:rPr>
                <w:b/>
                <w:bCs w:val="0"/>
                <w:i/>
              </w:rPr>
              <w:lastRenderedPageBreak/>
              <w:t xml:space="preserve">7. </w:t>
            </w:r>
            <w:r w:rsidRPr="004112E8">
              <w:rPr>
                <w:b/>
                <w:bCs w:val="0"/>
                <w:i/>
              </w:rPr>
              <w:t>Biron v RBC Royal Bank, </w:t>
            </w:r>
            <w:hyperlink r:id="rId11">
              <w:r w:rsidRPr="004112E8">
                <w:rPr>
                  <w:b/>
                  <w:bCs w:val="0"/>
                  <w:color w:val="000000"/>
                </w:rPr>
                <w:t xml:space="preserve">2012 FC 1095 </w:t>
              </w:r>
            </w:hyperlink>
          </w:p>
          <w:p w14:paraId="45F0FD0C" w14:textId="77777777" w:rsidR="0068690C" w:rsidRDefault="0068690C" w:rsidP="008E5CBF">
            <w:pPr>
              <w:autoSpaceDE w:val="0"/>
              <w:autoSpaceDN w:val="0"/>
              <w:adjustRightInd w:val="0"/>
              <w:rPr>
                <w:iCs/>
              </w:rPr>
            </w:pPr>
          </w:p>
          <w:p w14:paraId="4928938B" w14:textId="77777777" w:rsidR="0068690C" w:rsidRPr="00A86BF3" w:rsidRDefault="0068690C" w:rsidP="008E5CBF">
            <w:pPr>
              <w:autoSpaceDE w:val="0"/>
              <w:autoSpaceDN w:val="0"/>
              <w:adjustRightInd w:val="0"/>
              <w:rPr>
                <w:b/>
                <w:bCs w:val="0"/>
                <w:iCs/>
              </w:rPr>
            </w:pPr>
            <w:r w:rsidRPr="008A30A9">
              <w:rPr>
                <w:iCs/>
              </w:rPr>
              <w:t xml:space="preserve">[Cites </w:t>
            </w:r>
            <w:r w:rsidRPr="008A30A9">
              <w:rPr>
                <w:i/>
              </w:rPr>
              <w:t>Randall</w:t>
            </w:r>
            <w:r w:rsidRPr="008A30A9">
              <w:rPr>
                <w:iCs/>
              </w:rPr>
              <w:t xml:space="preserve"> with approval, at para 37</w:t>
            </w:r>
            <w:r w:rsidRPr="005546D7">
              <w:rPr>
                <w:iCs/>
              </w:rPr>
              <w:t>]</w:t>
            </w:r>
          </w:p>
        </w:tc>
        <w:tc>
          <w:tcPr>
            <w:tcW w:w="2340" w:type="dxa"/>
          </w:tcPr>
          <w:p w14:paraId="34B121B3" w14:textId="77777777" w:rsidR="0068690C" w:rsidRDefault="0068690C" w:rsidP="008E5CBF">
            <w:pPr>
              <w:autoSpaceDE w:val="0"/>
              <w:autoSpaceDN w:val="0"/>
              <w:adjustRightInd w:val="0"/>
            </w:pPr>
            <w:r>
              <w:t xml:space="preserve">RBC disclosed Biron’s credit card statements, on a card she held jointly with her husband, to counsel for her husband’s </w:t>
            </w:r>
            <w:r>
              <w:lastRenderedPageBreak/>
              <w:t xml:space="preserve">ex-wife, at para 4 and following.  </w:t>
            </w:r>
          </w:p>
        </w:tc>
        <w:tc>
          <w:tcPr>
            <w:tcW w:w="3240" w:type="dxa"/>
          </w:tcPr>
          <w:p w14:paraId="0A66A094" w14:textId="77777777" w:rsidR="0068690C" w:rsidRDefault="0068690C" w:rsidP="008E5CBF">
            <w:pPr>
              <w:pBdr>
                <w:top w:val="nil"/>
                <w:left w:val="nil"/>
                <w:bottom w:val="nil"/>
                <w:right w:val="nil"/>
                <w:between w:val="nil"/>
              </w:pBdr>
              <w:spacing w:line="259" w:lineRule="auto"/>
            </w:pPr>
            <w:r>
              <w:rPr>
                <w:color w:val="000000"/>
              </w:rPr>
              <w:lastRenderedPageBreak/>
              <w:t xml:space="preserve">RBC violated </w:t>
            </w:r>
            <w:r w:rsidRPr="003061DB">
              <w:rPr>
                <w:i/>
                <w:iCs/>
                <w:color w:val="000000"/>
              </w:rPr>
              <w:t>PIPEDA</w:t>
            </w:r>
            <w:r>
              <w:rPr>
                <w:color w:val="000000"/>
              </w:rPr>
              <w:t xml:space="preserve"> in this disclosure, at para 34.  Of note in determining quantum of damages was that Biron had asked RBC on </w:t>
            </w:r>
            <w:r>
              <w:rPr>
                <w:color w:val="000000"/>
              </w:rPr>
              <w:lastRenderedPageBreak/>
              <w:t xml:space="preserve">two occasions to stop disclosing her information, at para 40. </w:t>
            </w:r>
          </w:p>
        </w:tc>
        <w:tc>
          <w:tcPr>
            <w:tcW w:w="1899" w:type="dxa"/>
          </w:tcPr>
          <w:p w14:paraId="1E2B0B5C" w14:textId="77777777" w:rsidR="0068690C" w:rsidRDefault="0068690C" w:rsidP="008E5CBF">
            <w:r w:rsidRPr="00A86BF3">
              <w:rPr>
                <w:b/>
                <w:bCs w:val="0"/>
              </w:rPr>
              <w:lastRenderedPageBreak/>
              <w:t>$2,500</w:t>
            </w:r>
            <w:r>
              <w:t xml:space="preserve"> in damages, plus unquantified</w:t>
            </w:r>
          </w:p>
          <w:p w14:paraId="745F87BC" w14:textId="77777777" w:rsidR="0068690C" w:rsidRDefault="0068690C" w:rsidP="008E5CBF">
            <w:r>
              <w:t xml:space="preserve">“costs” to </w:t>
            </w:r>
            <w:r>
              <w:rPr>
                <w:rFonts w:cs="Times New Roman"/>
                <w:color w:val="272627"/>
              </w:rPr>
              <w:t>self-represented litigant</w:t>
            </w:r>
            <w:r>
              <w:t xml:space="preserve"> at para 43.</w:t>
            </w:r>
          </w:p>
          <w:p w14:paraId="0FE723CC" w14:textId="77777777" w:rsidR="0068690C" w:rsidRPr="00A86BF3" w:rsidRDefault="0068690C" w:rsidP="008E5CBF"/>
        </w:tc>
      </w:tr>
      <w:tr w:rsidR="0068690C" w14:paraId="5334F868" w14:textId="77777777" w:rsidTr="008E5CBF">
        <w:trPr>
          <w:trHeight w:val="526"/>
        </w:trPr>
        <w:tc>
          <w:tcPr>
            <w:tcW w:w="2155" w:type="dxa"/>
          </w:tcPr>
          <w:p w14:paraId="2481D722" w14:textId="77777777" w:rsidR="0068690C" w:rsidRDefault="0068690C" w:rsidP="008E5CBF">
            <w:pPr>
              <w:rPr>
                <w:b/>
                <w:bCs w:val="0"/>
              </w:rPr>
            </w:pPr>
            <w:r>
              <w:rPr>
                <w:b/>
                <w:bCs w:val="0"/>
                <w:i/>
              </w:rPr>
              <w:lastRenderedPageBreak/>
              <w:t xml:space="preserve">8. </w:t>
            </w:r>
            <w:proofErr w:type="spellStart"/>
            <w:r w:rsidRPr="00606511">
              <w:rPr>
                <w:b/>
                <w:bCs w:val="0"/>
                <w:i/>
              </w:rPr>
              <w:t>Girao</w:t>
            </w:r>
            <w:proofErr w:type="spellEnd"/>
            <w:r w:rsidRPr="00606511">
              <w:rPr>
                <w:b/>
                <w:bCs w:val="0"/>
                <w:i/>
              </w:rPr>
              <w:t xml:space="preserve"> v </w:t>
            </w:r>
            <w:proofErr w:type="spellStart"/>
            <w:r w:rsidRPr="00606511">
              <w:rPr>
                <w:b/>
                <w:bCs w:val="0"/>
                <w:i/>
              </w:rPr>
              <w:t>Zarek</w:t>
            </w:r>
            <w:proofErr w:type="spellEnd"/>
            <w:r w:rsidRPr="00606511">
              <w:rPr>
                <w:b/>
                <w:bCs w:val="0"/>
                <w:i/>
              </w:rPr>
              <w:t xml:space="preserve"> Taylor Grossman Hanrahan LLP</w:t>
            </w:r>
            <w:r w:rsidRPr="00606511">
              <w:rPr>
                <w:b/>
                <w:bCs w:val="0"/>
              </w:rPr>
              <w:t>, 2011 FC 1070</w:t>
            </w:r>
          </w:p>
          <w:p w14:paraId="2426EBC6" w14:textId="77777777" w:rsidR="0068690C" w:rsidRDefault="0068690C" w:rsidP="008E5CBF">
            <w:pPr>
              <w:rPr>
                <w:b/>
                <w:bCs w:val="0"/>
                <w:iCs/>
                <w:highlight w:val="yellow"/>
              </w:rPr>
            </w:pPr>
          </w:p>
          <w:p w14:paraId="042FDC28" w14:textId="77777777" w:rsidR="0068690C" w:rsidRPr="008A30A9" w:rsidRDefault="0068690C" w:rsidP="008E5CBF">
            <w:pPr>
              <w:rPr>
                <w:iCs/>
              </w:rPr>
            </w:pPr>
            <w:r w:rsidRPr="008A30A9">
              <w:rPr>
                <w:iCs/>
              </w:rPr>
              <w:t xml:space="preserve">Cites </w:t>
            </w:r>
            <w:r w:rsidRPr="008A30A9">
              <w:rPr>
                <w:i/>
              </w:rPr>
              <w:t>Randall</w:t>
            </w:r>
            <w:r w:rsidRPr="008A30A9">
              <w:rPr>
                <w:iCs/>
              </w:rPr>
              <w:t xml:space="preserve"> with approval, at para </w:t>
            </w:r>
            <w:proofErr w:type="gramStart"/>
            <w:r w:rsidRPr="008A30A9">
              <w:rPr>
                <w:iCs/>
              </w:rPr>
              <w:t>42  (</w:t>
            </w:r>
            <w:proofErr w:type="gramEnd"/>
            <w:r w:rsidRPr="008A30A9">
              <w:rPr>
                <w:iCs/>
              </w:rPr>
              <w:t>same judge in both cases)</w:t>
            </w:r>
          </w:p>
          <w:p w14:paraId="3B1D9A1D" w14:textId="77777777" w:rsidR="0068690C" w:rsidRPr="008B3535" w:rsidRDefault="0068690C" w:rsidP="008E5CBF">
            <w:pPr>
              <w:rPr>
                <w:b/>
                <w:bCs w:val="0"/>
                <w:iCs/>
              </w:rPr>
            </w:pPr>
          </w:p>
        </w:tc>
        <w:tc>
          <w:tcPr>
            <w:tcW w:w="2340" w:type="dxa"/>
          </w:tcPr>
          <w:p w14:paraId="79AE0B1F" w14:textId="77777777" w:rsidR="0068690C" w:rsidRDefault="0068690C" w:rsidP="008E5CBF">
            <w:pPr>
              <w:autoSpaceDE w:val="0"/>
              <w:autoSpaceDN w:val="0"/>
              <w:adjustRightInd w:val="0"/>
            </w:pPr>
            <w:r>
              <w:t xml:space="preserve">Respondent law firm posted a report by the Privacy Commissioner on its website under “recent decisions” category which contained the personal medical information of the Applicant, at paras 1 and 29.  Applicant claimed a breach of privacy under </w:t>
            </w:r>
            <w:r w:rsidRPr="003061DB">
              <w:rPr>
                <w:i/>
                <w:iCs/>
              </w:rPr>
              <w:t>PIPEDA</w:t>
            </w:r>
            <w:r>
              <w:t xml:space="preserve"> even though this information was already made public via other proceedings, at para 30-31.</w:t>
            </w:r>
          </w:p>
        </w:tc>
        <w:tc>
          <w:tcPr>
            <w:tcW w:w="3240" w:type="dxa"/>
          </w:tcPr>
          <w:p w14:paraId="24ED9422" w14:textId="77777777" w:rsidR="0068690C" w:rsidRDefault="0068690C" w:rsidP="008E5CBF">
            <w:pPr>
              <w:pBdr>
                <w:top w:val="nil"/>
                <w:left w:val="nil"/>
                <w:bottom w:val="nil"/>
                <w:right w:val="nil"/>
                <w:between w:val="nil"/>
              </w:pBdr>
              <w:spacing w:line="259" w:lineRule="auto"/>
              <w:rPr>
                <w:color w:val="000000"/>
              </w:rPr>
            </w:pPr>
            <w:r>
              <w:rPr>
                <w:color w:val="000000"/>
              </w:rPr>
              <w:t xml:space="preserve">Court rejected respondent’s argument that the Privacy Commissioner of Canada (PCC) reports should be publicly available in an </w:t>
            </w:r>
            <w:proofErr w:type="spellStart"/>
            <w:r>
              <w:rPr>
                <w:color w:val="000000"/>
              </w:rPr>
              <w:t>unredacted</w:t>
            </w:r>
            <w:proofErr w:type="spellEnd"/>
            <w:r>
              <w:rPr>
                <w:color w:val="000000"/>
              </w:rPr>
              <w:t xml:space="preserve"> way, ruling that the law firm should have taken steps to ensure that applicant was not identifiable in the posting, at para 38.  </w:t>
            </w:r>
          </w:p>
          <w:p w14:paraId="4958972C" w14:textId="77777777" w:rsidR="0068690C" w:rsidRDefault="0068690C" w:rsidP="008E5CBF">
            <w:pPr>
              <w:pBdr>
                <w:top w:val="nil"/>
                <w:left w:val="nil"/>
                <w:bottom w:val="nil"/>
                <w:right w:val="nil"/>
                <w:between w:val="nil"/>
              </w:pBdr>
              <w:spacing w:line="259" w:lineRule="auto"/>
              <w:rPr>
                <w:color w:val="000000"/>
              </w:rPr>
            </w:pPr>
          </w:p>
          <w:p w14:paraId="66AC3D03" w14:textId="77777777" w:rsidR="0068690C" w:rsidRDefault="0068690C" w:rsidP="008E5CBF">
            <w:pPr>
              <w:pBdr>
                <w:top w:val="nil"/>
                <w:left w:val="nil"/>
                <w:bottom w:val="nil"/>
                <w:right w:val="nil"/>
                <w:between w:val="nil"/>
              </w:pBdr>
              <w:spacing w:line="259" w:lineRule="auto"/>
              <w:rPr>
                <w:color w:val="000000"/>
              </w:rPr>
            </w:pPr>
            <w:r>
              <w:rPr>
                <w:color w:val="000000"/>
              </w:rPr>
              <w:t>Even though no evidence of pecuniary harm nor of humiliation, at para 55, damages are appropriate because:</w:t>
            </w:r>
          </w:p>
          <w:p w14:paraId="78AD879C" w14:textId="77777777" w:rsidR="0068690C" w:rsidRDefault="0068690C" w:rsidP="008E5CBF">
            <w:pPr>
              <w:pBdr>
                <w:top w:val="nil"/>
                <w:left w:val="nil"/>
                <w:bottom w:val="nil"/>
                <w:right w:val="nil"/>
                <w:between w:val="nil"/>
              </w:pBdr>
              <w:spacing w:line="259" w:lineRule="auto"/>
            </w:pPr>
            <w:r>
              <w:t xml:space="preserve">“Parliament has ensured that Canadians have the right to file complaints with the PCC for investigation without fear of having their personal information disclosed other than in certain constrained circumstances…. To that end, an </w:t>
            </w:r>
            <w:r w:rsidRPr="003061DB">
              <w:t>award</w:t>
            </w:r>
            <w:r>
              <w:t xml:space="preserve"> of damages would further the general objects of </w:t>
            </w:r>
            <w:r w:rsidRPr="003061DB">
              <w:rPr>
                <w:rStyle w:val="Emphasis"/>
              </w:rPr>
              <w:t>PIPEDA</w:t>
            </w:r>
            <w:r>
              <w:t xml:space="preserve"> and uphold the values it embodies. A damage </w:t>
            </w:r>
            <w:r w:rsidRPr="003061DB">
              <w:t>award</w:t>
            </w:r>
            <w:r>
              <w:t xml:space="preserve"> would also send the message to lawyers and individuals with increased public responsibility that they must proceed prudently when dealing with private information” at para 50.</w:t>
            </w:r>
          </w:p>
          <w:p w14:paraId="34385E9D" w14:textId="77777777" w:rsidR="0068690C" w:rsidRDefault="0068690C" w:rsidP="008E5CBF">
            <w:pPr>
              <w:pBdr>
                <w:top w:val="nil"/>
                <w:left w:val="nil"/>
                <w:bottom w:val="nil"/>
                <w:right w:val="nil"/>
                <w:between w:val="nil"/>
              </w:pBdr>
              <w:spacing w:line="259" w:lineRule="auto"/>
            </w:pPr>
          </w:p>
          <w:p w14:paraId="71927916" w14:textId="77777777" w:rsidR="0068690C" w:rsidRPr="00BE116C" w:rsidRDefault="0068690C" w:rsidP="008E5CBF">
            <w:pPr>
              <w:pBdr>
                <w:top w:val="nil"/>
                <w:left w:val="nil"/>
                <w:bottom w:val="nil"/>
                <w:right w:val="nil"/>
                <w:between w:val="nil"/>
              </w:pBdr>
              <w:spacing w:line="259" w:lineRule="auto"/>
            </w:pPr>
            <w:r>
              <w:t xml:space="preserve">Court </w:t>
            </w:r>
            <w:r w:rsidRPr="003061DB">
              <w:t>award</w:t>
            </w:r>
            <w:r>
              <w:t>ed damages in the factual context  that the respondent “was careless in posting but did not act in bad faith” and took the posting down promptly, at para 61.</w:t>
            </w:r>
          </w:p>
        </w:tc>
        <w:tc>
          <w:tcPr>
            <w:tcW w:w="1899" w:type="dxa"/>
          </w:tcPr>
          <w:p w14:paraId="1B3C28D8" w14:textId="77777777" w:rsidR="0068690C" w:rsidRDefault="0068690C" w:rsidP="008E5CBF">
            <w:r w:rsidRPr="00606511">
              <w:rPr>
                <w:b/>
                <w:bCs w:val="0"/>
              </w:rPr>
              <w:t>$1,500</w:t>
            </w:r>
            <w:r>
              <w:rPr>
                <w:b/>
                <w:bCs w:val="0"/>
              </w:rPr>
              <w:t xml:space="preserve"> </w:t>
            </w:r>
            <w:r>
              <w:t>in damages, at para 61, plus</w:t>
            </w:r>
          </w:p>
          <w:p w14:paraId="6DF7B704" w14:textId="77777777" w:rsidR="0068690C" w:rsidRPr="00B5569B" w:rsidRDefault="0068690C" w:rsidP="008E5CBF">
            <w:r>
              <w:t>$500 in costs to the</w:t>
            </w:r>
            <w:r>
              <w:rPr>
                <w:rFonts w:cs="Times New Roman"/>
                <w:color w:val="272627"/>
              </w:rPr>
              <w:t xml:space="preserve"> self-represented litigant, at para 63.</w:t>
            </w:r>
          </w:p>
        </w:tc>
      </w:tr>
      <w:tr w:rsidR="0068690C" w14:paraId="36BE8F7D" w14:textId="77777777" w:rsidTr="008E5CBF">
        <w:trPr>
          <w:trHeight w:val="526"/>
        </w:trPr>
        <w:tc>
          <w:tcPr>
            <w:tcW w:w="2155" w:type="dxa"/>
          </w:tcPr>
          <w:p w14:paraId="322A939C" w14:textId="77777777" w:rsidR="0068690C" w:rsidRPr="008A30A9" w:rsidRDefault="0068690C" w:rsidP="008E5CBF">
            <w:r>
              <w:rPr>
                <w:b/>
                <w:bCs w:val="0"/>
                <w:i/>
              </w:rPr>
              <w:t>9</w:t>
            </w:r>
            <w:r w:rsidRPr="000B723C">
              <w:rPr>
                <w:b/>
                <w:bCs w:val="0"/>
                <w:i/>
              </w:rPr>
              <w:t xml:space="preserve">. Landry v Royal Bank of Canada, </w:t>
            </w:r>
            <w:r w:rsidRPr="000B723C">
              <w:rPr>
                <w:b/>
                <w:bCs w:val="0"/>
              </w:rPr>
              <w:t>2011 FC 687</w:t>
            </w:r>
          </w:p>
          <w:p w14:paraId="266D9BBE" w14:textId="77777777" w:rsidR="0068690C" w:rsidRPr="008A30A9" w:rsidRDefault="0068690C" w:rsidP="008E5CBF">
            <w:r w:rsidRPr="008A30A9">
              <w:rPr>
                <w:i/>
              </w:rPr>
              <w:t>[Cites</w:t>
            </w:r>
            <w:r w:rsidRPr="008A30A9">
              <w:rPr>
                <w:iCs/>
              </w:rPr>
              <w:t xml:space="preserve"> </w:t>
            </w:r>
            <w:r w:rsidRPr="008A30A9">
              <w:rPr>
                <w:i/>
              </w:rPr>
              <w:t>Randall</w:t>
            </w:r>
            <w:r w:rsidRPr="008A30A9">
              <w:rPr>
                <w:iCs/>
              </w:rPr>
              <w:t xml:space="preserve"> with approval, at para 28]</w:t>
            </w:r>
          </w:p>
          <w:p w14:paraId="55FC9A38" w14:textId="77777777" w:rsidR="0068690C" w:rsidRPr="00921701" w:rsidRDefault="0068690C" w:rsidP="008E5CBF">
            <w:pPr>
              <w:autoSpaceDE w:val="0"/>
              <w:autoSpaceDN w:val="0"/>
              <w:adjustRightInd w:val="0"/>
              <w:rPr>
                <w:b/>
                <w:bCs w:val="0"/>
                <w:i/>
              </w:rPr>
            </w:pPr>
          </w:p>
        </w:tc>
        <w:tc>
          <w:tcPr>
            <w:tcW w:w="2340" w:type="dxa"/>
          </w:tcPr>
          <w:p w14:paraId="56B53A26" w14:textId="77777777" w:rsidR="0068690C" w:rsidRDefault="0068690C" w:rsidP="008E5CBF">
            <w:pPr>
              <w:autoSpaceDE w:val="0"/>
              <w:autoSpaceDN w:val="0"/>
              <w:adjustRightInd w:val="0"/>
            </w:pPr>
            <w:r>
              <w:t xml:space="preserve">Bank improperly disclosed bank records to the applicant’s ex-husband during a separate divorce trial, at para 4. This led to her </w:t>
            </w:r>
            <w:r>
              <w:lastRenderedPageBreak/>
              <w:t>being humiliated including on the stand when her denial of having a personal bank account was refuted by these records, at para 19</w:t>
            </w:r>
          </w:p>
        </w:tc>
        <w:tc>
          <w:tcPr>
            <w:tcW w:w="3240" w:type="dxa"/>
          </w:tcPr>
          <w:p w14:paraId="01849B8D" w14:textId="77777777" w:rsidR="0068690C" w:rsidRDefault="0068690C" w:rsidP="008E5CBF">
            <w:r>
              <w:rPr>
                <w:color w:val="000000"/>
              </w:rPr>
              <w:lastRenderedPageBreak/>
              <w:t xml:space="preserve">The court observed that </w:t>
            </w:r>
            <w:r w:rsidRPr="003061DB">
              <w:rPr>
                <w:i/>
                <w:iCs/>
                <w:color w:val="000000"/>
              </w:rPr>
              <w:t>PIPEDA</w:t>
            </w:r>
            <w:r>
              <w:rPr>
                <w:color w:val="000000"/>
              </w:rPr>
              <w:t xml:space="preserve"> was violated because the Bank’s employee made a “major error” and even tried to “</w:t>
            </w:r>
            <w:r w:rsidRPr="000B723C">
              <w:rPr>
                <w:rFonts w:asciiTheme="minorHAnsi" w:eastAsia="Times New Roman" w:hAnsiTheme="minorHAnsi" w:cstheme="minorHAnsi"/>
                <w:lang w:eastAsia="en-CA"/>
              </w:rPr>
              <w:t>cover up her wrongful conduct</w:t>
            </w:r>
            <w:r>
              <w:rPr>
                <w:rFonts w:asciiTheme="minorHAnsi" w:eastAsia="Times New Roman" w:hAnsiTheme="minorHAnsi" w:cstheme="minorHAnsi"/>
                <w:lang w:eastAsia="en-CA"/>
              </w:rPr>
              <w:t xml:space="preserve">” at para 28.  It also recognized that the applicant </w:t>
            </w:r>
            <w:r>
              <w:rPr>
                <w:rFonts w:asciiTheme="minorHAnsi" w:eastAsia="Times New Roman" w:hAnsiTheme="minorHAnsi" w:cstheme="minorHAnsi"/>
                <w:lang w:eastAsia="en-CA"/>
              </w:rPr>
              <w:lastRenderedPageBreak/>
              <w:t>“</w:t>
            </w:r>
            <w:r w:rsidRPr="000B723C">
              <w:rPr>
                <w:rFonts w:asciiTheme="minorHAnsi" w:eastAsia="Times New Roman" w:hAnsiTheme="minorHAnsi" w:cstheme="minorHAnsi"/>
                <w:lang w:eastAsia="en-CA"/>
              </w:rPr>
              <w:t>contributed to her own misfortune by attempting to conceal under oath the existence of her personal accounts even though she was obliged to disclose their existence</w:t>
            </w:r>
            <w:r>
              <w:rPr>
                <w:rFonts w:asciiTheme="minorHAnsi" w:eastAsia="Times New Roman" w:hAnsiTheme="minorHAnsi" w:cstheme="minorHAnsi"/>
                <w:lang w:eastAsia="en-CA"/>
              </w:rPr>
              <w:t xml:space="preserve">” at para 29.  Court assessed damages in the context of the applicant’s “contributory fault” at para 32. </w:t>
            </w:r>
          </w:p>
        </w:tc>
        <w:tc>
          <w:tcPr>
            <w:tcW w:w="1899" w:type="dxa"/>
          </w:tcPr>
          <w:p w14:paraId="5750183C" w14:textId="77777777" w:rsidR="0068690C" w:rsidRPr="00A86BF3" w:rsidRDefault="0068690C" w:rsidP="008E5CBF">
            <w:r>
              <w:rPr>
                <w:b/>
                <w:bCs w:val="0"/>
              </w:rPr>
              <w:lastRenderedPageBreak/>
              <w:t xml:space="preserve">$4500 </w:t>
            </w:r>
            <w:r>
              <w:t>in damages, at para 32, plus costs to the self-represented applicant.</w:t>
            </w:r>
          </w:p>
        </w:tc>
      </w:tr>
      <w:tr w:rsidR="0068690C" w14:paraId="7C6E62CC" w14:textId="77777777" w:rsidTr="008E5CBF">
        <w:trPr>
          <w:trHeight w:val="526"/>
        </w:trPr>
        <w:tc>
          <w:tcPr>
            <w:tcW w:w="2155" w:type="dxa"/>
          </w:tcPr>
          <w:p w14:paraId="47937D9C" w14:textId="77777777" w:rsidR="0068690C" w:rsidRDefault="0068690C" w:rsidP="008E5CBF">
            <w:pPr>
              <w:autoSpaceDE w:val="0"/>
              <w:autoSpaceDN w:val="0"/>
              <w:adjustRightInd w:val="0"/>
              <w:rPr>
                <w:b/>
                <w:bCs w:val="0"/>
              </w:rPr>
            </w:pPr>
            <w:r>
              <w:rPr>
                <w:b/>
                <w:bCs w:val="0"/>
                <w:i/>
              </w:rPr>
              <w:lastRenderedPageBreak/>
              <w:t xml:space="preserve">10. </w:t>
            </w:r>
            <w:proofErr w:type="spellStart"/>
            <w:r w:rsidRPr="00A477EF">
              <w:rPr>
                <w:b/>
                <w:bCs w:val="0"/>
                <w:i/>
              </w:rPr>
              <w:t>Nammo</w:t>
            </w:r>
            <w:proofErr w:type="spellEnd"/>
            <w:r w:rsidRPr="00A477EF">
              <w:rPr>
                <w:b/>
                <w:bCs w:val="0"/>
                <w:i/>
              </w:rPr>
              <w:t xml:space="preserve"> v TransUnion of Canada Inc.,</w:t>
            </w:r>
            <w:r w:rsidRPr="00A477EF">
              <w:rPr>
                <w:b/>
                <w:bCs w:val="0"/>
              </w:rPr>
              <w:t xml:space="preserve"> 2010 FC 1284</w:t>
            </w:r>
          </w:p>
          <w:p w14:paraId="0046A34A" w14:textId="77777777" w:rsidR="0068690C" w:rsidRDefault="0068690C" w:rsidP="008E5CBF">
            <w:pPr>
              <w:autoSpaceDE w:val="0"/>
              <w:autoSpaceDN w:val="0"/>
              <w:adjustRightInd w:val="0"/>
              <w:rPr>
                <w:b/>
                <w:bCs w:val="0"/>
                <w:i/>
              </w:rPr>
            </w:pPr>
          </w:p>
          <w:p w14:paraId="30F30AA7" w14:textId="77777777" w:rsidR="0068690C" w:rsidRPr="008A30A9" w:rsidRDefault="0068690C" w:rsidP="008E5CBF">
            <w:pPr>
              <w:autoSpaceDE w:val="0"/>
              <w:autoSpaceDN w:val="0"/>
              <w:adjustRightInd w:val="0"/>
              <w:rPr>
                <w:i/>
              </w:rPr>
            </w:pPr>
            <w:r w:rsidRPr="008A30A9">
              <w:rPr>
                <w:i/>
              </w:rPr>
              <w:t>[Cites Randall with approval, at para 71]</w:t>
            </w:r>
          </w:p>
        </w:tc>
        <w:tc>
          <w:tcPr>
            <w:tcW w:w="2340" w:type="dxa"/>
          </w:tcPr>
          <w:p w14:paraId="76EC680E" w14:textId="77777777" w:rsidR="0068690C" w:rsidRDefault="0068690C" w:rsidP="008E5CBF">
            <w:pPr>
              <w:autoSpaceDE w:val="0"/>
              <w:autoSpaceDN w:val="0"/>
              <w:adjustRightInd w:val="0"/>
            </w:pPr>
            <w:proofErr w:type="spellStart"/>
            <w:r>
              <w:t>Nammo</w:t>
            </w:r>
            <w:proofErr w:type="spellEnd"/>
            <w:r>
              <w:t xml:space="preserve"> pursued a business opportunity to become a 50% partner in a proposed trucking business in “exchange for using his name, financial history, and expertise to secure the necessary business loan” at para 5. When the applicant applied for a loan from RBC, it was denied on the basis of a negative and false credit report provided by TransUnion of Canada Inc, at para 7.  This ended the business opportunity.  Beyond this, TransUnion did not take steps to clearly correct the record with RBC, at para 50. </w:t>
            </w:r>
            <w:proofErr w:type="spellStart"/>
            <w:r>
              <w:t>Nammo</w:t>
            </w:r>
            <w:proofErr w:type="spellEnd"/>
            <w:r>
              <w:t xml:space="preserve"> claimed damages including for humiliation and lost profits. </w:t>
            </w:r>
          </w:p>
        </w:tc>
        <w:tc>
          <w:tcPr>
            <w:tcW w:w="3240" w:type="dxa"/>
          </w:tcPr>
          <w:p w14:paraId="6660E2EF" w14:textId="77777777" w:rsidR="0068690C" w:rsidRDefault="0068690C" w:rsidP="008E5CBF">
            <w:pPr>
              <w:pBdr>
                <w:top w:val="nil"/>
                <w:left w:val="nil"/>
                <w:bottom w:val="nil"/>
                <w:right w:val="nil"/>
                <w:between w:val="nil"/>
              </w:pBdr>
              <w:spacing w:line="259" w:lineRule="auto"/>
              <w:rPr>
                <w:iCs/>
                <w:color w:val="000000"/>
              </w:rPr>
            </w:pPr>
            <w:r>
              <w:rPr>
                <w:color w:val="000000"/>
              </w:rPr>
              <w:t xml:space="preserve">Court ruled that the respondent had breached </w:t>
            </w:r>
            <w:r w:rsidRPr="003061DB">
              <w:rPr>
                <w:i/>
                <w:iCs/>
                <w:color w:val="000000"/>
              </w:rPr>
              <w:t>PIPEDA</w:t>
            </w:r>
            <w:r>
              <w:rPr>
                <w:color w:val="000000"/>
              </w:rPr>
              <w:t xml:space="preserve"> by supplying false credit information, at para</w:t>
            </w:r>
            <w:r>
              <w:rPr>
                <w:iCs/>
                <w:color w:val="000000"/>
              </w:rPr>
              <w:t xml:space="preserve"> 43, and for failing to correct the record appropriately, at para 50.  </w:t>
            </w:r>
          </w:p>
          <w:p w14:paraId="2DEEE2C9" w14:textId="77777777" w:rsidR="0068690C" w:rsidRDefault="0068690C" w:rsidP="008E5CBF">
            <w:pPr>
              <w:pBdr>
                <w:top w:val="nil"/>
                <w:left w:val="nil"/>
                <w:bottom w:val="nil"/>
                <w:right w:val="nil"/>
                <w:between w:val="nil"/>
              </w:pBdr>
              <w:spacing w:line="259" w:lineRule="auto"/>
              <w:rPr>
                <w:iCs/>
              </w:rPr>
            </w:pPr>
          </w:p>
          <w:p w14:paraId="407F0B71" w14:textId="77777777" w:rsidR="0068690C" w:rsidRDefault="0068690C" w:rsidP="008E5CBF">
            <w:pPr>
              <w:pBdr>
                <w:top w:val="nil"/>
                <w:left w:val="nil"/>
                <w:bottom w:val="nil"/>
                <w:right w:val="nil"/>
                <w:between w:val="nil"/>
              </w:pBdr>
              <w:spacing w:line="259" w:lineRule="auto"/>
              <w:rPr>
                <w:iCs/>
                <w:color w:val="000000"/>
              </w:rPr>
            </w:pPr>
            <w:r>
              <w:rPr>
                <w:iCs/>
              </w:rPr>
              <w:t xml:space="preserve">The applicant could not prove any business loss, at para 65, but the court ruled that it </w:t>
            </w:r>
            <w:r>
              <w:rPr>
                <w:color w:val="000000"/>
              </w:rPr>
              <w:t xml:space="preserve">had jurisdiction to </w:t>
            </w:r>
            <w:r w:rsidRPr="003061DB">
              <w:rPr>
                <w:color w:val="000000"/>
              </w:rPr>
              <w:t>award</w:t>
            </w:r>
            <w:r>
              <w:rPr>
                <w:color w:val="000000"/>
              </w:rPr>
              <w:t xml:space="preserve"> damages under section 16 of </w:t>
            </w:r>
            <w:r w:rsidRPr="003061DB">
              <w:rPr>
                <w:i/>
                <w:iCs/>
                <w:color w:val="000000"/>
              </w:rPr>
              <w:t>PIPEDA</w:t>
            </w:r>
            <w:r>
              <w:rPr>
                <w:i/>
                <w:color w:val="000000"/>
              </w:rPr>
              <w:t xml:space="preserve"> </w:t>
            </w:r>
            <w:r>
              <w:rPr>
                <w:iCs/>
                <w:color w:val="000000"/>
              </w:rPr>
              <w:t>“even when no actual financial loss is proven” at para 71. This was particularly the case because TransUnion’s “</w:t>
            </w:r>
            <w:r>
              <w:t>was a serious breach involving financial information of high personal and professional importance” at para 71.</w:t>
            </w:r>
          </w:p>
          <w:p w14:paraId="64E6C065" w14:textId="77777777" w:rsidR="0068690C" w:rsidRDefault="0068690C" w:rsidP="008E5CBF">
            <w:pPr>
              <w:pBdr>
                <w:top w:val="nil"/>
                <w:left w:val="nil"/>
                <w:bottom w:val="nil"/>
                <w:right w:val="nil"/>
                <w:between w:val="nil"/>
              </w:pBdr>
              <w:spacing w:line="259" w:lineRule="auto"/>
              <w:rPr>
                <w:iCs/>
              </w:rPr>
            </w:pPr>
          </w:p>
          <w:p w14:paraId="036FD470" w14:textId="77777777" w:rsidR="0068690C" w:rsidRDefault="0068690C" w:rsidP="008E5CBF">
            <w:pPr>
              <w:pBdr>
                <w:top w:val="nil"/>
                <w:left w:val="nil"/>
                <w:bottom w:val="nil"/>
                <w:right w:val="nil"/>
                <w:between w:val="nil"/>
              </w:pBdr>
              <w:spacing w:line="259" w:lineRule="auto"/>
            </w:pPr>
            <w:r>
              <w:rPr>
                <w:iCs/>
              </w:rPr>
              <w:t xml:space="preserve">Court relied on </w:t>
            </w:r>
            <w:r w:rsidRPr="003061DB">
              <w:rPr>
                <w:rStyle w:val="Emphasis"/>
              </w:rPr>
              <w:t>Ward</w:t>
            </w:r>
            <w:r>
              <w:rPr>
                <w:iCs/>
              </w:rPr>
              <w:t xml:space="preserve"> where the SCC, in the context of a </w:t>
            </w:r>
            <w:r w:rsidRPr="003061DB">
              <w:rPr>
                <w:i/>
                <w:iCs/>
              </w:rPr>
              <w:t>Charter</w:t>
            </w:r>
            <w:r>
              <w:rPr>
                <w:iCs/>
              </w:rPr>
              <w:t xml:space="preserve"> breach, </w:t>
            </w:r>
            <w:r w:rsidRPr="003061DB">
              <w:t>award</w:t>
            </w:r>
            <w:r>
              <w:rPr>
                <w:iCs/>
              </w:rPr>
              <w:t xml:space="preserve">ed damages absent financial loss.  This was because it identified several goals in </w:t>
            </w:r>
            <w:r w:rsidRPr="003061DB">
              <w:t>awarding</w:t>
            </w:r>
            <w:r>
              <w:rPr>
                <w:iCs/>
              </w:rPr>
              <w:t xml:space="preserve"> damages</w:t>
            </w:r>
            <w:proofErr w:type="gramStart"/>
            <w:r>
              <w:rPr>
                <w:iCs/>
              </w:rPr>
              <w:t>:  “</w:t>
            </w:r>
            <w:proofErr w:type="gramEnd"/>
            <w:r>
              <w:t xml:space="preserve">these include compensation, for which loss is relevant, but also vindication and deterrence, for which loss is not a </w:t>
            </w:r>
          </w:p>
          <w:p w14:paraId="743575D2" w14:textId="77777777" w:rsidR="0068690C" w:rsidRDefault="0068690C" w:rsidP="008E5CBF">
            <w:pPr>
              <w:pBdr>
                <w:top w:val="nil"/>
                <w:left w:val="nil"/>
                <w:bottom w:val="nil"/>
                <w:right w:val="nil"/>
                <w:between w:val="nil"/>
              </w:pBdr>
              <w:spacing w:after="160" w:line="259" w:lineRule="auto"/>
            </w:pPr>
            <w:r>
              <w:t>for which loss is not a determinative factor,” at para 72.</w:t>
            </w:r>
          </w:p>
          <w:p w14:paraId="41F5EEC7" w14:textId="77777777" w:rsidR="0068690C" w:rsidRDefault="0068690C" w:rsidP="008E5CBF">
            <w:pPr>
              <w:pBdr>
                <w:top w:val="nil"/>
                <w:left w:val="nil"/>
                <w:bottom w:val="nil"/>
                <w:right w:val="nil"/>
                <w:between w:val="nil"/>
              </w:pBdr>
              <w:spacing w:after="160" w:line="259" w:lineRule="auto"/>
            </w:pPr>
            <w:r>
              <w:t xml:space="preserve">Following </w:t>
            </w:r>
            <w:r w:rsidRPr="003061DB">
              <w:rPr>
                <w:i/>
                <w:iCs/>
              </w:rPr>
              <w:t>Ward</w:t>
            </w:r>
            <w:r>
              <w:t xml:space="preserve">, the court </w:t>
            </w:r>
            <w:r w:rsidRPr="003061DB">
              <w:t>award</w:t>
            </w:r>
            <w:r>
              <w:t>ed damages for the humiliation of the dissemination of false credit information, at para 79.</w:t>
            </w:r>
          </w:p>
        </w:tc>
        <w:tc>
          <w:tcPr>
            <w:tcW w:w="1899" w:type="dxa"/>
          </w:tcPr>
          <w:p w14:paraId="12D61AF1" w14:textId="77777777" w:rsidR="0068690C" w:rsidRDefault="0068690C" w:rsidP="008E5CBF">
            <w:r w:rsidRPr="00A477EF">
              <w:rPr>
                <w:b/>
                <w:bCs w:val="0"/>
              </w:rPr>
              <w:t>$5,000</w:t>
            </w:r>
            <w:r>
              <w:rPr>
                <w:b/>
                <w:bCs w:val="0"/>
              </w:rPr>
              <w:t xml:space="preserve"> </w:t>
            </w:r>
            <w:r>
              <w:t>in damages, at para 79, plus</w:t>
            </w:r>
          </w:p>
          <w:p w14:paraId="3AD45070" w14:textId="77777777" w:rsidR="0068690C" w:rsidRDefault="0068690C" w:rsidP="008E5CBF">
            <w:r>
              <w:t>$1,000 in costs for the</w:t>
            </w:r>
            <w:r>
              <w:rPr>
                <w:rFonts w:cs="Times New Roman"/>
                <w:color w:val="272627"/>
              </w:rPr>
              <w:t xml:space="preserve"> self-represented litigant, at para 81. </w:t>
            </w:r>
          </w:p>
          <w:p w14:paraId="7E1EBE10" w14:textId="77777777" w:rsidR="0068690C" w:rsidRPr="00E9662E" w:rsidRDefault="0068690C" w:rsidP="008E5CBF"/>
        </w:tc>
      </w:tr>
    </w:tbl>
    <w:p w14:paraId="31D11709" w14:textId="77777777" w:rsidR="0068690C" w:rsidRDefault="0068690C" w:rsidP="0068690C">
      <w:pPr>
        <w:autoSpaceDE w:val="0"/>
        <w:autoSpaceDN w:val="0"/>
        <w:adjustRightInd w:val="0"/>
        <w:rPr>
          <w:rFonts w:ascii="Times New Roman" w:hAnsi="Times New Roman" w:cs="Times New Roman"/>
          <w:color w:val="272627"/>
          <w:sz w:val="36"/>
          <w:szCs w:val="36"/>
          <w:lang w:val="en-US"/>
        </w:rPr>
      </w:pPr>
    </w:p>
    <w:p w14:paraId="0032731A" w14:textId="77777777" w:rsidR="0068690C" w:rsidRPr="00F56379" w:rsidRDefault="0068690C" w:rsidP="0068690C">
      <w:pPr>
        <w:jc w:val="center"/>
        <w:rPr>
          <w:b/>
          <w:bCs/>
        </w:rPr>
      </w:pPr>
      <w:bookmarkStart w:id="27" w:name="_GoBack"/>
      <w:bookmarkEnd w:id="27"/>
      <w:r w:rsidRPr="00F56379">
        <w:rPr>
          <w:b/>
        </w:rPr>
        <w:lastRenderedPageBreak/>
        <w:t xml:space="preserve">Appendix B: Unsuccessful Applications for Damages under </w:t>
      </w:r>
      <w:r w:rsidRPr="003061DB">
        <w:rPr>
          <w:b/>
          <w:i/>
          <w:iCs/>
        </w:rPr>
        <w:t>PIPEDA</w:t>
      </w:r>
      <w:r>
        <w:rPr>
          <w:b/>
          <w:bCs/>
        </w:rPr>
        <w:t xml:space="preserve"> in a Commercial Context</w:t>
      </w:r>
      <w:r w:rsidRPr="00F56379">
        <w:rPr>
          <w:b/>
        </w:rPr>
        <w:t>**</w:t>
      </w:r>
    </w:p>
    <w:p w14:paraId="2A7669F7" w14:textId="77777777" w:rsidR="0068690C" w:rsidRPr="00F56379" w:rsidRDefault="0068690C" w:rsidP="0068690C">
      <w:pPr>
        <w:jc w:val="center"/>
        <w:rPr>
          <w:b/>
          <w:bCs/>
        </w:rPr>
      </w:pPr>
      <w:r w:rsidRPr="00F56379">
        <w:rPr>
          <w:b/>
        </w:rPr>
        <w:t>(**as at May 2, 202</w:t>
      </w:r>
      <w:r>
        <w:rPr>
          <w:b/>
        </w:rPr>
        <w:t>1)</w:t>
      </w:r>
    </w:p>
    <w:p w14:paraId="1BCBE115" w14:textId="77777777" w:rsidR="0068690C" w:rsidRDefault="0068690C" w:rsidP="0068690C">
      <w:pPr>
        <w:rPr>
          <w:rFonts w:ascii="Times New Roman" w:hAnsi="Times New Roman" w:cs="Times New Roman"/>
        </w:rPr>
      </w:pPr>
    </w:p>
    <w:tbl>
      <w:tblPr>
        <w:tblStyle w:val="TableGrid"/>
        <w:tblW w:w="9351" w:type="dxa"/>
        <w:tblLook w:val="04A0" w:firstRow="1" w:lastRow="0" w:firstColumn="1" w:lastColumn="0" w:noHBand="0" w:noVBand="1"/>
      </w:tblPr>
      <w:tblGrid>
        <w:gridCol w:w="1875"/>
        <w:gridCol w:w="3243"/>
        <w:gridCol w:w="4233"/>
      </w:tblGrid>
      <w:tr w:rsidR="0068690C" w14:paraId="2AE0A0D4" w14:textId="77777777" w:rsidTr="008E5CBF">
        <w:trPr>
          <w:trHeight w:val="620"/>
          <w:tblHeader/>
        </w:trPr>
        <w:tc>
          <w:tcPr>
            <w:tcW w:w="1875" w:type="dxa"/>
          </w:tcPr>
          <w:p w14:paraId="778694E7"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010B5D8E" w14:textId="77777777" w:rsidR="0068690C" w:rsidRPr="00B279AF" w:rsidRDefault="0068690C" w:rsidP="008E5CBF">
            <w:pPr>
              <w:autoSpaceDE w:val="0"/>
              <w:autoSpaceDN w:val="0"/>
              <w:adjustRightInd w:val="0"/>
              <w:contextualSpacing/>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Case</w:t>
            </w:r>
          </w:p>
        </w:tc>
        <w:tc>
          <w:tcPr>
            <w:tcW w:w="3243" w:type="dxa"/>
          </w:tcPr>
          <w:p w14:paraId="2C10B8F9"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1894FEA1"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Facts</w:t>
            </w:r>
          </w:p>
          <w:p w14:paraId="26F9211F"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p>
        </w:tc>
        <w:tc>
          <w:tcPr>
            <w:tcW w:w="4233" w:type="dxa"/>
          </w:tcPr>
          <w:p w14:paraId="3E786E0D"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p>
          <w:p w14:paraId="2D22CB5E" w14:textId="77777777" w:rsidR="0068690C" w:rsidRPr="00B279AF" w:rsidRDefault="0068690C" w:rsidP="008E5CBF">
            <w:pPr>
              <w:autoSpaceDE w:val="0"/>
              <w:autoSpaceDN w:val="0"/>
              <w:adjustRightInd w:val="0"/>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Judicial Analysis</w:t>
            </w:r>
          </w:p>
        </w:tc>
      </w:tr>
      <w:tr w:rsidR="0068690C" w14:paraId="509840E5" w14:textId="77777777" w:rsidTr="008E5CBF">
        <w:trPr>
          <w:trHeight w:val="948"/>
        </w:trPr>
        <w:tc>
          <w:tcPr>
            <w:tcW w:w="1875" w:type="dxa"/>
          </w:tcPr>
          <w:p w14:paraId="0686AA07" w14:textId="77777777" w:rsidR="0068690C" w:rsidRPr="002067BF" w:rsidRDefault="0068690C" w:rsidP="008E5CBF">
            <w:pPr>
              <w:autoSpaceDE w:val="0"/>
              <w:autoSpaceDN w:val="0"/>
              <w:adjustRightInd w:val="0"/>
              <w:rPr>
                <w:rFonts w:cs="Times New Roman"/>
                <w:b/>
                <w:bCs w:val="0"/>
                <w:color w:val="272627"/>
              </w:rPr>
            </w:pPr>
            <w:r>
              <w:rPr>
                <w:rFonts w:cs="Times New Roman"/>
                <w:b/>
                <w:bCs w:val="0"/>
                <w:i/>
                <w:color w:val="272627"/>
              </w:rPr>
              <w:t>1.</w:t>
            </w:r>
            <w:r w:rsidRPr="002067BF">
              <w:rPr>
                <w:rFonts w:cs="Times New Roman"/>
                <w:b/>
                <w:bCs w:val="0"/>
                <w:i/>
                <w:color w:val="272627"/>
              </w:rPr>
              <w:t xml:space="preserve">Kwan v Amex Bank of Canada, </w:t>
            </w:r>
            <w:r w:rsidRPr="002067BF">
              <w:rPr>
                <w:rFonts w:cs="Times New Roman"/>
                <w:b/>
                <w:bCs w:val="0"/>
                <w:iCs/>
                <w:color w:val="272627"/>
              </w:rPr>
              <w:t>2019 FC 968</w:t>
            </w:r>
          </w:p>
          <w:p w14:paraId="77358D2E" w14:textId="77777777" w:rsidR="0068690C" w:rsidRPr="002067BF" w:rsidRDefault="0068690C" w:rsidP="008E5CBF">
            <w:pPr>
              <w:autoSpaceDE w:val="0"/>
              <w:autoSpaceDN w:val="0"/>
              <w:adjustRightInd w:val="0"/>
              <w:rPr>
                <w:rFonts w:cs="Times New Roman"/>
                <w:color w:val="272627"/>
              </w:rPr>
            </w:pPr>
          </w:p>
        </w:tc>
        <w:tc>
          <w:tcPr>
            <w:tcW w:w="3243" w:type="dxa"/>
          </w:tcPr>
          <w:p w14:paraId="5C761838" w14:textId="77777777" w:rsidR="0068690C" w:rsidRPr="004A3BD7" w:rsidRDefault="0068690C" w:rsidP="008E5CBF">
            <w:pPr>
              <w:autoSpaceDE w:val="0"/>
              <w:autoSpaceDN w:val="0"/>
              <w:adjustRightInd w:val="0"/>
              <w:rPr>
                <w:rFonts w:cs="Times New Roman"/>
                <w:color w:val="272627"/>
              </w:rPr>
            </w:pPr>
            <w:r>
              <w:t>Applicant applied for a credit card from Amex, later alleging that Amex wrongfully used her information beyond its intended purposes, failed to keep accurate records, and fabricated records of her phone conversations with its representatives, at para 1.</w:t>
            </w:r>
          </w:p>
        </w:tc>
        <w:tc>
          <w:tcPr>
            <w:tcW w:w="4233" w:type="dxa"/>
          </w:tcPr>
          <w:p w14:paraId="398BF596" w14:textId="77777777" w:rsidR="0068690C" w:rsidRDefault="0068690C" w:rsidP="008E5CBF">
            <w:pPr>
              <w:autoSpaceDE w:val="0"/>
              <w:autoSpaceDN w:val="0"/>
              <w:adjustRightInd w:val="0"/>
              <w:rPr>
                <w:rFonts w:cs="Times New Roman"/>
                <w:color w:val="272627"/>
              </w:rPr>
            </w:pPr>
            <w:r>
              <w:rPr>
                <w:rFonts w:cs="Times New Roman"/>
                <w:color w:val="272627"/>
              </w:rPr>
              <w:t xml:space="preserve">No damages </w:t>
            </w:r>
            <w:r w:rsidRPr="003061DB">
              <w:rPr>
                <w:rFonts w:cs="Times New Roman"/>
                <w:color w:val="272627"/>
              </w:rPr>
              <w:t>award</w:t>
            </w:r>
            <w:r>
              <w:rPr>
                <w:rFonts w:cs="Times New Roman"/>
                <w:color w:val="272627"/>
              </w:rPr>
              <w:t xml:space="preserve">ed because applicant failed to prove her case, at para 20. Court found that Amex lawfully collected information for a valid purpose and kept accurate records, at paras 13, 15, and 18. </w:t>
            </w:r>
          </w:p>
          <w:p w14:paraId="49593BC8" w14:textId="77777777" w:rsidR="0068690C" w:rsidRDefault="0068690C" w:rsidP="008E5CBF">
            <w:pPr>
              <w:autoSpaceDE w:val="0"/>
              <w:autoSpaceDN w:val="0"/>
              <w:adjustRightInd w:val="0"/>
              <w:rPr>
                <w:rFonts w:cs="Times New Roman"/>
                <w:color w:val="272627"/>
              </w:rPr>
            </w:pPr>
            <w:r>
              <w:rPr>
                <w:rFonts w:cs="Times New Roman"/>
                <w:color w:val="272627"/>
              </w:rPr>
              <w:t xml:space="preserve"> </w:t>
            </w:r>
          </w:p>
          <w:p w14:paraId="7F573BA6" w14:textId="77777777" w:rsidR="0068690C" w:rsidRPr="008D18B7" w:rsidRDefault="0068690C" w:rsidP="008E5CBF">
            <w:pPr>
              <w:autoSpaceDE w:val="0"/>
              <w:autoSpaceDN w:val="0"/>
              <w:adjustRightInd w:val="0"/>
              <w:rPr>
                <w:rFonts w:cs="Times New Roman"/>
                <w:i/>
                <w:color w:val="272627"/>
              </w:rPr>
            </w:pPr>
          </w:p>
        </w:tc>
      </w:tr>
      <w:tr w:rsidR="0068690C" w14:paraId="6D951801" w14:textId="77777777" w:rsidTr="008E5CBF">
        <w:trPr>
          <w:trHeight w:val="526"/>
        </w:trPr>
        <w:tc>
          <w:tcPr>
            <w:tcW w:w="1875" w:type="dxa"/>
          </w:tcPr>
          <w:p w14:paraId="7BFE791D" w14:textId="77777777" w:rsidR="0068690C" w:rsidRDefault="0068690C" w:rsidP="008E5CBF">
            <w:pPr>
              <w:autoSpaceDE w:val="0"/>
              <w:autoSpaceDN w:val="0"/>
              <w:adjustRightInd w:val="0"/>
              <w:rPr>
                <w:rFonts w:cs="Times New Roman"/>
                <w:i/>
                <w:iCs/>
                <w:color w:val="272627"/>
              </w:rPr>
            </w:pPr>
            <w:r>
              <w:rPr>
                <w:b/>
                <w:bCs w:val="0"/>
                <w:i/>
                <w:iCs/>
              </w:rPr>
              <w:t>2.Miglial</w:t>
            </w:r>
            <w:r w:rsidRPr="00BB01D2">
              <w:rPr>
                <w:b/>
                <w:bCs w:val="0"/>
                <w:i/>
                <w:iCs/>
              </w:rPr>
              <w:t>o v Royal Bank of Canada</w:t>
            </w:r>
            <w:r w:rsidRPr="00BB01D2">
              <w:rPr>
                <w:b/>
                <w:bCs w:val="0"/>
              </w:rPr>
              <w:t>, 2018 FC 525</w:t>
            </w:r>
          </w:p>
          <w:p w14:paraId="6C794B43" w14:textId="77777777" w:rsidR="0068690C" w:rsidRDefault="0068690C" w:rsidP="008E5CBF">
            <w:pPr>
              <w:autoSpaceDE w:val="0"/>
              <w:autoSpaceDN w:val="0"/>
              <w:adjustRightInd w:val="0"/>
              <w:rPr>
                <w:rFonts w:cs="Times New Roman"/>
                <w:i/>
                <w:iCs/>
                <w:color w:val="272627"/>
              </w:rPr>
            </w:pPr>
          </w:p>
          <w:p w14:paraId="044941C1" w14:textId="77777777" w:rsidR="0068690C" w:rsidRPr="006D6DFA" w:rsidRDefault="0068690C" w:rsidP="008E5CBF">
            <w:pPr>
              <w:autoSpaceDE w:val="0"/>
              <w:autoSpaceDN w:val="0"/>
              <w:adjustRightInd w:val="0"/>
              <w:rPr>
                <w:rFonts w:cs="Times New Roman"/>
                <w:i/>
                <w:iCs/>
                <w:color w:val="272627"/>
              </w:rPr>
            </w:pPr>
            <w:r w:rsidRPr="008A30A9">
              <w:rPr>
                <w:rFonts w:cs="Times New Roman"/>
                <w:i/>
                <w:iCs/>
                <w:color w:val="272627"/>
              </w:rPr>
              <w:t>[cites Randall with approval, at para 41</w:t>
            </w:r>
            <w:r w:rsidRPr="0078225C">
              <w:rPr>
                <w:rFonts w:cs="Times New Roman"/>
                <w:i/>
                <w:iCs/>
                <w:color w:val="272627"/>
              </w:rPr>
              <w:t>]</w:t>
            </w:r>
          </w:p>
        </w:tc>
        <w:tc>
          <w:tcPr>
            <w:tcW w:w="3243" w:type="dxa"/>
          </w:tcPr>
          <w:p w14:paraId="096C38B2" w14:textId="77777777" w:rsidR="0068690C" w:rsidRDefault="0068690C" w:rsidP="008E5CBF">
            <w:pPr>
              <w:autoSpaceDE w:val="0"/>
              <w:autoSpaceDN w:val="0"/>
              <w:adjustRightInd w:val="0"/>
              <w:rPr>
                <w:rFonts w:cs="Times New Roman"/>
                <w:color w:val="272627"/>
              </w:rPr>
            </w:pPr>
            <w:r>
              <w:rPr>
                <w:rFonts w:cs="Times New Roman"/>
                <w:color w:val="272627"/>
              </w:rPr>
              <w:t>An RBC employee accessed the applicant’s financial information without authorization, at para 2. Applicant alleged that the employee further disclosed this information to family members, causing “i</w:t>
            </w:r>
            <w:r>
              <w:rPr>
                <w:rStyle w:val="citationcar"/>
              </w:rPr>
              <w:t>rreconcilable damage” to applicant’s relationships with family members and causing her “a great deal of humiliation and embarrassment” at para 32.</w:t>
            </w:r>
            <w:r>
              <w:rPr>
                <w:rFonts w:cs="Times New Roman"/>
                <w:color w:val="272627"/>
              </w:rPr>
              <w:t xml:space="preserve"> </w:t>
            </w:r>
          </w:p>
        </w:tc>
        <w:tc>
          <w:tcPr>
            <w:tcW w:w="4233" w:type="dxa"/>
          </w:tcPr>
          <w:p w14:paraId="17C7C541" w14:textId="77777777" w:rsidR="0068690C" w:rsidRDefault="0068690C" w:rsidP="008E5CBF">
            <w:pPr>
              <w:autoSpaceDE w:val="0"/>
              <w:autoSpaceDN w:val="0"/>
              <w:adjustRightInd w:val="0"/>
              <w:rPr>
                <w:rFonts w:cs="Times New Roman"/>
                <w:color w:val="272627"/>
              </w:rPr>
            </w:pPr>
            <w:r>
              <w:rPr>
                <w:rFonts w:cs="Times New Roman"/>
                <w:color w:val="272627"/>
              </w:rPr>
              <w:t xml:space="preserve">While the </w:t>
            </w:r>
            <w:r w:rsidRPr="003061DB">
              <w:rPr>
                <w:rFonts w:cs="Times New Roman"/>
                <w:i/>
                <w:iCs/>
                <w:color w:val="272627"/>
              </w:rPr>
              <w:t>PIPEDA</w:t>
            </w:r>
            <w:r>
              <w:rPr>
                <w:rFonts w:cs="Times New Roman"/>
                <w:color w:val="272627"/>
              </w:rPr>
              <w:t xml:space="preserve"> violation (wrongful access) was acknowledged, the applicant was not </w:t>
            </w:r>
            <w:r w:rsidRPr="003061DB">
              <w:rPr>
                <w:rFonts w:cs="Times New Roman"/>
                <w:color w:val="272627"/>
              </w:rPr>
              <w:t>award</w:t>
            </w:r>
            <w:r>
              <w:rPr>
                <w:rFonts w:cs="Times New Roman"/>
                <w:color w:val="272627"/>
              </w:rPr>
              <w:t xml:space="preserve">ed damages, at para 52. This is because the applicant failed to prove that the financial information was disclosed to others to begin with, at paras 27 and 43.   </w:t>
            </w:r>
          </w:p>
          <w:p w14:paraId="65E7181E" w14:textId="77777777" w:rsidR="0068690C" w:rsidRDefault="0068690C" w:rsidP="008E5CBF">
            <w:pPr>
              <w:autoSpaceDE w:val="0"/>
              <w:autoSpaceDN w:val="0"/>
              <w:adjustRightInd w:val="0"/>
              <w:rPr>
                <w:rFonts w:cs="Times New Roman"/>
                <w:color w:val="272627"/>
              </w:rPr>
            </w:pPr>
            <w:r>
              <w:t>Instead, the court emphasized that “[v]indication is to be found in the respondent’s acknowledgement of the breach, which resulted in appropriate disciplinary measures [of its employee], as well as the finding of the Privacy Commissioner that a violation of Principle 4.5 occurred” at para 52.</w:t>
            </w:r>
          </w:p>
        </w:tc>
      </w:tr>
      <w:tr w:rsidR="0068690C" w14:paraId="342BA85C" w14:textId="77777777" w:rsidTr="008E5CBF">
        <w:trPr>
          <w:trHeight w:val="526"/>
        </w:trPr>
        <w:tc>
          <w:tcPr>
            <w:tcW w:w="1875" w:type="dxa"/>
          </w:tcPr>
          <w:p w14:paraId="0BC6C7CA" w14:textId="77777777" w:rsidR="0068690C" w:rsidRDefault="0068690C" w:rsidP="008E5CBF">
            <w:pPr>
              <w:autoSpaceDE w:val="0"/>
              <w:autoSpaceDN w:val="0"/>
              <w:adjustRightInd w:val="0"/>
              <w:rPr>
                <w:rStyle w:val="solexhl"/>
                <w:b/>
                <w:bCs w:val="0"/>
                <w:i/>
                <w:iCs/>
              </w:rPr>
            </w:pPr>
            <w:r>
              <w:rPr>
                <w:rStyle w:val="solexhl"/>
                <w:b/>
                <w:bCs w:val="0"/>
                <w:i/>
                <w:iCs/>
              </w:rPr>
              <w:t xml:space="preserve">3. </w:t>
            </w:r>
            <w:proofErr w:type="spellStart"/>
            <w:r>
              <w:rPr>
                <w:rStyle w:val="solexhl"/>
                <w:b/>
                <w:bCs w:val="0"/>
                <w:i/>
                <w:iCs/>
              </w:rPr>
              <w:t>Fahmy</w:t>
            </w:r>
            <w:proofErr w:type="spellEnd"/>
            <w:r>
              <w:rPr>
                <w:rStyle w:val="solexhl"/>
                <w:b/>
                <w:bCs w:val="0"/>
                <w:i/>
                <w:iCs/>
              </w:rPr>
              <w:t xml:space="preserve"> v Bank of Montreal, 2016 FC 479</w:t>
            </w:r>
          </w:p>
          <w:p w14:paraId="63EB59BC" w14:textId="77777777" w:rsidR="0068690C" w:rsidRDefault="0068690C" w:rsidP="008E5CBF">
            <w:pPr>
              <w:autoSpaceDE w:val="0"/>
              <w:autoSpaceDN w:val="0"/>
              <w:adjustRightInd w:val="0"/>
              <w:rPr>
                <w:rStyle w:val="solexhl"/>
                <w:b/>
                <w:bCs w:val="0"/>
                <w:i/>
                <w:iCs/>
              </w:rPr>
            </w:pPr>
          </w:p>
          <w:p w14:paraId="56DE7AD4" w14:textId="77777777" w:rsidR="0068690C" w:rsidRPr="00F56379" w:rsidRDefault="0068690C" w:rsidP="008E5CBF">
            <w:pPr>
              <w:autoSpaceDE w:val="0"/>
              <w:autoSpaceDN w:val="0"/>
              <w:adjustRightInd w:val="0"/>
              <w:rPr>
                <w:rStyle w:val="solexhl"/>
                <w:i/>
                <w:iCs/>
              </w:rPr>
            </w:pPr>
          </w:p>
        </w:tc>
        <w:tc>
          <w:tcPr>
            <w:tcW w:w="3243" w:type="dxa"/>
          </w:tcPr>
          <w:p w14:paraId="301B08AF" w14:textId="77777777" w:rsidR="0068690C" w:rsidRDefault="0068690C" w:rsidP="008E5CBF">
            <w:pPr>
              <w:rPr>
                <w:rFonts w:cs="Times New Roman"/>
                <w:color w:val="272627"/>
              </w:rPr>
            </w:pPr>
            <w:r w:rsidRPr="00F56379">
              <w:rPr>
                <w:rFonts w:asciiTheme="minorHAnsi" w:hAnsiTheme="minorHAnsi" w:cstheme="minorHAnsi"/>
                <w:color w:val="222222"/>
                <w:shd w:val="clear" w:color="auto" w:fill="FFFFFF"/>
              </w:rPr>
              <w:t xml:space="preserve">Bank terminated relationship with applicant who sought disclosure of documents signed by applicant. Applicant challenged produced documents as an incomplete list. Privacy Commissioner concluded </w:t>
            </w:r>
            <w:r>
              <w:rPr>
                <w:rFonts w:asciiTheme="minorHAnsi" w:hAnsiTheme="minorHAnsi" w:cstheme="minorHAnsi"/>
                <w:color w:val="222222"/>
                <w:shd w:val="clear" w:color="auto" w:fill="FFFFFF"/>
              </w:rPr>
              <w:t xml:space="preserve">that BMO had responded to applicant’s access request, albeit late, at para 21. </w:t>
            </w:r>
            <w:r w:rsidRPr="00F56379">
              <w:rPr>
                <w:rFonts w:asciiTheme="minorHAnsi" w:hAnsiTheme="minorHAnsi" w:cstheme="minorHAnsi"/>
                <w:color w:val="222222"/>
                <w:shd w:val="clear" w:color="auto" w:fill="FFFFFF"/>
              </w:rPr>
              <w:t xml:space="preserve">Applicant sought judicial review and damages under </w:t>
            </w:r>
            <w:r w:rsidRPr="003061DB">
              <w:rPr>
                <w:rFonts w:asciiTheme="minorHAnsi" w:hAnsiTheme="minorHAnsi" w:cstheme="minorHAnsi"/>
                <w:i/>
                <w:iCs/>
                <w:color w:val="222222"/>
                <w:shd w:val="clear" w:color="auto" w:fill="FFFFFF"/>
              </w:rPr>
              <w:t>PIPEDA</w:t>
            </w:r>
            <w:r w:rsidRPr="00F56379">
              <w:rPr>
                <w:rFonts w:asciiTheme="minorHAnsi" w:hAnsiTheme="minorHAnsi" w:cstheme="minorHAnsi"/>
                <w:color w:val="222222"/>
                <w:shd w:val="clear" w:color="auto" w:fill="FFFFFF"/>
              </w:rPr>
              <w:t>.</w:t>
            </w:r>
          </w:p>
        </w:tc>
        <w:tc>
          <w:tcPr>
            <w:tcW w:w="4233" w:type="dxa"/>
          </w:tcPr>
          <w:p w14:paraId="1828EA1C" w14:textId="77777777" w:rsidR="0068690C" w:rsidRPr="00F56379" w:rsidRDefault="0068690C" w:rsidP="008E5CBF">
            <w:pPr>
              <w:rPr>
                <w:rFonts w:asciiTheme="minorHAnsi" w:hAnsiTheme="minorHAnsi" w:cstheme="minorHAnsi"/>
              </w:rPr>
            </w:pPr>
            <w:r w:rsidRPr="00F56379">
              <w:rPr>
                <w:rFonts w:asciiTheme="minorHAnsi" w:hAnsiTheme="minorHAnsi" w:cstheme="minorHAnsi"/>
                <w:color w:val="222222"/>
                <w:shd w:val="clear" w:color="auto" w:fill="FFFFFF"/>
              </w:rPr>
              <w:t>Application dismissed. "The applicant has failed to demonstrate that he is entitled to a remedy under section 16 of the Act. In this, I agree with the OPC that BMO responded to the access requests" at para 70. </w:t>
            </w:r>
          </w:p>
          <w:p w14:paraId="74A9E10D" w14:textId="77777777" w:rsidR="0068690C" w:rsidRDefault="0068690C" w:rsidP="008E5CBF">
            <w:pPr>
              <w:autoSpaceDE w:val="0"/>
              <w:autoSpaceDN w:val="0"/>
              <w:adjustRightInd w:val="0"/>
            </w:pPr>
          </w:p>
        </w:tc>
      </w:tr>
      <w:tr w:rsidR="0068690C" w14:paraId="1F889FA6" w14:textId="77777777" w:rsidTr="008E5CBF">
        <w:trPr>
          <w:trHeight w:val="526"/>
        </w:trPr>
        <w:tc>
          <w:tcPr>
            <w:tcW w:w="1875" w:type="dxa"/>
          </w:tcPr>
          <w:p w14:paraId="09E695FC" w14:textId="77777777" w:rsidR="0068690C" w:rsidRDefault="0068690C" w:rsidP="008E5CBF">
            <w:pPr>
              <w:autoSpaceDE w:val="0"/>
              <w:autoSpaceDN w:val="0"/>
              <w:adjustRightInd w:val="0"/>
              <w:rPr>
                <w:b/>
                <w:bCs w:val="0"/>
              </w:rPr>
            </w:pPr>
            <w:r>
              <w:rPr>
                <w:rStyle w:val="solexhl"/>
                <w:b/>
                <w:bCs w:val="0"/>
                <w:i/>
                <w:iCs/>
              </w:rPr>
              <w:t xml:space="preserve">4. </w:t>
            </w:r>
            <w:proofErr w:type="spellStart"/>
            <w:r w:rsidRPr="00F96051">
              <w:rPr>
                <w:rStyle w:val="solexhl"/>
                <w:b/>
                <w:bCs w:val="0"/>
                <w:i/>
                <w:iCs/>
              </w:rPr>
              <w:t>Bertucci</w:t>
            </w:r>
            <w:proofErr w:type="spellEnd"/>
            <w:r w:rsidRPr="00F96051">
              <w:rPr>
                <w:b/>
                <w:bCs w:val="0"/>
                <w:i/>
                <w:iCs/>
              </w:rPr>
              <w:t xml:space="preserve"> v Royal Bank of Canada, </w:t>
            </w:r>
            <w:r w:rsidRPr="00F96051">
              <w:rPr>
                <w:b/>
                <w:bCs w:val="0"/>
              </w:rPr>
              <w:t>2016 FC 332</w:t>
            </w:r>
          </w:p>
          <w:p w14:paraId="6E149FBD" w14:textId="77777777" w:rsidR="0068690C" w:rsidRDefault="0068690C" w:rsidP="008E5CBF">
            <w:pPr>
              <w:autoSpaceDE w:val="0"/>
              <w:autoSpaceDN w:val="0"/>
              <w:adjustRightInd w:val="0"/>
              <w:rPr>
                <w:i/>
                <w:iCs/>
                <w:highlight w:val="yellow"/>
              </w:rPr>
            </w:pPr>
          </w:p>
          <w:p w14:paraId="28410288" w14:textId="77777777" w:rsidR="0068690C" w:rsidRDefault="0068690C" w:rsidP="008E5CBF">
            <w:pPr>
              <w:autoSpaceDE w:val="0"/>
              <w:autoSpaceDN w:val="0"/>
              <w:adjustRightInd w:val="0"/>
              <w:rPr>
                <w:i/>
                <w:iCs/>
              </w:rPr>
            </w:pPr>
          </w:p>
          <w:p w14:paraId="610AF265" w14:textId="77777777" w:rsidR="0068690C" w:rsidRPr="00FC746F" w:rsidRDefault="0068690C" w:rsidP="008E5CBF">
            <w:pPr>
              <w:autoSpaceDE w:val="0"/>
              <w:autoSpaceDN w:val="0"/>
              <w:adjustRightInd w:val="0"/>
              <w:rPr>
                <w:rFonts w:cs="Times New Roman"/>
                <w:i/>
                <w:iCs/>
                <w:color w:val="272627"/>
              </w:rPr>
            </w:pPr>
          </w:p>
        </w:tc>
        <w:tc>
          <w:tcPr>
            <w:tcW w:w="3243" w:type="dxa"/>
          </w:tcPr>
          <w:p w14:paraId="7C020878" w14:textId="77777777" w:rsidR="0068690C" w:rsidRDefault="0068690C" w:rsidP="008E5CBF">
            <w:pPr>
              <w:autoSpaceDE w:val="0"/>
              <w:autoSpaceDN w:val="0"/>
              <w:adjustRightInd w:val="0"/>
              <w:rPr>
                <w:rFonts w:cs="Times New Roman"/>
                <w:color w:val="272627"/>
              </w:rPr>
            </w:pPr>
            <w:r>
              <w:rPr>
                <w:rFonts w:cs="Times New Roman"/>
                <w:color w:val="272627"/>
              </w:rPr>
              <w:t xml:space="preserve">The Royal Bank closed the applicants’ bank accounts, orally explaining that it was no longer comfortable doing business with them, at para 6. The applicants requested the Royal Bank to produce the personal information it held on them, pursuant to </w:t>
            </w:r>
            <w:r w:rsidRPr="003061DB">
              <w:rPr>
                <w:rFonts w:cs="Times New Roman"/>
                <w:i/>
                <w:iCs/>
                <w:color w:val="272627"/>
              </w:rPr>
              <w:t>PIPEDA</w:t>
            </w:r>
            <w:r>
              <w:rPr>
                <w:rFonts w:cs="Times New Roman"/>
                <w:color w:val="272627"/>
              </w:rPr>
              <w:t xml:space="preserve">, including </w:t>
            </w:r>
            <w:r>
              <w:rPr>
                <w:rFonts w:cs="Times New Roman"/>
                <w:color w:val="272627"/>
              </w:rPr>
              <w:lastRenderedPageBreak/>
              <w:t xml:space="preserve">why their accounts were to be closed.  The bank refused the request for various reasons, including that the information was confidential commercial information, at para 7.  The applicants eventually brought this matter to the federal court, seeking disclosure of that personal information and damages under </w:t>
            </w:r>
            <w:r w:rsidRPr="003061DB">
              <w:rPr>
                <w:rFonts w:cs="Times New Roman"/>
                <w:i/>
                <w:iCs/>
                <w:color w:val="272627"/>
              </w:rPr>
              <w:t>PIPEDA</w:t>
            </w:r>
            <w:r>
              <w:rPr>
                <w:rFonts w:cs="Times New Roman"/>
                <w:color w:val="272627"/>
              </w:rPr>
              <w:t xml:space="preserve">. </w:t>
            </w:r>
          </w:p>
        </w:tc>
        <w:tc>
          <w:tcPr>
            <w:tcW w:w="4233" w:type="dxa"/>
          </w:tcPr>
          <w:p w14:paraId="750BE67E" w14:textId="77777777" w:rsidR="0068690C" w:rsidRDefault="0068690C" w:rsidP="008E5CBF">
            <w:pPr>
              <w:autoSpaceDE w:val="0"/>
              <w:autoSpaceDN w:val="0"/>
              <w:adjustRightInd w:val="0"/>
            </w:pPr>
            <w:r>
              <w:lastRenderedPageBreak/>
              <w:t xml:space="preserve">The court ordered production of the requested documents but declined to </w:t>
            </w:r>
            <w:r w:rsidRPr="003061DB">
              <w:t>award</w:t>
            </w:r>
            <w:r>
              <w:t xml:space="preserve"> damages. This is because there was little evidence that the applicants “suffered hardship or difficulties in having to make alternative banking arrangements, other than a feeling of humiliation” at para 47.</w:t>
            </w:r>
          </w:p>
          <w:p w14:paraId="64965633" w14:textId="77777777" w:rsidR="0068690C" w:rsidRDefault="0068690C" w:rsidP="008E5CBF">
            <w:pPr>
              <w:autoSpaceDE w:val="0"/>
              <w:autoSpaceDN w:val="0"/>
              <w:adjustRightInd w:val="0"/>
              <w:rPr>
                <w:rFonts w:cs="Times New Roman"/>
                <w:color w:val="272627"/>
              </w:rPr>
            </w:pPr>
          </w:p>
          <w:p w14:paraId="7675C80D" w14:textId="77777777" w:rsidR="0068690C" w:rsidRDefault="0068690C" w:rsidP="008E5CBF">
            <w:pPr>
              <w:autoSpaceDE w:val="0"/>
              <w:autoSpaceDN w:val="0"/>
              <w:adjustRightInd w:val="0"/>
              <w:rPr>
                <w:rFonts w:cs="Times New Roman"/>
                <w:color w:val="272627"/>
              </w:rPr>
            </w:pPr>
            <w:r w:rsidRPr="00902CBF">
              <w:rPr>
                <w:rFonts w:cs="Times New Roman"/>
                <w:i/>
                <w:iCs/>
                <w:color w:val="272627"/>
              </w:rPr>
              <w:lastRenderedPageBreak/>
              <w:t>Author’s Note</w:t>
            </w:r>
            <w:r>
              <w:rPr>
                <w:rFonts w:cs="Times New Roman"/>
                <w:color w:val="272627"/>
              </w:rPr>
              <w:t xml:space="preserve">:  The basis for the damages claim and the court’s analysis of same would appear to be problematic since </w:t>
            </w:r>
            <w:r w:rsidRPr="003061DB">
              <w:rPr>
                <w:rFonts w:cs="Times New Roman"/>
                <w:i/>
                <w:iCs/>
                <w:color w:val="272627"/>
              </w:rPr>
              <w:t>PIPEDA</w:t>
            </w:r>
            <w:r>
              <w:rPr>
                <w:rFonts w:cs="Times New Roman"/>
                <w:color w:val="272627"/>
              </w:rPr>
              <w:t xml:space="preserve"> does not contain rules as to when a bank can terminate its relationship with a customer. It would seem that damages under </w:t>
            </w:r>
            <w:r w:rsidRPr="003061DB">
              <w:rPr>
                <w:rFonts w:cs="Times New Roman"/>
                <w:i/>
                <w:iCs/>
                <w:color w:val="272627"/>
              </w:rPr>
              <w:t>PIPEDA</w:t>
            </w:r>
            <w:r>
              <w:rPr>
                <w:rFonts w:cs="Times New Roman"/>
                <w:color w:val="272627"/>
              </w:rPr>
              <w:t xml:space="preserve"> in this case would be recoverable only if related to the bank’s wrongful failure to produce the applicant’s personal information.   </w:t>
            </w:r>
          </w:p>
        </w:tc>
      </w:tr>
      <w:tr w:rsidR="0068690C" w:rsidRPr="00C86197" w14:paraId="721388EE" w14:textId="77777777" w:rsidTr="008E5CBF">
        <w:trPr>
          <w:trHeight w:val="526"/>
        </w:trPr>
        <w:tc>
          <w:tcPr>
            <w:tcW w:w="1875" w:type="dxa"/>
          </w:tcPr>
          <w:p w14:paraId="57615FC5" w14:textId="77777777" w:rsidR="0068690C" w:rsidRPr="00AF0ACD" w:rsidRDefault="0068690C" w:rsidP="008E5CBF">
            <w:pPr>
              <w:autoSpaceDE w:val="0"/>
              <w:autoSpaceDN w:val="0"/>
              <w:adjustRightInd w:val="0"/>
              <w:rPr>
                <w:rFonts w:cs="Times New Roman"/>
                <w:b/>
                <w:bCs w:val="0"/>
                <w:color w:val="272627"/>
              </w:rPr>
            </w:pPr>
            <w:r>
              <w:rPr>
                <w:rFonts w:cs="Times New Roman"/>
                <w:b/>
                <w:bCs w:val="0"/>
                <w:i/>
                <w:iCs/>
                <w:color w:val="272627"/>
              </w:rPr>
              <w:lastRenderedPageBreak/>
              <w:t xml:space="preserve">5. </w:t>
            </w:r>
            <w:r w:rsidRPr="00AF0ACD">
              <w:rPr>
                <w:rFonts w:cs="Times New Roman"/>
                <w:b/>
                <w:bCs w:val="0"/>
                <w:i/>
                <w:iCs/>
                <w:color w:val="272627"/>
              </w:rPr>
              <w:t>Townsend v Sun Life Financial</w:t>
            </w:r>
            <w:r w:rsidRPr="00AF0ACD">
              <w:rPr>
                <w:rFonts w:cs="Times New Roman"/>
                <w:b/>
                <w:bCs w:val="0"/>
                <w:color w:val="272627"/>
              </w:rPr>
              <w:t>, 2012 FC 550</w:t>
            </w:r>
          </w:p>
          <w:p w14:paraId="4DA3F8CF" w14:textId="77777777" w:rsidR="0068690C" w:rsidRDefault="0068690C" w:rsidP="008E5CBF">
            <w:pPr>
              <w:autoSpaceDE w:val="0"/>
              <w:autoSpaceDN w:val="0"/>
              <w:adjustRightInd w:val="0"/>
              <w:rPr>
                <w:rFonts w:cs="Times New Roman"/>
                <w:i/>
                <w:iCs/>
                <w:color w:val="272627"/>
              </w:rPr>
            </w:pPr>
          </w:p>
          <w:p w14:paraId="268CFAC9" w14:textId="77777777" w:rsidR="0068690C" w:rsidRPr="00C055F0" w:rsidRDefault="0068690C" w:rsidP="008E5CBF">
            <w:pPr>
              <w:autoSpaceDE w:val="0"/>
              <w:autoSpaceDN w:val="0"/>
              <w:adjustRightInd w:val="0"/>
              <w:rPr>
                <w:rFonts w:cs="Times New Roman"/>
                <w:color w:val="272627"/>
                <w:lang w:val="en-CA"/>
              </w:rPr>
            </w:pPr>
            <w:r>
              <w:rPr>
                <w:rFonts w:cs="Times New Roman"/>
                <w:i/>
                <w:iCs/>
                <w:color w:val="272627"/>
              </w:rPr>
              <w:t>[</w:t>
            </w:r>
            <w:r w:rsidRPr="00495125">
              <w:rPr>
                <w:rFonts w:cs="Times New Roman"/>
                <w:i/>
                <w:iCs/>
                <w:color w:val="272627"/>
              </w:rPr>
              <w:t xml:space="preserve">cites Randall </w:t>
            </w:r>
            <w:r>
              <w:rPr>
                <w:rFonts w:cs="Times New Roman"/>
                <w:i/>
                <w:iCs/>
                <w:color w:val="272627"/>
              </w:rPr>
              <w:t>with approval at para 23]</w:t>
            </w:r>
          </w:p>
        </w:tc>
        <w:tc>
          <w:tcPr>
            <w:tcW w:w="3243" w:type="dxa"/>
          </w:tcPr>
          <w:p w14:paraId="097DC5D8" w14:textId="77777777" w:rsidR="0068690C" w:rsidRPr="004A3BD7" w:rsidRDefault="0068690C" w:rsidP="008E5CBF">
            <w:pPr>
              <w:autoSpaceDE w:val="0"/>
              <w:autoSpaceDN w:val="0"/>
              <w:adjustRightInd w:val="0"/>
              <w:rPr>
                <w:rFonts w:cs="Times New Roman"/>
                <w:color w:val="272627"/>
              </w:rPr>
            </w:pPr>
            <w:r>
              <w:rPr>
                <w:rFonts w:cs="Times New Roman"/>
                <w:color w:val="272627"/>
              </w:rPr>
              <w:t xml:space="preserve">Applicant had been dealing with Sun Life in a long-term care insurance matter, at para 4.  Sun Life mishandled some of the complainant’s medical information by sending it to the wrong address, at para 17. </w:t>
            </w:r>
          </w:p>
        </w:tc>
        <w:tc>
          <w:tcPr>
            <w:tcW w:w="4233" w:type="dxa"/>
          </w:tcPr>
          <w:p w14:paraId="391B9442" w14:textId="77777777" w:rsidR="0068690C" w:rsidRPr="00C86197" w:rsidRDefault="0068690C" w:rsidP="008E5CBF">
            <w:pPr>
              <w:autoSpaceDE w:val="0"/>
              <w:autoSpaceDN w:val="0"/>
              <w:adjustRightInd w:val="0"/>
              <w:rPr>
                <w:rFonts w:asciiTheme="minorHAnsi" w:hAnsiTheme="minorHAnsi" w:cstheme="minorHAnsi"/>
                <w:color w:val="272627"/>
              </w:rPr>
            </w:pPr>
            <w:r w:rsidRPr="00C86197">
              <w:rPr>
                <w:rFonts w:asciiTheme="minorHAnsi" w:hAnsiTheme="minorHAnsi" w:cstheme="minorHAnsi"/>
                <w:color w:val="272627"/>
              </w:rPr>
              <w:t xml:space="preserve">No damages </w:t>
            </w:r>
            <w:r w:rsidRPr="003061DB">
              <w:rPr>
                <w:rFonts w:asciiTheme="minorHAnsi" w:hAnsiTheme="minorHAnsi" w:cstheme="minorHAnsi"/>
                <w:color w:val="272627"/>
              </w:rPr>
              <w:t>award</w:t>
            </w:r>
            <w:r w:rsidRPr="00C86197">
              <w:rPr>
                <w:rFonts w:asciiTheme="minorHAnsi" w:hAnsiTheme="minorHAnsi" w:cstheme="minorHAnsi"/>
                <w:color w:val="272627"/>
              </w:rPr>
              <w:t xml:space="preserve">ed because Sun Life’s wrongful disclosure was minimal and caused the applicant no injury, at para 38. Organizations are not held “to a standard of perfection” at para 34, particularly in the context of Sun Life </w:t>
            </w:r>
            <w:r w:rsidRPr="00C86197">
              <w:rPr>
                <w:rFonts w:asciiTheme="minorHAnsi" w:hAnsiTheme="minorHAnsi" w:cstheme="minorHAnsi"/>
              </w:rPr>
              <w:t>already have “a detailed protocol before the occurrence of what can only be considered as a human error” at para 34.</w:t>
            </w:r>
          </w:p>
        </w:tc>
      </w:tr>
      <w:tr w:rsidR="0068690C" w14:paraId="60750AB8" w14:textId="77777777" w:rsidTr="008E5CBF">
        <w:trPr>
          <w:trHeight w:val="526"/>
        </w:trPr>
        <w:tc>
          <w:tcPr>
            <w:tcW w:w="1875" w:type="dxa"/>
          </w:tcPr>
          <w:p w14:paraId="7279144F" w14:textId="77777777" w:rsidR="0068690C" w:rsidRDefault="0068690C" w:rsidP="008E5CBF">
            <w:pPr>
              <w:autoSpaceDE w:val="0"/>
              <w:autoSpaceDN w:val="0"/>
              <w:adjustRightInd w:val="0"/>
              <w:rPr>
                <w:b/>
                <w:bCs w:val="0"/>
              </w:rPr>
            </w:pPr>
            <w:r>
              <w:rPr>
                <w:b/>
                <w:bCs w:val="0"/>
                <w:i/>
              </w:rPr>
              <w:t>6</w:t>
            </w:r>
            <w:r w:rsidRPr="002A6D41">
              <w:rPr>
                <w:b/>
                <w:bCs w:val="0"/>
                <w:i/>
              </w:rPr>
              <w:t xml:space="preserve">. Stevens v SNF Maritime Metal Inc, </w:t>
            </w:r>
            <w:r w:rsidRPr="002A6D41">
              <w:rPr>
                <w:b/>
                <w:bCs w:val="0"/>
              </w:rPr>
              <w:t>2010 FC 1137</w:t>
            </w:r>
          </w:p>
          <w:p w14:paraId="2A0D12A9" w14:textId="77777777" w:rsidR="0068690C" w:rsidRPr="002A6D41" w:rsidRDefault="0068690C" w:rsidP="008E5CBF">
            <w:pPr>
              <w:autoSpaceDE w:val="0"/>
              <w:autoSpaceDN w:val="0"/>
              <w:adjustRightInd w:val="0"/>
              <w:rPr>
                <w:b/>
                <w:bCs w:val="0"/>
              </w:rPr>
            </w:pPr>
          </w:p>
          <w:p w14:paraId="5291AFE4" w14:textId="77777777" w:rsidR="0068690C" w:rsidRDefault="0068690C" w:rsidP="008E5CBF">
            <w:pPr>
              <w:autoSpaceDE w:val="0"/>
              <w:autoSpaceDN w:val="0"/>
              <w:adjustRightInd w:val="0"/>
              <w:rPr>
                <w:b/>
                <w:bCs w:val="0"/>
                <w:i/>
                <w:iCs/>
              </w:rPr>
            </w:pPr>
          </w:p>
          <w:p w14:paraId="3A159725" w14:textId="77777777" w:rsidR="0068690C" w:rsidRPr="002A6D41" w:rsidRDefault="0068690C" w:rsidP="008E5CBF">
            <w:pPr>
              <w:autoSpaceDE w:val="0"/>
              <w:autoSpaceDN w:val="0"/>
              <w:adjustRightInd w:val="0"/>
              <w:rPr>
                <w:b/>
                <w:bCs w:val="0"/>
                <w:i/>
                <w:iCs/>
              </w:rPr>
            </w:pPr>
          </w:p>
        </w:tc>
        <w:tc>
          <w:tcPr>
            <w:tcW w:w="3243" w:type="dxa"/>
          </w:tcPr>
          <w:p w14:paraId="69542DB2" w14:textId="77777777" w:rsidR="0068690C" w:rsidRDefault="0068690C" w:rsidP="008E5CBF">
            <w:pPr>
              <w:autoSpaceDE w:val="0"/>
              <w:autoSpaceDN w:val="0"/>
              <w:adjustRightInd w:val="0"/>
              <w:rPr>
                <w:rFonts w:cs="Times New Roman"/>
                <w:color w:val="272627"/>
              </w:rPr>
            </w:pPr>
            <w:r>
              <w:t xml:space="preserve">Stevens was an employee of </w:t>
            </w:r>
            <w:proofErr w:type="spellStart"/>
            <w:r>
              <w:t>Alscott</w:t>
            </w:r>
            <w:proofErr w:type="spellEnd"/>
            <w:r>
              <w:t xml:space="preserve">, a company that sold metal to SNF Maritime Metal Inc (SNF). Part of Stevens’ job was to deliver metal to SNF and remit cash proceeds to his foreman, at para 4. Stevens opened a personal account with SNF, delivered metal, and had proceeds deposited to his account, at para 5.  Stevens knew that some of the money that was deposited to his account belonged to </w:t>
            </w:r>
            <w:proofErr w:type="spellStart"/>
            <w:r>
              <w:t>Alscott</w:t>
            </w:r>
            <w:proofErr w:type="spellEnd"/>
            <w:r>
              <w:t xml:space="preserve"> but took no steps to correct that error, at para 24. Responding to decreased metal sales to SNF, </w:t>
            </w:r>
            <w:proofErr w:type="spellStart"/>
            <w:r>
              <w:t>Alscott</w:t>
            </w:r>
            <w:proofErr w:type="spellEnd"/>
            <w:r>
              <w:t xml:space="preserve"> made inquiries of SNF who disclosed the fact of Steven’s personal account, at para 6. Stevens was dismissed from his employment at para 8. Stevens </w:t>
            </w:r>
            <w:proofErr w:type="spellStart"/>
            <w:r>
              <w:t>saught</w:t>
            </w:r>
            <w:proofErr w:type="spellEnd"/>
            <w:r>
              <w:t xml:space="preserve"> damages under </w:t>
            </w:r>
            <w:r w:rsidRPr="003061DB">
              <w:rPr>
                <w:i/>
                <w:iCs/>
              </w:rPr>
              <w:t>PIPEDA</w:t>
            </w:r>
            <w:r>
              <w:t xml:space="preserve"> for losses related to termination.   </w:t>
            </w:r>
          </w:p>
        </w:tc>
        <w:tc>
          <w:tcPr>
            <w:tcW w:w="4233" w:type="dxa"/>
          </w:tcPr>
          <w:p w14:paraId="5D69FBE6" w14:textId="77777777" w:rsidR="0068690C" w:rsidRDefault="0068690C" w:rsidP="008E5CBF">
            <w:pPr>
              <w:rPr>
                <w:iCs/>
              </w:rPr>
            </w:pPr>
            <w:r>
              <w:t xml:space="preserve">Court found a breach of </w:t>
            </w:r>
            <w:r w:rsidRPr="003061DB">
              <w:rPr>
                <w:i/>
                <w:iCs/>
              </w:rPr>
              <w:t>PIPEDA</w:t>
            </w:r>
            <w:r>
              <w:rPr>
                <w:i/>
              </w:rPr>
              <w:t xml:space="preserve"> </w:t>
            </w:r>
            <w:r>
              <w:rPr>
                <w:iCs/>
              </w:rPr>
              <w:t xml:space="preserve">because SNF’s disclosure of the personal account was wrongful, at para 18. However, Stevens also misconducted himself by taking not steps to correct SNF records, at para 24. As well, Stevens’s loss was caused by his termination for cause, at para 28.  In declining to </w:t>
            </w:r>
            <w:r w:rsidRPr="003061DB">
              <w:t>award</w:t>
            </w:r>
            <w:r>
              <w:rPr>
                <w:iCs/>
              </w:rPr>
              <w:t xml:space="preserve"> damages, court observed: </w:t>
            </w:r>
          </w:p>
          <w:p w14:paraId="45F19885" w14:textId="77777777" w:rsidR="0068690C" w:rsidRDefault="0068690C" w:rsidP="008E5CBF">
            <w:r>
              <w:t xml:space="preserve">“To the extent (if any) that privacy is involved, it is minimal and the Applicant has put </w:t>
            </w:r>
            <w:r w:rsidRPr="003061DB">
              <w:t>forward</w:t>
            </w:r>
            <w:r>
              <w:t xml:space="preserve"> no other evidence of impact on his standing or community perception or similar features of a breach of privacy claim” at para 31. </w:t>
            </w:r>
          </w:p>
        </w:tc>
      </w:tr>
      <w:tr w:rsidR="0068690C" w14:paraId="394D53D8" w14:textId="77777777" w:rsidTr="008E5CBF">
        <w:trPr>
          <w:trHeight w:val="526"/>
        </w:trPr>
        <w:tc>
          <w:tcPr>
            <w:tcW w:w="1875" w:type="dxa"/>
          </w:tcPr>
          <w:p w14:paraId="05291DF9" w14:textId="77777777" w:rsidR="0068690C" w:rsidRPr="00012165" w:rsidRDefault="0068690C" w:rsidP="008E5CBF">
            <w:pPr>
              <w:autoSpaceDE w:val="0"/>
              <w:autoSpaceDN w:val="0"/>
              <w:adjustRightInd w:val="0"/>
              <w:rPr>
                <w:b/>
                <w:bCs w:val="0"/>
                <w:iCs/>
              </w:rPr>
            </w:pPr>
            <w:r>
              <w:rPr>
                <w:b/>
                <w:bCs w:val="0"/>
              </w:rPr>
              <w:t xml:space="preserve">7. </w:t>
            </w:r>
            <w:r w:rsidRPr="00012165">
              <w:rPr>
                <w:b/>
                <w:bCs w:val="0"/>
              </w:rPr>
              <w:t>Banuelos v TD Bank Financial Group, 2010 FC 934</w:t>
            </w:r>
          </w:p>
          <w:p w14:paraId="156F86DE" w14:textId="77777777" w:rsidR="0068690C" w:rsidRPr="00012165" w:rsidRDefault="0068690C" w:rsidP="008E5CBF">
            <w:pPr>
              <w:autoSpaceDE w:val="0"/>
              <w:autoSpaceDN w:val="0"/>
              <w:adjustRightInd w:val="0"/>
              <w:rPr>
                <w:b/>
                <w:bCs w:val="0"/>
                <w:iCs/>
              </w:rPr>
            </w:pPr>
          </w:p>
        </w:tc>
        <w:tc>
          <w:tcPr>
            <w:tcW w:w="3243" w:type="dxa"/>
          </w:tcPr>
          <w:p w14:paraId="7295A8F8" w14:textId="77777777" w:rsidR="0068690C" w:rsidRDefault="0068690C" w:rsidP="008E5CBF">
            <w:pPr>
              <w:autoSpaceDE w:val="0"/>
              <w:autoSpaceDN w:val="0"/>
              <w:adjustRightInd w:val="0"/>
            </w:pPr>
            <w:r>
              <w:t xml:space="preserve">Applicant claimed that TD disclosed his information to his mother, who was in divorce proceedings with his father, at para 7. The Privacy Commissioner found there was no breach of </w:t>
            </w:r>
            <w:r w:rsidRPr="00A17429">
              <w:rPr>
                <w:i/>
                <w:iCs/>
              </w:rPr>
              <w:t>PIPEDA.</w:t>
            </w:r>
          </w:p>
        </w:tc>
        <w:tc>
          <w:tcPr>
            <w:tcW w:w="4233" w:type="dxa"/>
          </w:tcPr>
          <w:p w14:paraId="72802661" w14:textId="77777777" w:rsidR="0068690C" w:rsidRDefault="0068690C" w:rsidP="008E5CBF">
            <w:r>
              <w:t xml:space="preserve">No damages </w:t>
            </w:r>
            <w:r w:rsidRPr="003061DB">
              <w:t>award</w:t>
            </w:r>
            <w:r>
              <w:t xml:space="preserve">ed because no breach of </w:t>
            </w:r>
            <w:r w:rsidRPr="003061DB">
              <w:rPr>
                <w:i/>
                <w:iCs/>
              </w:rPr>
              <w:t>PIPEDA</w:t>
            </w:r>
            <w:r>
              <w:t>, at para 42.</w:t>
            </w:r>
          </w:p>
        </w:tc>
      </w:tr>
      <w:tr w:rsidR="0068690C" w14:paraId="3FE8E39C" w14:textId="77777777" w:rsidTr="008E5CBF">
        <w:trPr>
          <w:trHeight w:val="526"/>
        </w:trPr>
        <w:tc>
          <w:tcPr>
            <w:tcW w:w="1875" w:type="dxa"/>
          </w:tcPr>
          <w:p w14:paraId="66966201" w14:textId="77777777" w:rsidR="0068690C" w:rsidRDefault="0068690C" w:rsidP="008E5CBF">
            <w:pPr>
              <w:autoSpaceDE w:val="0"/>
              <w:autoSpaceDN w:val="0"/>
              <w:adjustRightInd w:val="0"/>
              <w:rPr>
                <w:b/>
                <w:bCs w:val="0"/>
              </w:rPr>
            </w:pPr>
            <w:bookmarkStart w:id="28" w:name="_Hlk74667939"/>
            <w:r>
              <w:rPr>
                <w:b/>
                <w:bCs w:val="0"/>
                <w:i/>
              </w:rPr>
              <w:t xml:space="preserve">8. </w:t>
            </w:r>
            <w:r w:rsidRPr="00921701">
              <w:rPr>
                <w:b/>
                <w:bCs w:val="0"/>
                <w:i/>
              </w:rPr>
              <w:t xml:space="preserve">Randall v </w:t>
            </w:r>
            <w:proofErr w:type="spellStart"/>
            <w:r w:rsidRPr="00921701">
              <w:rPr>
                <w:b/>
                <w:bCs w:val="0"/>
                <w:i/>
              </w:rPr>
              <w:t>Nubody</w:t>
            </w:r>
            <w:r>
              <w:rPr>
                <w:b/>
                <w:bCs w:val="0"/>
                <w:i/>
              </w:rPr>
              <w:t>’</w:t>
            </w:r>
            <w:r w:rsidRPr="00921701">
              <w:rPr>
                <w:b/>
                <w:bCs w:val="0"/>
                <w:i/>
              </w:rPr>
              <w:t>s</w:t>
            </w:r>
            <w:proofErr w:type="spellEnd"/>
            <w:r w:rsidRPr="00921701">
              <w:rPr>
                <w:b/>
                <w:bCs w:val="0"/>
                <w:i/>
              </w:rPr>
              <w:t xml:space="preserve"> Fitness </w:t>
            </w:r>
            <w:proofErr w:type="spellStart"/>
            <w:r w:rsidRPr="00921701">
              <w:rPr>
                <w:b/>
                <w:bCs w:val="0"/>
                <w:i/>
              </w:rPr>
              <w:lastRenderedPageBreak/>
              <w:t>Centres</w:t>
            </w:r>
            <w:proofErr w:type="spellEnd"/>
            <w:r w:rsidRPr="00921701">
              <w:rPr>
                <w:b/>
                <w:bCs w:val="0"/>
              </w:rPr>
              <w:t>, 2010 FC 681</w:t>
            </w:r>
          </w:p>
          <w:p w14:paraId="323AA6B7" w14:textId="77777777" w:rsidR="0068690C" w:rsidRPr="003A3883" w:rsidRDefault="0068690C" w:rsidP="008E5CBF">
            <w:pPr>
              <w:autoSpaceDE w:val="0"/>
              <w:autoSpaceDN w:val="0"/>
              <w:adjustRightInd w:val="0"/>
              <w:rPr>
                <w:i/>
                <w:iCs/>
              </w:rPr>
            </w:pPr>
          </w:p>
        </w:tc>
        <w:tc>
          <w:tcPr>
            <w:tcW w:w="3243" w:type="dxa"/>
          </w:tcPr>
          <w:p w14:paraId="0F1A98F8" w14:textId="77777777" w:rsidR="0068690C" w:rsidRDefault="0068690C" w:rsidP="008E5CBF">
            <w:pPr>
              <w:autoSpaceDE w:val="0"/>
              <w:autoSpaceDN w:val="0"/>
              <w:adjustRightInd w:val="0"/>
            </w:pPr>
            <w:r>
              <w:lastRenderedPageBreak/>
              <w:t xml:space="preserve">Applicant enrolled at the respondent’s fitness gym. The </w:t>
            </w:r>
            <w:r>
              <w:lastRenderedPageBreak/>
              <w:t>membership was partially subsidized by the applicant’s employer. The respondent released information to employer disclosing how many times the applicant frequented the gym, at para 36.</w:t>
            </w:r>
          </w:p>
          <w:p w14:paraId="0A6B1772" w14:textId="77777777" w:rsidR="0068690C" w:rsidRDefault="0068690C" w:rsidP="008E5CBF">
            <w:pPr>
              <w:autoSpaceDE w:val="0"/>
              <w:autoSpaceDN w:val="0"/>
              <w:adjustRightInd w:val="0"/>
              <w:rPr>
                <w:rFonts w:cs="Times New Roman"/>
                <w:color w:val="272627"/>
              </w:rPr>
            </w:pPr>
            <w:r>
              <w:rPr>
                <w:rFonts w:cs="Times New Roman"/>
                <w:color w:val="272627"/>
              </w:rPr>
              <w:t>Applicant claimed that “</w:t>
            </w:r>
            <w:r>
              <w:t xml:space="preserve">the disclosure of information on his fitness </w:t>
            </w:r>
            <w:proofErr w:type="spellStart"/>
            <w:r>
              <w:t>centre</w:t>
            </w:r>
            <w:proofErr w:type="spellEnd"/>
            <w:r>
              <w:t xml:space="preserve"> usage caused him embarrassment and created an atmosphere of competition amongst co-workers that he was unwillingly forced into. The applicant also stated that he believes that he was reprimanded by his superiors for his communications with the respondent” at para 18.  </w:t>
            </w:r>
          </w:p>
        </w:tc>
        <w:tc>
          <w:tcPr>
            <w:tcW w:w="4233" w:type="dxa"/>
          </w:tcPr>
          <w:p w14:paraId="496F307A" w14:textId="77777777" w:rsidR="0068690C" w:rsidRDefault="0068690C" w:rsidP="008E5CBF">
            <w:pPr>
              <w:rPr>
                <w:rFonts w:asciiTheme="minorHAnsi" w:hAnsiTheme="minorHAnsi" w:cstheme="minorHAnsi"/>
              </w:rPr>
            </w:pPr>
            <w:r>
              <w:lastRenderedPageBreak/>
              <w:t xml:space="preserve">Court found a breach of </w:t>
            </w:r>
            <w:r w:rsidRPr="003061DB">
              <w:rPr>
                <w:i/>
                <w:iCs/>
              </w:rPr>
              <w:t>PIPEDA</w:t>
            </w:r>
            <w:r>
              <w:t xml:space="preserve"> because </w:t>
            </w:r>
            <w:proofErr w:type="spellStart"/>
            <w:r>
              <w:t>Nubody’s</w:t>
            </w:r>
            <w:proofErr w:type="spellEnd"/>
            <w:r>
              <w:t xml:space="preserve"> disclosed personal information </w:t>
            </w:r>
            <w:r>
              <w:lastRenderedPageBreak/>
              <w:t xml:space="preserve">concerning usage of the facility, at para 36 but would not </w:t>
            </w:r>
            <w:r w:rsidRPr="003061DB">
              <w:t>award</w:t>
            </w:r>
            <w:r>
              <w:t xml:space="preserve"> damages.  This is, in part, because </w:t>
            </w:r>
            <w:proofErr w:type="spellStart"/>
            <w:r>
              <w:t>Nubody’s</w:t>
            </w:r>
            <w:proofErr w:type="spellEnd"/>
            <w:r>
              <w:t xml:space="preserve"> had adopted the Privacy Commissioner’s to improve its systems, at para 46-47. Furthermore</w:t>
            </w:r>
            <w:r w:rsidRPr="00902CBF">
              <w:rPr>
                <w:rFonts w:asciiTheme="minorHAnsi" w:hAnsiTheme="minorHAnsi" w:cstheme="minorHAnsi"/>
              </w:rPr>
              <w:t xml:space="preserve">, </w:t>
            </w:r>
            <w:r w:rsidRPr="00902CBF">
              <w:rPr>
                <w:rFonts w:asciiTheme="minorHAnsi" w:eastAsia="Times New Roman" w:hAnsiTheme="minorHAnsi" w:cstheme="minorHAnsi"/>
                <w:lang w:eastAsia="en-CA"/>
              </w:rPr>
              <w:t xml:space="preserve">“an </w:t>
            </w:r>
            <w:r w:rsidRPr="003061DB">
              <w:rPr>
                <w:rFonts w:asciiTheme="minorHAnsi" w:eastAsia="Times New Roman" w:hAnsiTheme="minorHAnsi" w:cstheme="minorHAnsi"/>
                <w:lang w:eastAsia="en-CA"/>
              </w:rPr>
              <w:t>award</w:t>
            </w:r>
            <w:r w:rsidRPr="00902CBF">
              <w:rPr>
                <w:rFonts w:asciiTheme="minorHAnsi" w:eastAsia="Times New Roman" w:hAnsiTheme="minorHAnsi" w:cstheme="minorHAnsi"/>
                <w:lang w:eastAsia="en-CA"/>
              </w:rPr>
              <w:t xml:space="preserve"> of damages is not </w:t>
            </w:r>
            <w:proofErr w:type="gramStart"/>
            <w:r w:rsidRPr="00902CBF">
              <w:rPr>
                <w:rFonts w:asciiTheme="minorHAnsi" w:eastAsia="Times New Roman" w:hAnsiTheme="minorHAnsi" w:cstheme="minorHAnsi"/>
                <w:lang w:eastAsia="en-CA"/>
              </w:rPr>
              <w:t>be</w:t>
            </w:r>
            <w:proofErr w:type="gramEnd"/>
            <w:r w:rsidRPr="00902CBF">
              <w:rPr>
                <w:rFonts w:asciiTheme="minorHAnsi" w:eastAsia="Times New Roman" w:hAnsiTheme="minorHAnsi" w:cstheme="minorHAnsi"/>
                <w:lang w:eastAsia="en-CA"/>
              </w:rPr>
              <w:t xml:space="preserve"> made lightly. Such an </w:t>
            </w:r>
            <w:r w:rsidRPr="003061DB">
              <w:rPr>
                <w:rFonts w:asciiTheme="minorHAnsi" w:eastAsia="Times New Roman" w:hAnsiTheme="minorHAnsi" w:cstheme="minorHAnsi"/>
                <w:lang w:eastAsia="en-CA"/>
              </w:rPr>
              <w:t>award</w:t>
            </w:r>
            <w:r w:rsidRPr="00902CBF">
              <w:rPr>
                <w:rFonts w:asciiTheme="minorHAnsi" w:eastAsia="Times New Roman" w:hAnsiTheme="minorHAnsi" w:cstheme="minorHAnsi"/>
                <w:lang w:eastAsia="en-CA"/>
              </w:rPr>
              <w:t xml:space="preserve"> should only be made in the most egregious situations. I do not find the instant case to be an egregious situation” at para 55, such as video-taping and phone-line tapping, at para 56. </w:t>
            </w:r>
            <w:r w:rsidRPr="00902CBF">
              <w:rPr>
                <w:rFonts w:asciiTheme="minorHAnsi" w:hAnsiTheme="minorHAnsi" w:cstheme="minorHAnsi"/>
              </w:rPr>
              <w:t xml:space="preserve">Here, the information </w:t>
            </w:r>
            <w:r>
              <w:rPr>
                <w:rFonts w:asciiTheme="minorHAnsi" w:hAnsiTheme="minorHAnsi" w:cstheme="minorHAnsi"/>
              </w:rPr>
              <w:t xml:space="preserve">released </w:t>
            </w:r>
            <w:r w:rsidRPr="00902CBF">
              <w:rPr>
                <w:rFonts w:asciiTheme="minorHAnsi" w:hAnsiTheme="minorHAnsi" w:cstheme="minorHAnsi"/>
              </w:rPr>
              <w:t>was</w:t>
            </w:r>
            <w:r>
              <w:rPr>
                <w:rFonts w:asciiTheme="minorHAnsi" w:hAnsiTheme="minorHAnsi" w:cstheme="minorHAnsi"/>
              </w:rPr>
              <w:t xml:space="preserve"> of</w:t>
            </w:r>
            <w:r w:rsidRPr="00902CBF">
              <w:rPr>
                <w:rFonts w:asciiTheme="minorHAnsi" w:hAnsiTheme="minorHAnsi" w:cstheme="minorHAnsi"/>
              </w:rPr>
              <w:t xml:space="preserve"> low sensitivity</w:t>
            </w:r>
            <w:r>
              <w:rPr>
                <w:rFonts w:asciiTheme="minorHAnsi" w:hAnsiTheme="minorHAnsi" w:cstheme="minorHAnsi"/>
              </w:rPr>
              <w:t>, at para 42, and caused no loss, at para 49.</w:t>
            </w:r>
          </w:p>
          <w:p w14:paraId="49A39DC6" w14:textId="77777777" w:rsidR="0068690C" w:rsidRDefault="0068690C" w:rsidP="008E5CBF">
            <w:pPr>
              <w:rPr>
                <w:rFonts w:asciiTheme="minorHAnsi" w:hAnsiTheme="minorHAnsi" w:cstheme="minorHAnsi"/>
              </w:rPr>
            </w:pPr>
          </w:p>
          <w:p w14:paraId="24E88C86" w14:textId="77777777" w:rsidR="0068690C" w:rsidRDefault="0068690C" w:rsidP="008E5CBF">
            <w:pPr>
              <w:rPr>
                <w:rFonts w:cs="Times New Roman"/>
                <w:color w:val="272627"/>
              </w:rPr>
            </w:pPr>
            <w:r w:rsidRPr="00902CBF">
              <w:rPr>
                <w:rFonts w:cs="Times New Roman"/>
                <w:i/>
                <w:iCs/>
                <w:color w:val="272627"/>
              </w:rPr>
              <w:t>Author’s Note</w:t>
            </w:r>
            <w:r>
              <w:rPr>
                <w:rFonts w:cs="Times New Roman"/>
                <w:i/>
                <w:iCs/>
                <w:color w:val="272627"/>
              </w:rPr>
              <w:t xml:space="preserve">: </w:t>
            </w:r>
            <w:r>
              <w:rPr>
                <w:rFonts w:cs="Times New Roman"/>
                <w:color w:val="272627"/>
              </w:rPr>
              <w:t xml:space="preserve">Court’s requirement that damages are only available in the most egregious situation is problematic as this requirement is not found in </w:t>
            </w:r>
            <w:r w:rsidRPr="003061DB">
              <w:rPr>
                <w:rFonts w:cs="Times New Roman"/>
                <w:i/>
                <w:iCs/>
                <w:color w:val="272627"/>
              </w:rPr>
              <w:t>PIPEDA</w:t>
            </w:r>
            <w:r>
              <w:rPr>
                <w:rFonts w:cs="Times New Roman"/>
                <w:color w:val="272627"/>
              </w:rPr>
              <w:t xml:space="preserve">. </w:t>
            </w:r>
          </w:p>
          <w:p w14:paraId="0863B11F" w14:textId="77777777" w:rsidR="0068690C" w:rsidRDefault="0068690C" w:rsidP="008E5CBF">
            <w:pPr>
              <w:rPr>
                <w:rFonts w:cs="Times New Roman"/>
                <w:color w:val="272627"/>
              </w:rPr>
            </w:pPr>
          </w:p>
          <w:p w14:paraId="738EADD4" w14:textId="77777777" w:rsidR="0068690C" w:rsidRPr="00902CBF" w:rsidRDefault="0068690C" w:rsidP="008E5CBF">
            <w:pPr>
              <w:rPr>
                <w:rFonts w:asciiTheme="minorHAnsi" w:hAnsiTheme="minorHAnsi" w:cstheme="minorHAnsi"/>
              </w:rPr>
            </w:pPr>
            <w:r>
              <w:rPr>
                <w:rFonts w:asciiTheme="minorHAnsi" w:hAnsiTheme="minorHAnsi" w:cstheme="minorHAnsi"/>
              </w:rPr>
              <w:t xml:space="preserve">No costs </w:t>
            </w:r>
            <w:r w:rsidRPr="003061DB">
              <w:rPr>
                <w:rFonts w:asciiTheme="minorHAnsi" w:hAnsiTheme="minorHAnsi" w:cstheme="minorHAnsi"/>
              </w:rPr>
              <w:t>award</w:t>
            </w:r>
            <w:r>
              <w:rPr>
                <w:rFonts w:asciiTheme="minorHAnsi" w:hAnsiTheme="minorHAnsi" w:cstheme="minorHAnsi"/>
              </w:rPr>
              <w:t>ed to either side, at para 59.</w:t>
            </w:r>
          </w:p>
          <w:p w14:paraId="43AF875D" w14:textId="77777777" w:rsidR="0068690C" w:rsidRDefault="0068690C" w:rsidP="008E5CBF">
            <w:pPr>
              <w:pBdr>
                <w:top w:val="nil"/>
                <w:left w:val="nil"/>
                <w:bottom w:val="nil"/>
                <w:right w:val="nil"/>
                <w:between w:val="nil"/>
              </w:pBdr>
              <w:spacing w:line="259" w:lineRule="auto"/>
            </w:pPr>
          </w:p>
        </w:tc>
      </w:tr>
      <w:bookmarkEnd w:id="28"/>
      <w:tr w:rsidR="0068690C" w:rsidRPr="00C86197" w14:paraId="38B2926B" w14:textId="77777777" w:rsidTr="008E5CBF">
        <w:trPr>
          <w:trHeight w:val="526"/>
        </w:trPr>
        <w:tc>
          <w:tcPr>
            <w:tcW w:w="1875" w:type="dxa"/>
          </w:tcPr>
          <w:p w14:paraId="6470B5EE" w14:textId="77777777" w:rsidR="0068690C" w:rsidRDefault="0068690C" w:rsidP="008E5CBF">
            <w:pPr>
              <w:autoSpaceDE w:val="0"/>
              <w:autoSpaceDN w:val="0"/>
              <w:adjustRightInd w:val="0"/>
              <w:rPr>
                <w:b/>
                <w:bCs w:val="0"/>
              </w:rPr>
            </w:pPr>
            <w:r>
              <w:rPr>
                <w:b/>
                <w:bCs w:val="0"/>
              </w:rPr>
              <w:lastRenderedPageBreak/>
              <w:t xml:space="preserve">9. </w:t>
            </w:r>
            <w:r w:rsidRPr="00C86197">
              <w:rPr>
                <w:b/>
                <w:bCs w:val="0"/>
              </w:rPr>
              <w:t>Privacy Commissioner of Canada v Air Canada, 2010 FC 429</w:t>
            </w:r>
          </w:p>
          <w:p w14:paraId="530058A1" w14:textId="77777777" w:rsidR="0068690C" w:rsidRPr="00C86197" w:rsidRDefault="0068690C" w:rsidP="008E5CBF">
            <w:pPr>
              <w:autoSpaceDE w:val="0"/>
              <w:autoSpaceDN w:val="0"/>
              <w:adjustRightInd w:val="0"/>
              <w:rPr>
                <w:rFonts w:cs="Times New Roman"/>
                <w:b/>
                <w:bCs w:val="0"/>
                <w:i/>
                <w:iCs/>
                <w:color w:val="272627"/>
              </w:rPr>
            </w:pPr>
          </w:p>
        </w:tc>
        <w:tc>
          <w:tcPr>
            <w:tcW w:w="3243" w:type="dxa"/>
          </w:tcPr>
          <w:p w14:paraId="4F550B47" w14:textId="77777777" w:rsidR="0068690C" w:rsidRDefault="0068690C" w:rsidP="008E5CBF">
            <w:pPr>
              <w:autoSpaceDE w:val="0"/>
              <w:autoSpaceDN w:val="0"/>
              <w:adjustRightInd w:val="0"/>
              <w:rPr>
                <w:rFonts w:cs="Times New Roman"/>
                <w:color w:val="272627"/>
              </w:rPr>
            </w:pPr>
            <w:r>
              <w:rPr>
                <w:rFonts w:cs="Times New Roman"/>
                <w:color w:val="272627"/>
              </w:rPr>
              <w:t xml:space="preserve">Mr. </w:t>
            </w:r>
            <w:proofErr w:type="spellStart"/>
            <w:r>
              <w:rPr>
                <w:rFonts w:cs="Times New Roman"/>
                <w:color w:val="272627"/>
              </w:rPr>
              <w:t>Dankwort</w:t>
            </w:r>
            <w:proofErr w:type="spellEnd"/>
            <w:r>
              <w:rPr>
                <w:rFonts w:cs="Times New Roman"/>
                <w:color w:val="272627"/>
              </w:rPr>
              <w:t xml:space="preserve"> complained to Air Canada about the conduct of one of its employees, at para 7, and demanded to see the file that Air Canada had on him. When Air Canada refused, </w:t>
            </w:r>
            <w:proofErr w:type="spellStart"/>
            <w:r>
              <w:rPr>
                <w:rFonts w:cs="Times New Roman"/>
                <w:color w:val="272627"/>
              </w:rPr>
              <w:t>Dankwort</w:t>
            </w:r>
            <w:proofErr w:type="spellEnd"/>
            <w:r>
              <w:rPr>
                <w:rFonts w:cs="Times New Roman"/>
                <w:color w:val="272627"/>
              </w:rPr>
              <w:t xml:space="preserve"> complained to the Privacy Commissioner which instituted these proceedings for disclosure and damages. </w:t>
            </w:r>
          </w:p>
        </w:tc>
        <w:tc>
          <w:tcPr>
            <w:tcW w:w="4233" w:type="dxa"/>
          </w:tcPr>
          <w:p w14:paraId="0C9E8720" w14:textId="77777777" w:rsidR="0068690C" w:rsidRPr="00C86197" w:rsidRDefault="0068690C" w:rsidP="008E5CBF">
            <w:pPr>
              <w:spacing w:before="100" w:beforeAutospacing="1" w:after="100" w:afterAutospacing="1"/>
              <w:rPr>
                <w:rFonts w:asciiTheme="minorHAnsi" w:hAnsiTheme="minorHAnsi" w:cstheme="minorHAnsi"/>
                <w:color w:val="272627"/>
              </w:rPr>
            </w:pPr>
            <w:r>
              <w:rPr>
                <w:rFonts w:asciiTheme="minorHAnsi" w:eastAsia="Times New Roman" w:hAnsiTheme="minorHAnsi" w:cstheme="minorHAnsi"/>
                <w:lang w:eastAsia="en-CA"/>
              </w:rPr>
              <w:t xml:space="preserve">The Court found that Air Canada was not required to disclose its file, at para 61 and so </w:t>
            </w:r>
            <w:r w:rsidRPr="00C86197">
              <w:rPr>
                <w:rFonts w:asciiTheme="minorHAnsi" w:eastAsia="Times New Roman" w:hAnsiTheme="minorHAnsi" w:cstheme="minorHAnsi"/>
                <w:lang w:eastAsia="en-CA"/>
              </w:rPr>
              <w:t xml:space="preserve">no damages were </w:t>
            </w:r>
            <w:r w:rsidRPr="003061DB">
              <w:rPr>
                <w:rFonts w:asciiTheme="minorHAnsi" w:eastAsia="Times New Roman" w:hAnsiTheme="minorHAnsi" w:cstheme="minorHAnsi"/>
                <w:lang w:eastAsia="en-CA"/>
              </w:rPr>
              <w:t>award</w:t>
            </w:r>
            <w:r>
              <w:rPr>
                <w:rFonts w:asciiTheme="minorHAnsi" w:eastAsia="Times New Roman" w:hAnsiTheme="minorHAnsi" w:cstheme="minorHAnsi"/>
                <w:lang w:eastAsia="en-CA"/>
              </w:rPr>
              <w:t xml:space="preserve">ed to </w:t>
            </w:r>
            <w:proofErr w:type="spellStart"/>
            <w:r>
              <w:rPr>
                <w:rFonts w:asciiTheme="minorHAnsi" w:eastAsia="Times New Roman" w:hAnsiTheme="minorHAnsi" w:cstheme="minorHAnsi"/>
                <w:lang w:eastAsia="en-CA"/>
              </w:rPr>
              <w:t>Dankwor</w:t>
            </w:r>
            <w:r w:rsidRPr="00C86197">
              <w:rPr>
                <w:rFonts w:asciiTheme="minorHAnsi" w:eastAsia="Times New Roman" w:hAnsiTheme="minorHAnsi" w:cstheme="minorHAnsi"/>
                <w:lang w:eastAsia="en-CA"/>
              </w:rPr>
              <w:t>t</w:t>
            </w:r>
            <w:proofErr w:type="spellEnd"/>
            <w:r>
              <w:rPr>
                <w:rFonts w:asciiTheme="minorHAnsi" w:eastAsia="Times New Roman" w:hAnsiTheme="minorHAnsi" w:cstheme="minorHAnsi"/>
                <w:lang w:eastAsia="en-CA"/>
              </w:rPr>
              <w:t>, at para 62.</w:t>
            </w:r>
            <w:r w:rsidRPr="00C86197">
              <w:rPr>
                <w:rFonts w:asciiTheme="minorHAnsi" w:eastAsia="Times New Roman" w:hAnsiTheme="minorHAnsi" w:cstheme="minorHAnsi"/>
                <w:lang w:eastAsia="en-CA"/>
              </w:rPr>
              <w:t xml:space="preserve"> </w:t>
            </w:r>
          </w:p>
        </w:tc>
      </w:tr>
      <w:tr w:rsidR="0068690C" w14:paraId="5FA4E5E2" w14:textId="77777777" w:rsidTr="008E5CBF">
        <w:trPr>
          <w:trHeight w:val="526"/>
        </w:trPr>
        <w:tc>
          <w:tcPr>
            <w:tcW w:w="1875" w:type="dxa"/>
          </w:tcPr>
          <w:p w14:paraId="35A7EAC3" w14:textId="77777777" w:rsidR="0068690C" w:rsidRPr="00012165" w:rsidRDefault="0068690C" w:rsidP="008E5CBF">
            <w:pPr>
              <w:autoSpaceDE w:val="0"/>
              <w:autoSpaceDN w:val="0"/>
              <w:adjustRightInd w:val="0"/>
              <w:rPr>
                <w:b/>
                <w:bCs w:val="0"/>
              </w:rPr>
            </w:pPr>
            <w:r>
              <w:rPr>
                <w:b/>
                <w:bCs w:val="0"/>
              </w:rPr>
              <w:t xml:space="preserve">10. </w:t>
            </w:r>
            <w:proofErr w:type="spellStart"/>
            <w:r w:rsidRPr="00012165">
              <w:rPr>
                <w:b/>
                <w:bCs w:val="0"/>
              </w:rPr>
              <w:t>Waxer</w:t>
            </w:r>
            <w:proofErr w:type="spellEnd"/>
            <w:r w:rsidRPr="00012165">
              <w:rPr>
                <w:b/>
                <w:bCs w:val="0"/>
              </w:rPr>
              <w:t xml:space="preserve"> v </w:t>
            </w:r>
            <w:r>
              <w:rPr>
                <w:b/>
                <w:bCs w:val="0"/>
              </w:rPr>
              <w:t xml:space="preserve"> J</w:t>
            </w:r>
            <w:r w:rsidRPr="00012165">
              <w:rPr>
                <w:b/>
                <w:bCs w:val="0"/>
              </w:rPr>
              <w:t xml:space="preserve">J </w:t>
            </w:r>
            <w:proofErr w:type="spellStart"/>
            <w:r w:rsidRPr="00012165">
              <w:rPr>
                <w:b/>
                <w:bCs w:val="0"/>
              </w:rPr>
              <w:t>Barnicke</w:t>
            </w:r>
            <w:proofErr w:type="spellEnd"/>
            <w:r w:rsidRPr="00012165">
              <w:rPr>
                <w:b/>
                <w:bCs w:val="0"/>
              </w:rPr>
              <w:t xml:space="preserve"> Limited, 2009 FC 169</w:t>
            </w:r>
          </w:p>
        </w:tc>
        <w:tc>
          <w:tcPr>
            <w:tcW w:w="3243" w:type="dxa"/>
          </w:tcPr>
          <w:p w14:paraId="05E61728" w14:textId="77777777" w:rsidR="0068690C" w:rsidRPr="005C3F03" w:rsidRDefault="0068690C" w:rsidP="008E5CBF">
            <w:pPr>
              <w:autoSpaceDE w:val="0"/>
              <w:autoSpaceDN w:val="0"/>
              <w:adjustRightInd w:val="0"/>
            </w:pPr>
            <w:r>
              <w:t>Applicant complained that the Respondent collected his information.</w:t>
            </w:r>
          </w:p>
        </w:tc>
        <w:tc>
          <w:tcPr>
            <w:tcW w:w="4233" w:type="dxa"/>
          </w:tcPr>
          <w:p w14:paraId="6713049D" w14:textId="77777777" w:rsidR="0068690C" w:rsidRPr="00012165" w:rsidRDefault="0068690C" w:rsidP="008E5CBF">
            <w:pPr>
              <w:autoSpaceDE w:val="0"/>
              <w:autoSpaceDN w:val="0"/>
              <w:adjustRightInd w:val="0"/>
              <w:rPr>
                <w:rFonts w:cs="Times New Roman"/>
                <w:b/>
                <w:bCs w:val="0"/>
                <w:color w:val="272627"/>
              </w:rPr>
            </w:pPr>
            <w:r>
              <w:rPr>
                <w:rFonts w:cs="Times New Roman"/>
                <w:color w:val="272627"/>
              </w:rPr>
              <w:t xml:space="preserve">No damages </w:t>
            </w:r>
            <w:r w:rsidRPr="003061DB">
              <w:rPr>
                <w:rFonts w:cs="Times New Roman"/>
                <w:color w:val="272627"/>
              </w:rPr>
              <w:t>award</w:t>
            </w:r>
            <w:r>
              <w:rPr>
                <w:rFonts w:cs="Times New Roman"/>
                <w:color w:val="272627"/>
              </w:rPr>
              <w:t xml:space="preserve">ed because no information had been collected, at para 38. </w:t>
            </w:r>
            <w:r w:rsidRPr="003061DB">
              <w:rPr>
                <w:rFonts w:cs="Times New Roman"/>
                <w:i/>
                <w:iCs/>
                <w:color w:val="272627"/>
              </w:rPr>
              <w:t>PIPEDA</w:t>
            </w:r>
            <w:r>
              <w:rPr>
                <w:rFonts w:cs="Times New Roman"/>
                <w:color w:val="272627"/>
              </w:rPr>
              <w:t xml:space="preserve"> does not apply to unsuccessful attempts to collect personal information, at para 46.</w:t>
            </w:r>
          </w:p>
        </w:tc>
      </w:tr>
      <w:tr w:rsidR="0068690C" w14:paraId="742B3255" w14:textId="77777777" w:rsidTr="008E5CBF">
        <w:trPr>
          <w:trHeight w:val="526"/>
        </w:trPr>
        <w:tc>
          <w:tcPr>
            <w:tcW w:w="1875" w:type="dxa"/>
          </w:tcPr>
          <w:p w14:paraId="5413E9B0" w14:textId="77777777" w:rsidR="0068690C" w:rsidRPr="00E46292" w:rsidRDefault="0068690C" w:rsidP="008E5CBF">
            <w:pPr>
              <w:autoSpaceDE w:val="0"/>
              <w:autoSpaceDN w:val="0"/>
              <w:adjustRightInd w:val="0"/>
              <w:rPr>
                <w:rFonts w:cs="Times New Roman"/>
                <w:b/>
                <w:bCs w:val="0"/>
                <w:i/>
                <w:iCs/>
                <w:color w:val="272627"/>
              </w:rPr>
            </w:pPr>
            <w:r>
              <w:rPr>
                <w:b/>
                <w:bCs w:val="0"/>
              </w:rPr>
              <w:t xml:space="preserve">11. </w:t>
            </w:r>
            <w:r w:rsidRPr="00E46292">
              <w:rPr>
                <w:b/>
                <w:bCs w:val="0"/>
              </w:rPr>
              <w:t xml:space="preserve">Johnson v. Bell Canada, 2008 FC 1086 </w:t>
            </w:r>
          </w:p>
        </w:tc>
        <w:tc>
          <w:tcPr>
            <w:tcW w:w="3243" w:type="dxa"/>
          </w:tcPr>
          <w:p w14:paraId="1AF8F5EF" w14:textId="77777777" w:rsidR="0068690C" w:rsidRPr="005C3F03" w:rsidRDefault="0068690C" w:rsidP="008E5CBF">
            <w:pPr>
              <w:autoSpaceDE w:val="0"/>
              <w:autoSpaceDN w:val="0"/>
              <w:adjustRightInd w:val="0"/>
              <w:rPr>
                <w:rFonts w:cs="Times New Roman"/>
                <w:color w:val="272627"/>
              </w:rPr>
            </w:pPr>
            <w:r w:rsidRPr="005C3F03">
              <w:t xml:space="preserve">Applicant alleged, inter alia, that Bell failed to comply with </w:t>
            </w:r>
            <w:r w:rsidRPr="003061DB">
              <w:rPr>
                <w:i/>
                <w:iCs/>
              </w:rPr>
              <w:t>PIPEDA</w:t>
            </w:r>
            <w:r w:rsidRPr="005C3F03">
              <w:t xml:space="preserve"> in relation to his access request, at para 5.  </w:t>
            </w:r>
          </w:p>
        </w:tc>
        <w:tc>
          <w:tcPr>
            <w:tcW w:w="4233" w:type="dxa"/>
          </w:tcPr>
          <w:p w14:paraId="5BFF8200" w14:textId="77777777" w:rsidR="0068690C" w:rsidRDefault="0068690C" w:rsidP="008E5CBF">
            <w:pPr>
              <w:autoSpaceDE w:val="0"/>
              <w:autoSpaceDN w:val="0"/>
              <w:adjustRightInd w:val="0"/>
              <w:rPr>
                <w:rFonts w:cs="Times New Roman"/>
                <w:color w:val="272627"/>
              </w:rPr>
            </w:pPr>
            <w:r>
              <w:rPr>
                <w:rFonts w:cs="Times New Roman"/>
                <w:color w:val="272627"/>
              </w:rPr>
              <w:t xml:space="preserve">No damages </w:t>
            </w:r>
            <w:r w:rsidRPr="003061DB">
              <w:rPr>
                <w:rFonts w:cs="Times New Roman"/>
                <w:color w:val="272627"/>
              </w:rPr>
              <w:t>award</w:t>
            </w:r>
            <w:r>
              <w:rPr>
                <w:rFonts w:cs="Times New Roman"/>
                <w:color w:val="272627"/>
              </w:rPr>
              <w:t xml:space="preserve">ed because Bell Canada had complied with </w:t>
            </w:r>
            <w:r w:rsidRPr="003061DB">
              <w:rPr>
                <w:rFonts w:cs="Times New Roman"/>
                <w:i/>
                <w:iCs/>
                <w:color w:val="272627"/>
              </w:rPr>
              <w:t>PIPEDA</w:t>
            </w:r>
            <w:r>
              <w:rPr>
                <w:rFonts w:cs="Times New Roman"/>
                <w:color w:val="272627"/>
              </w:rPr>
              <w:t>, at para 54.</w:t>
            </w:r>
          </w:p>
        </w:tc>
      </w:tr>
      <w:tr w:rsidR="0068690C" w14:paraId="52D7D34C" w14:textId="77777777" w:rsidTr="008E5CBF">
        <w:trPr>
          <w:trHeight w:val="526"/>
        </w:trPr>
        <w:tc>
          <w:tcPr>
            <w:tcW w:w="1875" w:type="dxa"/>
          </w:tcPr>
          <w:p w14:paraId="3836DC24" w14:textId="77777777" w:rsidR="0068690C" w:rsidRPr="00397053" w:rsidRDefault="0068690C" w:rsidP="008E5CBF">
            <w:pPr>
              <w:autoSpaceDE w:val="0"/>
              <w:autoSpaceDN w:val="0"/>
              <w:adjustRightInd w:val="0"/>
              <w:rPr>
                <w:b/>
                <w:bCs w:val="0"/>
                <w:lang w:val="fr-FR"/>
              </w:rPr>
            </w:pPr>
            <w:r>
              <w:rPr>
                <w:b/>
                <w:bCs w:val="0"/>
                <w:lang w:val="fr-FR"/>
              </w:rPr>
              <w:t>12</w:t>
            </w:r>
            <w:r w:rsidRPr="002067BF">
              <w:rPr>
                <w:b/>
                <w:bCs w:val="0"/>
                <w:lang w:val="fr-FR"/>
              </w:rPr>
              <w:t>.</w:t>
            </w:r>
            <w:r>
              <w:rPr>
                <w:b/>
                <w:bCs w:val="0"/>
                <w:lang w:val="fr-FR"/>
              </w:rPr>
              <w:t xml:space="preserve"> </w:t>
            </w:r>
            <w:proofErr w:type="spellStart"/>
            <w:r>
              <w:rPr>
                <w:b/>
                <w:bCs w:val="0"/>
                <w:lang w:val="fr-FR"/>
              </w:rPr>
              <w:t>Wansink</w:t>
            </w:r>
            <w:proofErr w:type="spellEnd"/>
            <w:r w:rsidRPr="00397053">
              <w:rPr>
                <w:b/>
                <w:bCs w:val="0"/>
                <w:lang w:val="fr-FR"/>
              </w:rPr>
              <w:t xml:space="preserve"> v </w:t>
            </w:r>
            <w:proofErr w:type="spellStart"/>
            <w:r w:rsidRPr="00397053">
              <w:rPr>
                <w:b/>
                <w:bCs w:val="0"/>
                <w:lang w:val="fr-FR"/>
              </w:rPr>
              <w:t>Telus</w:t>
            </w:r>
            <w:proofErr w:type="spellEnd"/>
            <w:r w:rsidRPr="00397053">
              <w:rPr>
                <w:b/>
                <w:bCs w:val="0"/>
                <w:lang w:val="fr-FR"/>
              </w:rPr>
              <w:t xml:space="preserve"> Com</w:t>
            </w:r>
            <w:r>
              <w:rPr>
                <w:b/>
                <w:bCs w:val="0"/>
                <w:lang w:val="fr-FR"/>
              </w:rPr>
              <w:t>munications Inc, 2007</w:t>
            </w:r>
            <w:r w:rsidRPr="00397053">
              <w:rPr>
                <w:b/>
                <w:bCs w:val="0"/>
                <w:lang w:val="fr-FR"/>
              </w:rPr>
              <w:t xml:space="preserve"> FC</w:t>
            </w:r>
            <w:r>
              <w:rPr>
                <w:b/>
                <w:bCs w:val="0"/>
                <w:lang w:val="fr-FR"/>
              </w:rPr>
              <w:t>A</w:t>
            </w:r>
            <w:r w:rsidRPr="00397053">
              <w:rPr>
                <w:b/>
                <w:bCs w:val="0"/>
                <w:lang w:val="fr-FR"/>
              </w:rPr>
              <w:t xml:space="preserve"> </w:t>
            </w:r>
            <w:r>
              <w:rPr>
                <w:b/>
                <w:bCs w:val="0"/>
                <w:lang w:val="fr-FR"/>
              </w:rPr>
              <w:t>21</w:t>
            </w:r>
          </w:p>
        </w:tc>
        <w:tc>
          <w:tcPr>
            <w:tcW w:w="3243" w:type="dxa"/>
          </w:tcPr>
          <w:p w14:paraId="2BA83542" w14:textId="77777777" w:rsidR="0068690C" w:rsidRPr="00A56BA9" w:rsidRDefault="0068690C" w:rsidP="008E5CBF">
            <w:pPr>
              <w:autoSpaceDE w:val="0"/>
              <w:autoSpaceDN w:val="0"/>
              <w:adjustRightInd w:val="0"/>
            </w:pPr>
            <w:r w:rsidRPr="00397053">
              <w:t xml:space="preserve">Several employees of </w:t>
            </w:r>
            <w:proofErr w:type="spellStart"/>
            <w:r w:rsidRPr="00397053">
              <w:t>Telus</w:t>
            </w:r>
            <w:proofErr w:type="spellEnd"/>
            <w:r w:rsidRPr="00397053">
              <w:t xml:space="preserve"> o</w:t>
            </w:r>
            <w:r>
              <w:t xml:space="preserve">bjected to its institution of “speaker verification technology” for identity verification purposes as impinging on privacy, contrary to </w:t>
            </w:r>
            <w:r w:rsidRPr="003061DB">
              <w:rPr>
                <w:i/>
                <w:iCs/>
              </w:rPr>
              <w:t>PIPEDA</w:t>
            </w:r>
            <w:r>
              <w:rPr>
                <w:i/>
                <w:iCs/>
              </w:rPr>
              <w:t xml:space="preserve">, </w:t>
            </w:r>
            <w:r>
              <w:t>at paras 6 and 7.</w:t>
            </w:r>
          </w:p>
        </w:tc>
        <w:tc>
          <w:tcPr>
            <w:tcW w:w="4233" w:type="dxa"/>
          </w:tcPr>
          <w:p w14:paraId="6F0FF932" w14:textId="77777777" w:rsidR="0068690C" w:rsidRDefault="0068690C" w:rsidP="008E5CBF">
            <w:pPr>
              <w:autoSpaceDE w:val="0"/>
              <w:autoSpaceDN w:val="0"/>
              <w:adjustRightInd w:val="0"/>
              <w:rPr>
                <w:rFonts w:cs="Times New Roman"/>
                <w:color w:val="272627"/>
              </w:rPr>
            </w:pPr>
            <w:r>
              <w:rPr>
                <w:rFonts w:cs="Times New Roman"/>
                <w:color w:val="272627"/>
              </w:rPr>
              <w:t xml:space="preserve">No damages </w:t>
            </w:r>
            <w:r w:rsidRPr="003061DB">
              <w:rPr>
                <w:rFonts w:cs="Times New Roman"/>
                <w:color w:val="272627"/>
              </w:rPr>
              <w:t>award</w:t>
            </w:r>
            <w:r>
              <w:rPr>
                <w:rFonts w:cs="Times New Roman"/>
                <w:color w:val="272627"/>
              </w:rPr>
              <w:t xml:space="preserve">ed because </w:t>
            </w:r>
            <w:proofErr w:type="spellStart"/>
            <w:r>
              <w:rPr>
                <w:rFonts w:cs="Times New Roman"/>
                <w:color w:val="272627"/>
              </w:rPr>
              <w:t>Telus</w:t>
            </w:r>
            <w:proofErr w:type="spellEnd"/>
            <w:r>
              <w:rPr>
                <w:rFonts w:cs="Times New Roman"/>
                <w:color w:val="272627"/>
              </w:rPr>
              <w:t xml:space="preserve"> had complied with </w:t>
            </w:r>
            <w:r w:rsidRPr="003061DB">
              <w:rPr>
                <w:rFonts w:cs="Times New Roman"/>
                <w:i/>
                <w:iCs/>
                <w:color w:val="272627"/>
              </w:rPr>
              <w:t>PIPEDA</w:t>
            </w:r>
            <w:r>
              <w:rPr>
                <w:rFonts w:cs="Times New Roman"/>
                <w:color w:val="272627"/>
              </w:rPr>
              <w:t>, at para 32.</w:t>
            </w:r>
          </w:p>
        </w:tc>
      </w:tr>
      <w:tr w:rsidR="0068690C" w14:paraId="7EB10EB6" w14:textId="77777777" w:rsidTr="008E5CBF">
        <w:trPr>
          <w:trHeight w:val="526"/>
        </w:trPr>
        <w:tc>
          <w:tcPr>
            <w:tcW w:w="1875" w:type="dxa"/>
          </w:tcPr>
          <w:p w14:paraId="3CD1E63F" w14:textId="77777777" w:rsidR="0068690C" w:rsidRPr="0069062F" w:rsidRDefault="0068690C" w:rsidP="008E5CBF">
            <w:pPr>
              <w:autoSpaceDE w:val="0"/>
              <w:autoSpaceDN w:val="0"/>
              <w:adjustRightInd w:val="0"/>
              <w:rPr>
                <w:b/>
                <w:bCs w:val="0"/>
                <w:lang w:val="en-CA"/>
              </w:rPr>
            </w:pPr>
            <w:r w:rsidRPr="0069062F">
              <w:rPr>
                <w:b/>
                <w:bCs w:val="0"/>
                <w:lang w:val="en-CA"/>
              </w:rPr>
              <w:t>1</w:t>
            </w:r>
            <w:r>
              <w:rPr>
                <w:b/>
                <w:bCs w:val="0"/>
              </w:rPr>
              <w:t>3</w:t>
            </w:r>
            <w:r w:rsidRPr="0069062F">
              <w:rPr>
                <w:b/>
                <w:bCs w:val="0"/>
                <w:lang w:val="en-CA"/>
              </w:rPr>
              <w:t xml:space="preserve">. </w:t>
            </w:r>
            <w:r w:rsidRPr="0069062F">
              <w:rPr>
                <w:b/>
                <w:bCs w:val="0"/>
              </w:rPr>
              <w:t>Morgan v Alta Flights (</w:t>
            </w:r>
            <w:r w:rsidRPr="003061DB">
              <w:rPr>
                <w:b/>
                <w:bCs w:val="0"/>
                <w:i/>
                <w:iCs/>
              </w:rPr>
              <w:t>Charter</w:t>
            </w:r>
            <w:r w:rsidRPr="0069062F">
              <w:rPr>
                <w:b/>
                <w:bCs w:val="0"/>
              </w:rPr>
              <w:t>s) Inc., 2005 FC 421</w:t>
            </w:r>
            <w:r>
              <w:rPr>
                <w:b/>
                <w:bCs w:val="0"/>
              </w:rPr>
              <w:t xml:space="preserve">, </w:t>
            </w:r>
            <w:r>
              <w:rPr>
                <w:b/>
                <w:bCs w:val="0"/>
              </w:rPr>
              <w:lastRenderedPageBreak/>
              <w:t>affirmed</w:t>
            </w:r>
            <w:r w:rsidRPr="0069062F">
              <w:rPr>
                <w:b/>
                <w:bCs w:val="0"/>
              </w:rPr>
              <w:t xml:space="preserve"> Morgan v. Alta Flights (</w:t>
            </w:r>
            <w:r w:rsidRPr="003061DB">
              <w:rPr>
                <w:b/>
                <w:bCs w:val="0"/>
                <w:i/>
                <w:iCs/>
              </w:rPr>
              <w:t>Charter</w:t>
            </w:r>
            <w:r w:rsidRPr="0069062F">
              <w:rPr>
                <w:b/>
                <w:bCs w:val="0"/>
              </w:rPr>
              <w:t>s) Inc., 2006 FCA 121</w:t>
            </w:r>
          </w:p>
        </w:tc>
        <w:tc>
          <w:tcPr>
            <w:tcW w:w="3243" w:type="dxa"/>
          </w:tcPr>
          <w:p w14:paraId="5B7ADE58" w14:textId="77777777" w:rsidR="0068690C" w:rsidRPr="00397053" w:rsidRDefault="0068690C" w:rsidP="008E5CBF">
            <w:pPr>
              <w:spacing w:before="100" w:beforeAutospacing="1" w:after="100" w:afterAutospacing="1"/>
            </w:pPr>
            <w:r>
              <w:lastRenderedPageBreak/>
              <w:t xml:space="preserve">The applicant complained that her employed attempted to collect her personal information by hiding a </w:t>
            </w:r>
            <w:r>
              <w:lastRenderedPageBreak/>
              <w:t>voice recorder</w:t>
            </w:r>
            <w:r w:rsidRPr="00CA3D5B">
              <w:t xml:space="preserve"> </w:t>
            </w:r>
            <w:r>
              <w:t>underneath a coffee table in the break room, at para 4. Her manager “</w:t>
            </w:r>
            <w:r w:rsidRPr="00CA3D5B">
              <w:t>admitted she personally hid the recorder in the smoke room on the night in question with the intention of recording the conversations in that room of Ms. Morgan</w:t>
            </w:r>
            <w:r>
              <w:t>…”</w:t>
            </w:r>
            <w:r w:rsidRPr="00CA3D5B">
              <w:t xml:space="preserve"> </w:t>
            </w:r>
            <w:r>
              <w:t>at para 5.</w:t>
            </w:r>
          </w:p>
        </w:tc>
        <w:tc>
          <w:tcPr>
            <w:tcW w:w="4233" w:type="dxa"/>
          </w:tcPr>
          <w:p w14:paraId="13B0BF8C" w14:textId="77777777" w:rsidR="0068690C" w:rsidRDefault="0068690C" w:rsidP="008E5CBF">
            <w:pPr>
              <w:autoSpaceDE w:val="0"/>
              <w:autoSpaceDN w:val="0"/>
              <w:adjustRightInd w:val="0"/>
              <w:rPr>
                <w:rFonts w:cs="Times New Roman"/>
                <w:color w:val="272627"/>
              </w:rPr>
            </w:pPr>
            <w:r>
              <w:rPr>
                <w:rFonts w:cs="Times New Roman"/>
                <w:color w:val="272627"/>
              </w:rPr>
              <w:lastRenderedPageBreak/>
              <w:t xml:space="preserve">No damages </w:t>
            </w:r>
            <w:r w:rsidRPr="003061DB">
              <w:rPr>
                <w:rFonts w:cs="Times New Roman"/>
                <w:color w:val="272627"/>
              </w:rPr>
              <w:t>award</w:t>
            </w:r>
            <w:r>
              <w:rPr>
                <w:rFonts w:cs="Times New Roman"/>
                <w:color w:val="272627"/>
              </w:rPr>
              <w:t xml:space="preserve">ed because no information had been collected, at para 22. </w:t>
            </w:r>
            <w:r w:rsidRPr="003061DB">
              <w:rPr>
                <w:rFonts w:cs="Times New Roman"/>
                <w:i/>
                <w:iCs/>
                <w:color w:val="272627"/>
              </w:rPr>
              <w:t>PIPEDA</w:t>
            </w:r>
            <w:r>
              <w:rPr>
                <w:rFonts w:cs="Times New Roman"/>
                <w:color w:val="272627"/>
              </w:rPr>
              <w:t xml:space="preserve"> does not </w:t>
            </w:r>
            <w:r>
              <w:rPr>
                <w:rFonts w:cs="Times New Roman"/>
                <w:color w:val="272627"/>
              </w:rPr>
              <w:lastRenderedPageBreak/>
              <w:t>apply to unsuccessful attempts to collect personal information, at para 20.</w:t>
            </w:r>
          </w:p>
        </w:tc>
      </w:tr>
      <w:tr w:rsidR="0068690C" w14:paraId="6BC95419" w14:textId="77777777" w:rsidTr="008E5CBF">
        <w:trPr>
          <w:trHeight w:val="526"/>
        </w:trPr>
        <w:tc>
          <w:tcPr>
            <w:tcW w:w="1875" w:type="dxa"/>
          </w:tcPr>
          <w:p w14:paraId="698E4670" w14:textId="77777777" w:rsidR="0068690C" w:rsidRPr="00AF0ACD" w:rsidRDefault="0068690C" w:rsidP="008E5CBF">
            <w:pPr>
              <w:autoSpaceDE w:val="0"/>
              <w:autoSpaceDN w:val="0"/>
              <w:adjustRightInd w:val="0"/>
              <w:rPr>
                <w:rFonts w:cs="Times New Roman"/>
                <w:b/>
                <w:bCs w:val="0"/>
                <w:color w:val="272627"/>
                <w:lang w:val="fr-FR"/>
              </w:rPr>
            </w:pPr>
            <w:r>
              <w:rPr>
                <w:b/>
                <w:bCs w:val="0"/>
                <w:i/>
                <w:iCs/>
                <w:lang w:val="fr-FR"/>
              </w:rPr>
              <w:lastRenderedPageBreak/>
              <w:t xml:space="preserve">14. </w:t>
            </w:r>
            <w:r w:rsidRPr="00AF0ACD">
              <w:rPr>
                <w:b/>
                <w:bCs w:val="0"/>
                <w:i/>
                <w:iCs/>
                <w:lang w:val="fr-FR"/>
              </w:rPr>
              <w:t xml:space="preserve">Englander v </w:t>
            </w:r>
            <w:proofErr w:type="spellStart"/>
            <w:r w:rsidRPr="00AF0ACD">
              <w:rPr>
                <w:b/>
                <w:bCs w:val="0"/>
                <w:i/>
                <w:iCs/>
                <w:lang w:val="fr-FR"/>
              </w:rPr>
              <w:t>Telus</w:t>
            </w:r>
            <w:proofErr w:type="spellEnd"/>
            <w:r w:rsidRPr="00AF0ACD">
              <w:rPr>
                <w:b/>
                <w:bCs w:val="0"/>
                <w:i/>
                <w:iCs/>
                <w:lang w:val="fr-FR"/>
              </w:rPr>
              <w:t xml:space="preserve"> Communications Inc</w:t>
            </w:r>
            <w:r w:rsidRPr="00AF0ACD">
              <w:rPr>
                <w:b/>
                <w:bCs w:val="0"/>
                <w:lang w:val="fr-FR"/>
              </w:rPr>
              <w:t>, 2004 FCA 387</w:t>
            </w:r>
          </w:p>
        </w:tc>
        <w:tc>
          <w:tcPr>
            <w:tcW w:w="3243" w:type="dxa"/>
          </w:tcPr>
          <w:p w14:paraId="12312D4D" w14:textId="77777777" w:rsidR="0068690C" w:rsidRPr="004A3BD7" w:rsidRDefault="0068690C" w:rsidP="008E5CBF">
            <w:pPr>
              <w:autoSpaceDE w:val="0"/>
              <w:autoSpaceDN w:val="0"/>
              <w:adjustRightInd w:val="0"/>
              <w:rPr>
                <w:rFonts w:cs="Times New Roman"/>
                <w:color w:val="272627"/>
              </w:rPr>
            </w:pPr>
            <w:r>
              <w:rPr>
                <w:rFonts w:cs="Times New Roman"/>
                <w:color w:val="272627"/>
              </w:rPr>
              <w:t xml:space="preserve">Applicant alleged that </w:t>
            </w:r>
            <w:proofErr w:type="spellStart"/>
            <w:r>
              <w:rPr>
                <w:rFonts w:cs="Times New Roman"/>
                <w:color w:val="272627"/>
              </w:rPr>
              <w:t>Telus</w:t>
            </w:r>
            <w:proofErr w:type="spellEnd"/>
            <w:r>
              <w:rPr>
                <w:rFonts w:cs="Times New Roman"/>
                <w:color w:val="272627"/>
              </w:rPr>
              <w:t xml:space="preserve"> failed to obtained valid consent to publish customers’ personal information in its directories and objected, </w:t>
            </w:r>
            <w:r w:rsidRPr="0012214C">
              <w:rPr>
                <w:rFonts w:cs="Times New Roman"/>
                <w:i/>
                <w:iCs/>
                <w:color w:val="272627"/>
              </w:rPr>
              <w:t>inter alia</w:t>
            </w:r>
            <w:r>
              <w:rPr>
                <w:rFonts w:cs="Times New Roman"/>
                <w:color w:val="272627"/>
              </w:rPr>
              <w:t xml:space="preserve">, to a fee charged by </w:t>
            </w:r>
            <w:proofErr w:type="spellStart"/>
            <w:r>
              <w:rPr>
                <w:rFonts w:cs="Times New Roman"/>
                <w:color w:val="272627"/>
              </w:rPr>
              <w:t>Telus</w:t>
            </w:r>
            <w:proofErr w:type="spellEnd"/>
            <w:r>
              <w:rPr>
                <w:rFonts w:cs="Times New Roman"/>
                <w:color w:val="272627"/>
              </w:rPr>
              <w:t xml:space="preserve"> to customers to keep their phone number confidential, at para 2. </w:t>
            </w:r>
          </w:p>
        </w:tc>
        <w:tc>
          <w:tcPr>
            <w:tcW w:w="4233" w:type="dxa"/>
          </w:tcPr>
          <w:p w14:paraId="03A3AB0F" w14:textId="77777777" w:rsidR="0068690C" w:rsidRDefault="0068690C" w:rsidP="008E5CBF">
            <w:pPr>
              <w:autoSpaceDE w:val="0"/>
              <w:autoSpaceDN w:val="0"/>
              <w:adjustRightInd w:val="0"/>
              <w:rPr>
                <w:rFonts w:cs="Times New Roman"/>
                <w:color w:val="272627"/>
              </w:rPr>
            </w:pPr>
            <w:proofErr w:type="spellStart"/>
            <w:r>
              <w:t>Telus</w:t>
            </w:r>
            <w:proofErr w:type="spellEnd"/>
            <w:r>
              <w:t xml:space="preserve"> violated then section 5 of </w:t>
            </w:r>
            <w:r w:rsidRPr="003061DB">
              <w:rPr>
                <w:i/>
                <w:iCs/>
              </w:rPr>
              <w:t>PIPEDA</w:t>
            </w:r>
            <w:r>
              <w:t xml:space="preserve"> because it failed to advise first time customers “of the primary and secondary purposes for which the information was collected and of the availability of non-published number service” at para 89. The court would not </w:t>
            </w:r>
            <w:r w:rsidRPr="003061DB">
              <w:t>award</w:t>
            </w:r>
            <w:r>
              <w:t xml:space="preserve"> damages remedy however, because complainant had not “been personally aggrieved” at para</w:t>
            </w:r>
            <w:r>
              <w:rPr>
                <w:rFonts w:cs="Times New Roman"/>
                <w:color w:val="272627"/>
              </w:rPr>
              <w:t xml:space="preserve"> 90 and had not personally incurred any charges. Applicant, who was self-</w:t>
            </w:r>
            <w:proofErr w:type="gramStart"/>
            <w:r>
              <w:rPr>
                <w:rFonts w:cs="Times New Roman"/>
                <w:color w:val="272627"/>
              </w:rPr>
              <w:t>represented,  was</w:t>
            </w:r>
            <w:proofErr w:type="gramEnd"/>
            <w:r>
              <w:rPr>
                <w:rFonts w:cs="Times New Roman"/>
                <w:color w:val="272627"/>
              </w:rPr>
              <w:t xml:space="preserve"> </w:t>
            </w:r>
            <w:r w:rsidRPr="003061DB">
              <w:rPr>
                <w:rFonts w:cs="Times New Roman"/>
                <w:color w:val="272627"/>
              </w:rPr>
              <w:t>award</w:t>
            </w:r>
            <w:r>
              <w:rPr>
                <w:rFonts w:cs="Times New Roman"/>
                <w:color w:val="272627"/>
              </w:rPr>
              <w:t>ed reasonable costs for being successful in part, at para 87.</w:t>
            </w:r>
          </w:p>
          <w:p w14:paraId="38E607E3" w14:textId="77777777" w:rsidR="0068690C" w:rsidRPr="004A3BD7" w:rsidRDefault="0068690C" w:rsidP="008E5CBF">
            <w:pPr>
              <w:autoSpaceDE w:val="0"/>
              <w:autoSpaceDN w:val="0"/>
              <w:adjustRightInd w:val="0"/>
              <w:rPr>
                <w:rFonts w:cs="Times New Roman"/>
                <w:color w:val="272627"/>
              </w:rPr>
            </w:pPr>
          </w:p>
        </w:tc>
      </w:tr>
    </w:tbl>
    <w:p w14:paraId="11493AC7" w14:textId="25AC2B9C" w:rsidR="00D921A9" w:rsidRPr="008D5924" w:rsidRDefault="0068690C" w:rsidP="00890C36">
      <w:pPr>
        <w:rPr>
          <w:rFonts w:asciiTheme="minorHAnsi" w:hAnsiTheme="minorHAnsi" w:cstheme="minorHAnsi"/>
          <w:color w:val="272627"/>
          <w:sz w:val="22"/>
          <w:szCs w:val="22"/>
          <w:lang w:val="en-US"/>
        </w:rPr>
      </w:pPr>
      <w:proofErr w:type="spellStart"/>
      <w:r w:rsidRPr="00E82925">
        <w:rPr>
          <w:rFonts w:asciiTheme="minorHAnsi" w:eastAsia="Times New Roman" w:hAnsiTheme="minorHAnsi" w:cstheme="minorHAnsi"/>
          <w:i/>
          <w:iCs/>
          <w:sz w:val="22"/>
          <w:szCs w:val="22"/>
          <w:lang w:eastAsia="en-CA"/>
        </w:rPr>
        <w:t>Arcand</w:t>
      </w:r>
      <w:proofErr w:type="spellEnd"/>
      <w:r w:rsidRPr="00E82925">
        <w:rPr>
          <w:rFonts w:asciiTheme="minorHAnsi" w:eastAsia="Times New Roman" w:hAnsiTheme="minorHAnsi" w:cstheme="minorHAnsi"/>
          <w:i/>
          <w:iCs/>
          <w:sz w:val="22"/>
          <w:szCs w:val="22"/>
          <w:lang w:eastAsia="en-CA"/>
        </w:rPr>
        <w:t xml:space="preserve"> v </w:t>
      </w:r>
      <w:proofErr w:type="spellStart"/>
      <w:r w:rsidRPr="00E82925">
        <w:rPr>
          <w:rFonts w:asciiTheme="minorHAnsi" w:eastAsia="Times New Roman" w:hAnsiTheme="minorHAnsi" w:cstheme="minorHAnsi"/>
          <w:i/>
          <w:iCs/>
          <w:sz w:val="22"/>
          <w:szCs w:val="22"/>
          <w:lang w:eastAsia="en-CA"/>
        </w:rPr>
        <w:t>Abiwyn</w:t>
      </w:r>
      <w:proofErr w:type="spellEnd"/>
      <w:r w:rsidRPr="00E82925">
        <w:rPr>
          <w:rFonts w:asciiTheme="minorHAnsi" w:eastAsia="Times New Roman" w:hAnsiTheme="minorHAnsi" w:cstheme="minorHAnsi"/>
          <w:i/>
          <w:iCs/>
          <w:sz w:val="22"/>
          <w:szCs w:val="22"/>
          <w:lang w:eastAsia="en-CA"/>
        </w:rPr>
        <w:t xml:space="preserve"> Co-Operative Inc</w:t>
      </w:r>
      <w:r w:rsidRPr="008D5924">
        <w:rPr>
          <w:rFonts w:asciiTheme="minorHAnsi" w:eastAsia="Times New Roman" w:hAnsiTheme="minorHAnsi" w:cstheme="minorHAnsi"/>
          <w:sz w:val="22"/>
          <w:szCs w:val="22"/>
          <w:lang w:eastAsia="en-CA"/>
        </w:rPr>
        <w:t xml:space="preserve">, </w:t>
      </w:r>
      <w:r w:rsidRPr="00E82925">
        <w:rPr>
          <w:rFonts w:asciiTheme="minorHAnsi" w:eastAsia="Times New Roman" w:hAnsiTheme="minorHAnsi" w:cstheme="minorHAnsi"/>
          <w:sz w:val="22"/>
          <w:szCs w:val="22"/>
          <w:lang w:eastAsia="en-CA"/>
        </w:rPr>
        <w:t>2010 FC 529</w:t>
      </w:r>
      <w:r>
        <w:rPr>
          <w:rFonts w:asciiTheme="minorHAnsi" w:eastAsia="Times New Roman" w:hAnsiTheme="minorHAnsi" w:cstheme="minorHAnsi"/>
          <w:sz w:val="22"/>
          <w:szCs w:val="22"/>
          <w:lang w:eastAsia="en-CA"/>
        </w:rPr>
        <w:t xml:space="preserve"> is not included in the Chart above </w:t>
      </w:r>
      <w:r w:rsidRPr="008D5924">
        <w:rPr>
          <w:rFonts w:asciiTheme="minorHAnsi" w:eastAsia="Times New Roman" w:hAnsiTheme="minorHAnsi" w:cstheme="minorHAnsi"/>
          <w:sz w:val="22"/>
          <w:szCs w:val="22"/>
          <w:lang w:eastAsia="en-CA"/>
        </w:rPr>
        <w:t xml:space="preserve">because the </w:t>
      </w:r>
      <w:r w:rsidRPr="003061DB">
        <w:rPr>
          <w:rFonts w:asciiTheme="minorHAnsi" w:eastAsia="Times New Roman" w:hAnsiTheme="minorHAnsi" w:cstheme="minorHAnsi"/>
          <w:i/>
          <w:iCs/>
          <w:sz w:val="22"/>
          <w:szCs w:val="22"/>
          <w:lang w:eastAsia="en-CA"/>
        </w:rPr>
        <w:t>PIPEDA</w:t>
      </w:r>
      <w:r w:rsidRPr="008D5924">
        <w:rPr>
          <w:rFonts w:asciiTheme="minorHAnsi" w:eastAsia="Times New Roman" w:hAnsiTheme="minorHAnsi" w:cstheme="minorHAnsi"/>
          <w:sz w:val="22"/>
          <w:szCs w:val="22"/>
          <w:lang w:eastAsia="en-CA"/>
        </w:rPr>
        <w:t xml:space="preserve"> damage claim was denied not on the merits but </w:t>
      </w:r>
      <w:r>
        <w:rPr>
          <w:rFonts w:asciiTheme="minorHAnsi" w:eastAsia="Times New Roman" w:hAnsiTheme="minorHAnsi" w:cstheme="minorHAnsi"/>
          <w:sz w:val="22"/>
          <w:szCs w:val="22"/>
          <w:lang w:eastAsia="en-CA"/>
        </w:rPr>
        <w:t xml:space="preserve">including </w:t>
      </w:r>
      <w:r w:rsidRPr="008D5924">
        <w:rPr>
          <w:rFonts w:asciiTheme="minorHAnsi" w:eastAsia="Times New Roman" w:hAnsiTheme="minorHAnsi" w:cstheme="minorHAnsi"/>
          <w:sz w:val="22"/>
          <w:szCs w:val="22"/>
          <w:lang w:eastAsia="en-CA"/>
        </w:rPr>
        <w:t>on the basis that Applicant had signed a release, at para 63.</w:t>
      </w:r>
    </w:p>
    <w:p w14:paraId="6E49858B" w14:textId="203D0330" w:rsidR="00D921A9" w:rsidRPr="00B661F6" w:rsidRDefault="00D921A9" w:rsidP="003263CF">
      <w:pPr>
        <w:spacing w:before="100" w:beforeAutospacing="1" w:after="100" w:afterAutospacing="1"/>
        <w:rPr>
          <w:i/>
          <w:iCs/>
          <w:sz w:val="20"/>
          <w:szCs w:val="20"/>
        </w:rPr>
      </w:pPr>
    </w:p>
    <w:sectPr w:rsidR="00D921A9" w:rsidRPr="00B661F6" w:rsidSect="00066166">
      <w:headerReference w:type="default" r:id="rId12"/>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C6F7" w14:textId="77777777" w:rsidR="000C12D8" w:rsidRDefault="000C12D8" w:rsidP="006241D9">
      <w:pPr>
        <w:spacing w:after="0"/>
      </w:pPr>
      <w:r>
        <w:separator/>
      </w:r>
    </w:p>
  </w:endnote>
  <w:endnote w:type="continuationSeparator" w:id="0">
    <w:p w14:paraId="3BD39A10" w14:textId="77777777" w:rsidR="000C12D8" w:rsidRDefault="000C12D8" w:rsidP="006241D9">
      <w:pPr>
        <w:spacing w:after="0"/>
      </w:pPr>
      <w:r>
        <w:continuationSeparator/>
      </w:r>
    </w:p>
  </w:endnote>
  <w:endnote w:type="continuationNotice" w:id="1">
    <w:p w14:paraId="480B45EE" w14:textId="77777777" w:rsidR="000C12D8" w:rsidRDefault="000C12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2CA09" w14:textId="77777777" w:rsidR="000C12D8" w:rsidRDefault="000C12D8" w:rsidP="006241D9">
      <w:pPr>
        <w:spacing w:after="0"/>
      </w:pPr>
      <w:r>
        <w:separator/>
      </w:r>
    </w:p>
  </w:footnote>
  <w:footnote w:type="continuationSeparator" w:id="0">
    <w:p w14:paraId="12213661" w14:textId="77777777" w:rsidR="000C12D8" w:rsidRDefault="000C12D8" w:rsidP="006241D9">
      <w:pPr>
        <w:spacing w:after="0"/>
      </w:pPr>
      <w:r>
        <w:continuationSeparator/>
      </w:r>
    </w:p>
  </w:footnote>
  <w:footnote w:type="continuationNotice" w:id="1">
    <w:p w14:paraId="0AA9E75D" w14:textId="77777777" w:rsidR="000C12D8" w:rsidRDefault="000C12D8">
      <w:pPr>
        <w:spacing w:after="0"/>
      </w:pPr>
    </w:p>
  </w:footnote>
  <w:footnote w:id="2">
    <w:p w14:paraId="6AA82FEF" w14:textId="77777777" w:rsidR="0045438C" w:rsidRPr="00EC393A" w:rsidRDefault="0045438C" w:rsidP="00887E4D">
      <w:pPr>
        <w:pStyle w:val="FootnoteText"/>
        <w:rPr>
          <w:lang w:val="en-US"/>
        </w:rPr>
      </w:pPr>
      <w:r w:rsidRPr="00EC393A">
        <w:rPr>
          <w:rStyle w:val="FootnoteReference"/>
        </w:rPr>
        <w:sym w:font="Symbol" w:char="F02A"/>
      </w:r>
      <w:r w:rsidRPr="00EC393A">
        <w:t xml:space="preserve"> Faculty of Law, University of Alberta.</w:t>
      </w:r>
    </w:p>
  </w:footnote>
  <w:footnote w:id="3">
    <w:p w14:paraId="5143C169" w14:textId="77777777" w:rsidR="0045438C" w:rsidRDefault="0045438C" w:rsidP="00887E4D">
      <w:pPr>
        <w:pStyle w:val="ListParagraph"/>
        <w:ind w:left="0"/>
        <w:rPr>
          <w:sz w:val="20"/>
          <w:szCs w:val="20"/>
          <w:lang w:val="en-US"/>
        </w:rPr>
      </w:pPr>
      <w:r w:rsidRPr="00EC393A">
        <w:rPr>
          <w:rStyle w:val="FootnoteReference"/>
          <w:sz w:val="20"/>
          <w:szCs w:val="20"/>
        </w:rPr>
        <w:sym w:font="Symbol" w:char="F02A"/>
      </w:r>
      <w:r w:rsidRPr="00EC393A">
        <w:rPr>
          <w:rStyle w:val="FootnoteReference"/>
          <w:sz w:val="20"/>
          <w:szCs w:val="20"/>
        </w:rPr>
        <w:sym w:font="Symbol" w:char="F02A"/>
      </w:r>
      <w:r w:rsidRPr="00EC393A">
        <w:rPr>
          <w:sz w:val="20"/>
          <w:szCs w:val="20"/>
        </w:rPr>
        <w:t xml:space="preserve"> </w:t>
      </w:r>
      <w:r>
        <w:rPr>
          <w:sz w:val="20"/>
          <w:szCs w:val="20"/>
        </w:rPr>
        <w:t>Lincoln Alexander School</w:t>
      </w:r>
      <w:r w:rsidRPr="00EC393A">
        <w:rPr>
          <w:sz w:val="20"/>
          <w:szCs w:val="20"/>
          <w:lang w:val="en-US"/>
        </w:rPr>
        <w:t xml:space="preserve"> of Law, Ryerson University.</w:t>
      </w:r>
    </w:p>
    <w:p w14:paraId="2F5FADF7" w14:textId="77777777" w:rsidR="0045438C" w:rsidRPr="00EC393A" w:rsidRDefault="0045438C" w:rsidP="00887E4D">
      <w:pPr>
        <w:pStyle w:val="ListParagraph"/>
        <w:ind w:left="0"/>
        <w:rPr>
          <w:rFonts w:asciiTheme="minorHAnsi" w:hAnsiTheme="minorHAnsi" w:cstheme="minorBidi"/>
          <w:sz w:val="20"/>
          <w:szCs w:val="20"/>
        </w:rPr>
      </w:pPr>
      <w:r w:rsidRPr="00EC393A">
        <w:rPr>
          <w:sz w:val="20"/>
          <w:szCs w:val="20"/>
          <w:lang w:val="en-US"/>
        </w:rPr>
        <w:t xml:space="preserve">The authors are grateful to then-JD students Nahanni </w:t>
      </w:r>
      <w:proofErr w:type="spellStart"/>
      <w:r w:rsidRPr="00EC393A">
        <w:rPr>
          <w:sz w:val="20"/>
          <w:szCs w:val="20"/>
          <w:lang w:val="en-US"/>
        </w:rPr>
        <w:t>Fellenz</w:t>
      </w:r>
      <w:proofErr w:type="spellEnd"/>
      <w:r w:rsidRPr="00EC393A">
        <w:rPr>
          <w:sz w:val="20"/>
          <w:szCs w:val="20"/>
          <w:lang w:val="en-US"/>
        </w:rPr>
        <w:t xml:space="preserve"> and Daniel Nunez for their outstanding research assistance. The authors also express appreciation to the </w:t>
      </w:r>
      <w:r>
        <w:rPr>
          <w:sz w:val="20"/>
          <w:szCs w:val="20"/>
          <w:lang w:val="en-US"/>
        </w:rPr>
        <w:t xml:space="preserve">Canadian </w:t>
      </w:r>
      <w:r w:rsidRPr="00EC393A">
        <w:rPr>
          <w:sz w:val="20"/>
          <w:szCs w:val="20"/>
          <w:lang w:val="en-US"/>
        </w:rPr>
        <w:t xml:space="preserve">Foundation for Legal Research as well as the Faculty of Law, University of Alberta for research funding. We would like to deeply thank Professor Jeffrey Berryman (Faculty of Law, University of Windsor), Professor Teresa </w:t>
      </w:r>
      <w:proofErr w:type="spellStart"/>
      <w:r w:rsidRPr="00EC393A">
        <w:rPr>
          <w:sz w:val="20"/>
          <w:szCs w:val="20"/>
          <w:lang w:val="en-US"/>
        </w:rPr>
        <w:t>Scassa</w:t>
      </w:r>
      <w:proofErr w:type="spellEnd"/>
      <w:r w:rsidRPr="00EC393A">
        <w:rPr>
          <w:sz w:val="20"/>
          <w:szCs w:val="20"/>
          <w:lang w:val="en-US"/>
        </w:rPr>
        <w:t xml:space="preserve"> (Faculty of Law, University of Ottawa), Professor Barbara von </w:t>
      </w:r>
      <w:proofErr w:type="spellStart"/>
      <w:r w:rsidRPr="00EC393A">
        <w:rPr>
          <w:sz w:val="20"/>
          <w:szCs w:val="20"/>
          <w:lang w:val="en-US"/>
        </w:rPr>
        <w:t>Tigerstrom</w:t>
      </w:r>
      <w:proofErr w:type="spellEnd"/>
      <w:r w:rsidRPr="00EC393A">
        <w:rPr>
          <w:sz w:val="20"/>
          <w:szCs w:val="20"/>
          <w:lang w:val="en-US"/>
        </w:rPr>
        <w:t xml:space="preserve"> (College of Law, University of Saskatchewan), and Professor Christopher Hunt (Faculty of Law, Thompson Rivers University) for their thoughtful and detailed comments on an earlier draft of this </w:t>
      </w:r>
      <w:r>
        <w:rPr>
          <w:sz w:val="20"/>
          <w:szCs w:val="20"/>
          <w:lang w:val="en-US"/>
        </w:rPr>
        <w:t>article</w:t>
      </w:r>
      <w:r w:rsidRPr="00EC393A">
        <w:rPr>
          <w:sz w:val="20"/>
          <w:szCs w:val="20"/>
          <w:lang w:val="en-US"/>
        </w:rPr>
        <w:t xml:space="preserve">. Errors and omissions remain our own.  </w:t>
      </w:r>
    </w:p>
    <w:p w14:paraId="04A1A7E3" w14:textId="77777777" w:rsidR="0045438C" w:rsidRDefault="0045438C" w:rsidP="00887E4D">
      <w:pPr>
        <w:pStyle w:val="FootnoteText"/>
        <w:rPr>
          <w:lang w:val="en-US"/>
        </w:rPr>
      </w:pPr>
    </w:p>
    <w:p w14:paraId="48B26A0F" w14:textId="77777777" w:rsidR="0045438C" w:rsidRPr="00EC393A" w:rsidRDefault="0045438C" w:rsidP="00887E4D">
      <w:pPr>
        <w:pStyle w:val="FootnoteText"/>
        <w:rPr>
          <w:lang w:val="en-US"/>
        </w:rPr>
      </w:pPr>
    </w:p>
  </w:footnote>
  <w:footnote w:id="4">
    <w:p w14:paraId="0C644E29" w14:textId="22037CC1" w:rsidR="0045438C" w:rsidRPr="003E1E87" w:rsidRDefault="0045438C" w:rsidP="00252E00">
      <w:pPr>
        <w:pStyle w:val="FootnoteText"/>
      </w:pPr>
      <w:r w:rsidRPr="003E1E87">
        <w:rPr>
          <w:rStyle w:val="FootnoteReference"/>
        </w:rPr>
        <w:footnoteRef/>
      </w:r>
      <w:r w:rsidRPr="003E1E87">
        <w:t xml:space="preserve"> </w:t>
      </w:r>
      <w:proofErr w:type="spellStart"/>
      <w:r w:rsidRPr="003E1E87">
        <w:rPr>
          <w:i/>
          <w:iCs/>
        </w:rPr>
        <w:t>Chitrakar</w:t>
      </w:r>
      <w:proofErr w:type="spellEnd"/>
      <w:r w:rsidRPr="003E1E87">
        <w:rPr>
          <w:i/>
          <w:iCs/>
        </w:rPr>
        <w:t xml:space="preserve"> v Bell TV</w:t>
      </w:r>
      <w:r w:rsidRPr="003E1E87">
        <w:t>, 2013 FC 1103 [</w:t>
      </w:r>
      <w:proofErr w:type="spellStart"/>
      <w:r w:rsidRPr="003E1E87">
        <w:rPr>
          <w:i/>
          <w:iCs/>
        </w:rPr>
        <w:t>Chitrakar</w:t>
      </w:r>
      <w:proofErr w:type="spellEnd"/>
      <w:r w:rsidRPr="003E1E87">
        <w:t xml:space="preserve">]. See Appendix A for a recitation of the facts. According to the court, “Bell’s conduct in this matter is reprehensible in respect to </w:t>
      </w:r>
      <w:proofErr w:type="spellStart"/>
      <w:r w:rsidRPr="003E1E87">
        <w:t>Chitrakar’s</w:t>
      </w:r>
      <w:proofErr w:type="spellEnd"/>
      <w:r w:rsidRPr="003E1E87">
        <w:t xml:space="preserve"> privacy rights. Not only did Bell violate those rights, it has shown no interest in compensation or apparently any interest in addressing the CSR [customer service representative]’s actions nor in following the Privacy Commissioner’s remedial recommendations. Its failure to appear in this Court is consistent with its disregard of </w:t>
      </w:r>
      <w:proofErr w:type="spellStart"/>
      <w:r w:rsidRPr="003E1E87">
        <w:t>Chitrakar’s</w:t>
      </w:r>
      <w:proofErr w:type="spellEnd"/>
      <w:r w:rsidRPr="003E1E87">
        <w:t xml:space="preserve"> privacy rights” at </w:t>
      </w:r>
      <w:r>
        <w:t xml:space="preserve">para </w:t>
      </w:r>
      <w:r w:rsidRPr="003E1E87">
        <w:t xml:space="preserve">18. That a corporation particularly of Bell’s size and resources would fail to even appear in court is hard to fathom. </w:t>
      </w:r>
    </w:p>
  </w:footnote>
  <w:footnote w:id="5">
    <w:p w14:paraId="6227EF5B" w14:textId="275C5DC2" w:rsidR="0045438C" w:rsidRDefault="0045438C" w:rsidP="0015555C">
      <w:pPr>
        <w:pStyle w:val="FootnoteText"/>
      </w:pPr>
      <w:r>
        <w:rPr>
          <w:rStyle w:val="FootnoteReference"/>
        </w:rPr>
        <w:footnoteRef/>
      </w:r>
      <w:r>
        <w:t xml:space="preserve"> It is beyond the scope of this article to discuss an alternative approach altogether, namely a statutory damages regime. </w:t>
      </w:r>
      <w:r>
        <w:rPr>
          <w:lang w:val="en-US" w:bidi="he-IL"/>
        </w:rPr>
        <w:t xml:space="preserve">Such regimes do exist, such as with respect to copyright, and although they assist the plaintiff since they do not require proof of damage, they rely on a regulatory mechanism which does not exist with respect to personal information. See </w:t>
      </w:r>
      <w:r w:rsidRPr="001205E1">
        <w:rPr>
          <w:i/>
          <w:iCs/>
        </w:rPr>
        <w:t>Copyright Act</w:t>
      </w:r>
      <w:r>
        <w:t xml:space="preserve">, </w:t>
      </w:r>
      <w:r w:rsidRPr="001F32EC">
        <w:t>RSC, 1985, c C-42</w:t>
      </w:r>
      <w:r>
        <w:t>,</w:t>
      </w:r>
      <w:r w:rsidRPr="001F32EC">
        <w:t xml:space="preserve"> </w:t>
      </w:r>
      <w:r>
        <w:t>s 38.1.</w:t>
      </w:r>
    </w:p>
  </w:footnote>
  <w:footnote w:id="6">
    <w:p w14:paraId="56ED7AD7" w14:textId="7D8C6916" w:rsidR="0045438C" w:rsidRPr="003E1E87" w:rsidRDefault="0045438C" w:rsidP="0079030E">
      <w:pPr>
        <w:pStyle w:val="FootnoteText"/>
      </w:pPr>
      <w:r w:rsidRPr="003E1E87">
        <w:rPr>
          <w:rStyle w:val="FootnoteReference"/>
        </w:rPr>
        <w:footnoteRef/>
      </w:r>
      <w:r w:rsidRPr="003E1E87">
        <w:t xml:space="preserve"> </w:t>
      </w:r>
      <w:proofErr w:type="spellStart"/>
      <w:r w:rsidRPr="00B661B9">
        <w:rPr>
          <w:i/>
          <w:iCs/>
        </w:rPr>
        <w:t>Nammo</w:t>
      </w:r>
      <w:proofErr w:type="spellEnd"/>
      <w:r w:rsidRPr="00B661B9">
        <w:rPr>
          <w:i/>
          <w:iCs/>
        </w:rPr>
        <w:t xml:space="preserve"> v TransUnion of Canada Inc</w:t>
      </w:r>
      <w:r w:rsidRPr="003E1E87">
        <w:t>, 2010 FC 1284 [</w:t>
      </w:r>
      <w:proofErr w:type="spellStart"/>
      <w:r w:rsidRPr="003E1E87">
        <w:rPr>
          <w:i/>
          <w:iCs/>
        </w:rPr>
        <w:t>Nammo</w:t>
      </w:r>
      <w:proofErr w:type="spellEnd"/>
      <w:r w:rsidRPr="003E1E87">
        <w:t>].</w:t>
      </w:r>
    </w:p>
  </w:footnote>
  <w:footnote w:id="7">
    <w:p w14:paraId="02F11F4F" w14:textId="3EC5DE35" w:rsidR="0045438C" w:rsidRPr="003E1E87" w:rsidRDefault="0045438C" w:rsidP="00AB57E3">
      <w:pPr>
        <w:pStyle w:val="FootnoteText"/>
      </w:pPr>
      <w:r w:rsidRPr="003E1E87">
        <w:rPr>
          <w:rStyle w:val="FootnoteReference"/>
        </w:rPr>
        <w:footnoteRef/>
      </w:r>
      <w:r w:rsidRPr="003E1E87">
        <w:t xml:space="preserve"> </w:t>
      </w:r>
      <w:r w:rsidRPr="003E1E87">
        <w:rPr>
          <w:rStyle w:val="colorfulgrid-accent1char"/>
          <w:i/>
          <w:iCs/>
        </w:rPr>
        <w:t>Townsend v Sun Life Financial,</w:t>
      </w:r>
      <w:r w:rsidRPr="003E1E87">
        <w:t xml:space="preserve"> </w:t>
      </w:r>
      <w:hyperlink r:id="rId1" w:history="1">
        <w:r w:rsidRPr="003E1E87">
          <w:rPr>
            <w:rStyle w:val="colorfulgrid-accent1char"/>
          </w:rPr>
          <w:t>2012 FC 550</w:t>
        </w:r>
      </w:hyperlink>
      <w:r w:rsidRPr="003E1E87">
        <w:rPr>
          <w:rStyle w:val="colorfulgrid-accent1char"/>
        </w:rPr>
        <w:t xml:space="preserve"> </w:t>
      </w:r>
      <w:r w:rsidRPr="003E1E87">
        <w:t>at para 3</w:t>
      </w:r>
      <w:r>
        <w:t>1</w:t>
      </w:r>
      <w:r w:rsidRPr="003E1E87">
        <w:t xml:space="preserve"> </w:t>
      </w:r>
      <w:r w:rsidRPr="003E1E87">
        <w:rPr>
          <w:rStyle w:val="colorfulgrid-accent1char"/>
        </w:rPr>
        <w:t>[</w:t>
      </w:r>
      <w:r w:rsidRPr="003E1E87">
        <w:rPr>
          <w:rStyle w:val="colorfulgrid-accent1char"/>
          <w:i/>
          <w:iCs/>
        </w:rPr>
        <w:t>Townsend</w:t>
      </w:r>
      <w:r w:rsidRPr="003E1E87">
        <w:rPr>
          <w:rStyle w:val="colorfulgrid-accent1char"/>
        </w:rPr>
        <w:t>]</w:t>
      </w:r>
      <w:r w:rsidRPr="003E1E87">
        <w:t xml:space="preserve">, cited with approval in </w:t>
      </w:r>
      <w:r w:rsidRPr="003E1E87">
        <w:rPr>
          <w:i/>
          <w:iCs/>
        </w:rPr>
        <w:t>Blum v Mortgage Architects Inc</w:t>
      </w:r>
      <w:r w:rsidRPr="003E1E87">
        <w:t xml:space="preserve">, 2015 FC 323 </w:t>
      </w:r>
      <w:r>
        <w:t xml:space="preserve">at para 20 </w:t>
      </w:r>
      <w:r w:rsidRPr="003E1E87">
        <w:t>[</w:t>
      </w:r>
      <w:r w:rsidRPr="003E1E87">
        <w:rPr>
          <w:i/>
          <w:iCs/>
        </w:rPr>
        <w:t>Blum</w:t>
      </w:r>
      <w:r w:rsidRPr="003E1E87">
        <w:t>]</w:t>
      </w:r>
      <w:r>
        <w:t>.</w:t>
      </w:r>
    </w:p>
  </w:footnote>
  <w:footnote w:id="8">
    <w:p w14:paraId="221597E4" w14:textId="0996C529"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supra</w:t>
      </w:r>
      <w:r w:rsidRPr="003E1E87">
        <w:t xml:space="preserve"> note</w:t>
      </w:r>
      <w:r>
        <w:t xml:space="preserve"> </w:t>
      </w:r>
      <w:r>
        <w:fldChar w:fldCharType="begin"/>
      </w:r>
      <w:r>
        <w:instrText xml:space="preserve"> NOTEREF _Ref82597430 \h </w:instrText>
      </w:r>
      <w:r>
        <w:fldChar w:fldCharType="separate"/>
      </w:r>
      <w:r>
        <w:t>3</w:t>
      </w:r>
      <w:r>
        <w:fldChar w:fldCharType="end"/>
      </w:r>
      <w:r w:rsidRPr="003E1E87">
        <w:t xml:space="preserve">, </w:t>
      </w:r>
      <w:r w:rsidRPr="003E1E87">
        <w:rPr>
          <w:lang w:bidi="he-IL"/>
        </w:rPr>
        <w:t>at paras 7 and 41.</w:t>
      </w:r>
    </w:p>
  </w:footnote>
  <w:footnote w:id="9">
    <w:p w14:paraId="5BDA24EE" w14:textId="5C6188F9" w:rsidR="0045438C" w:rsidRPr="003E1E87" w:rsidRDefault="0045438C">
      <w:pPr>
        <w:pStyle w:val="FootnoteText"/>
      </w:pPr>
      <w:r w:rsidRPr="003E1E87">
        <w:rPr>
          <w:rStyle w:val="FootnoteReference"/>
        </w:rPr>
        <w:footnoteRef/>
      </w:r>
      <w:r w:rsidRPr="003E1E87">
        <w:t xml:space="preserve"> </w:t>
      </w:r>
      <w:r w:rsidRPr="003E1E87">
        <w:rPr>
          <w:i/>
          <w:iCs/>
        </w:rPr>
        <w:t>Ibid</w:t>
      </w:r>
      <w:r w:rsidRPr="003E1E87">
        <w:t xml:space="preserve"> at </w:t>
      </w:r>
      <w:r w:rsidRPr="003E1E87">
        <w:rPr>
          <w:lang w:bidi="he-IL"/>
        </w:rPr>
        <w:t>para 5.</w:t>
      </w:r>
    </w:p>
  </w:footnote>
  <w:footnote w:id="10">
    <w:p w14:paraId="286AE990" w14:textId="4CDE664C" w:rsidR="0045438C" w:rsidRPr="003E1E87" w:rsidRDefault="0045438C" w:rsidP="00833404">
      <w:pPr>
        <w:pStyle w:val="FootnoteText"/>
      </w:pPr>
      <w:r w:rsidRPr="003E1E87">
        <w:rPr>
          <w:rStyle w:val="FootnoteReference"/>
        </w:rPr>
        <w:footnoteRef/>
      </w:r>
      <w:r w:rsidRPr="003E1E87">
        <w:t xml:space="preserve"> </w:t>
      </w:r>
      <w:r w:rsidRPr="003E1E87">
        <w:rPr>
          <w:i/>
          <w:iCs/>
        </w:rPr>
        <w:t>Ibid</w:t>
      </w:r>
      <w:r w:rsidRPr="003E1E87">
        <w:rPr>
          <w:lang w:bidi="he-IL"/>
        </w:rPr>
        <w:t xml:space="preserve"> at para 41.</w:t>
      </w:r>
    </w:p>
  </w:footnote>
  <w:footnote w:id="11">
    <w:p w14:paraId="1CB6BB52" w14:textId="1B392A37" w:rsidR="0045438C" w:rsidRPr="003E1E87" w:rsidRDefault="0045438C">
      <w:pPr>
        <w:pStyle w:val="FootnoteText"/>
      </w:pPr>
      <w:r w:rsidRPr="003E1E87">
        <w:rPr>
          <w:rStyle w:val="FootnoteReference"/>
        </w:rPr>
        <w:footnoteRef/>
      </w:r>
      <w:r w:rsidRPr="003E1E87">
        <w:t xml:space="preserve"> </w:t>
      </w:r>
      <w:r w:rsidRPr="003E1E87">
        <w:rPr>
          <w:i/>
          <w:iCs/>
        </w:rPr>
        <w:t>Ibid</w:t>
      </w:r>
      <w:r w:rsidRPr="003E1E87">
        <w:t xml:space="preserve"> </w:t>
      </w:r>
      <w:r w:rsidRPr="003E1E87">
        <w:rPr>
          <w:lang w:bidi="he-IL"/>
        </w:rPr>
        <w:t>at para 50.</w:t>
      </w:r>
    </w:p>
  </w:footnote>
  <w:footnote w:id="12">
    <w:p w14:paraId="1E87C2F3" w14:textId="64B285BF" w:rsidR="0045438C" w:rsidRPr="003E1E87" w:rsidRDefault="0045438C">
      <w:pPr>
        <w:pStyle w:val="FootnoteText"/>
        <w:rPr>
          <w:i/>
          <w:iCs/>
        </w:rPr>
      </w:pPr>
      <w:r w:rsidRPr="003E1E87">
        <w:rPr>
          <w:rStyle w:val="FootnoteReference"/>
        </w:rPr>
        <w:footnoteRef/>
      </w:r>
      <w:r w:rsidRPr="003E1E87">
        <w:t xml:space="preserve"> </w:t>
      </w:r>
      <w:r w:rsidRPr="003E1E87">
        <w:rPr>
          <w:i/>
          <w:iCs/>
        </w:rPr>
        <w:t>Ibid at para 71.</w:t>
      </w:r>
    </w:p>
  </w:footnote>
  <w:footnote w:id="13">
    <w:p w14:paraId="695A165B" w14:textId="47D4071B" w:rsidR="0045438C" w:rsidRPr="00B0395F" w:rsidRDefault="0045438C">
      <w:pPr>
        <w:pStyle w:val="FootnoteText"/>
      </w:pPr>
      <w:r w:rsidRPr="003E1E87">
        <w:rPr>
          <w:rStyle w:val="FootnoteReference"/>
        </w:rPr>
        <w:footnoteRef/>
      </w:r>
      <w:r w:rsidRPr="00B0395F">
        <w:t xml:space="preserve"> </w:t>
      </w:r>
      <w:r w:rsidRPr="00B0395F">
        <w:rPr>
          <w:i/>
          <w:iCs/>
        </w:rPr>
        <w:t xml:space="preserve">Ibid </w:t>
      </w:r>
      <w:r w:rsidRPr="00B0395F">
        <w:rPr>
          <w:lang w:bidi="he-IL"/>
        </w:rPr>
        <w:t>at para 71.</w:t>
      </w:r>
    </w:p>
  </w:footnote>
  <w:footnote w:id="14">
    <w:p w14:paraId="6B183A6C" w14:textId="3FD1EA65" w:rsidR="0045438C" w:rsidRPr="00B0395F" w:rsidRDefault="0045438C" w:rsidP="00AB57E3">
      <w:pPr>
        <w:pStyle w:val="FootnoteText"/>
      </w:pPr>
      <w:r w:rsidRPr="003E1E87">
        <w:rPr>
          <w:rStyle w:val="FootnoteReference"/>
        </w:rPr>
        <w:footnoteRef/>
      </w:r>
      <w:r w:rsidRPr="00B0395F">
        <w:t xml:space="preserve"> </w:t>
      </w:r>
      <w:r w:rsidRPr="003E1E87">
        <w:rPr>
          <w:i/>
          <w:iCs/>
        </w:rPr>
        <w:t>Vancouver (City) v Ward</w:t>
      </w:r>
      <w:r w:rsidRPr="003E1E87">
        <w:t>, 2010 SCC 27 [</w:t>
      </w:r>
      <w:r w:rsidRPr="003E1E87">
        <w:rPr>
          <w:i/>
          <w:iCs/>
        </w:rPr>
        <w:t>Ward</w:t>
      </w:r>
      <w:r w:rsidRPr="003E1E87">
        <w:t>]</w:t>
      </w:r>
      <w:r w:rsidRPr="00B0395F">
        <w:t xml:space="preserve">.  </w:t>
      </w:r>
    </w:p>
  </w:footnote>
  <w:footnote w:id="15">
    <w:p w14:paraId="0750F16D" w14:textId="48F58593" w:rsidR="0045438C" w:rsidRPr="003E1E87" w:rsidRDefault="0045438C" w:rsidP="00986C1E">
      <w:pPr>
        <w:pStyle w:val="FootnoteText"/>
        <w:contextualSpacing/>
      </w:pPr>
      <w:r w:rsidRPr="003E1E87">
        <w:rPr>
          <w:rStyle w:val="FootnoteReference"/>
        </w:rPr>
        <w:footnoteRef/>
      </w:r>
      <w:r w:rsidRPr="003E1E87">
        <w:t xml:space="preserve"> Johannes Chan, "Vindicatory Damages for Violation of Constitutional Rights: A Comparative Approach" in Ma</w:t>
      </w:r>
      <w:r>
        <w:t xml:space="preserve">rk Elliott, Jason NE </w:t>
      </w:r>
      <w:proofErr w:type="spellStart"/>
      <w:r>
        <w:t>Varuhas</w:t>
      </w:r>
      <w:proofErr w:type="spellEnd"/>
      <w:r>
        <w:t xml:space="preserve"> &amp;</w:t>
      </w:r>
      <w:r w:rsidRPr="003E1E87">
        <w:t xml:space="preserve"> Shona Wilson Stark, eds, </w:t>
      </w:r>
      <w:r>
        <w:rPr>
          <w:i/>
          <w:iCs/>
        </w:rPr>
        <w:t>The Unity of Public Law?</w:t>
      </w:r>
      <w:r w:rsidRPr="003E1E87">
        <w:rPr>
          <w:i/>
          <w:iCs/>
        </w:rPr>
        <w:t xml:space="preserve"> Doctrinal, Theoretical and Comparative Perspectives</w:t>
      </w:r>
      <w:r w:rsidRPr="003E1E87">
        <w:t xml:space="preserve"> (Oxford: Hart Publishing, 2018) 327 at 330.</w:t>
      </w:r>
    </w:p>
  </w:footnote>
  <w:footnote w:id="16">
    <w:p w14:paraId="74A805CE" w14:textId="73A941D8" w:rsidR="0045438C" w:rsidRPr="003E1E87" w:rsidRDefault="0045438C" w:rsidP="0045438C">
      <w:pPr>
        <w:pStyle w:val="FootnoteText"/>
        <w:rPr>
          <w:iCs/>
        </w:rPr>
      </w:pPr>
      <w:r w:rsidRPr="003E1E87">
        <w:rPr>
          <w:rStyle w:val="FootnoteReference"/>
        </w:rPr>
        <w:footnoteRef/>
      </w:r>
      <w:r w:rsidRPr="003E1E87">
        <w:t xml:space="preserve"> For discussion of </w:t>
      </w:r>
      <w:r w:rsidRPr="003E1E87">
        <w:rPr>
          <w:i/>
          <w:iCs/>
        </w:rPr>
        <w:t>Ward</w:t>
      </w:r>
      <w:r w:rsidRPr="003E1E87">
        <w:t xml:space="preserve"> as applying the functional approach to damages, see Justice Thomas Cromwell, “Money Remedies: Towards a Functional Approach” in </w:t>
      </w:r>
      <w:r w:rsidRPr="003E1E87">
        <w:rPr>
          <w:i/>
          <w:iCs/>
        </w:rPr>
        <w:t>Remedies: From Dollars to Sense</w:t>
      </w:r>
      <w:r w:rsidRPr="003E1E87">
        <w:t xml:space="preserve"> (2010 Isaac Pitblado Lectures) (Winnipeg: Law So</w:t>
      </w:r>
      <w:r>
        <w:t>ciety of Manitoba, 2010) at I-21</w:t>
      </w:r>
      <w:r w:rsidRPr="003E1E87">
        <w:rPr>
          <w:iCs/>
        </w:rPr>
        <w:t xml:space="preserve">, discussed in </w:t>
      </w:r>
      <w:r w:rsidRPr="000F0219">
        <w:rPr>
          <w:iCs/>
        </w:rPr>
        <w:t xml:space="preserve">Section II(A) of Part One of this article, </w:t>
      </w:r>
      <w:r w:rsidRPr="0045438C">
        <w:rPr>
          <w:iCs/>
        </w:rPr>
        <w:t xml:space="preserve">published in </w:t>
      </w:r>
      <w:r>
        <w:rPr>
          <w:color w:val="222222"/>
          <w:shd w:val="clear" w:color="auto" w:fill="FFFFFF"/>
        </w:rPr>
        <w:t xml:space="preserve">52 </w:t>
      </w:r>
      <w:proofErr w:type="spellStart"/>
      <w:r>
        <w:rPr>
          <w:color w:val="222222"/>
          <w:shd w:val="clear" w:color="auto" w:fill="FFFFFF"/>
        </w:rPr>
        <w:t>Adv</w:t>
      </w:r>
      <w:proofErr w:type="spellEnd"/>
      <w:r>
        <w:rPr>
          <w:color w:val="222222"/>
          <w:shd w:val="clear" w:color="auto" w:fill="FFFFFF"/>
        </w:rPr>
        <w:t xml:space="preserve"> Q 427 (2022)</w:t>
      </w:r>
      <w:r>
        <w:rPr>
          <w:iCs/>
        </w:rPr>
        <w:t>,</w:t>
      </w:r>
      <w:r w:rsidRPr="003E1E87">
        <w:rPr>
          <w:iCs/>
        </w:rPr>
        <w:t xml:space="preserve"> as well as </w:t>
      </w:r>
      <w:r w:rsidRPr="003E1E87">
        <w:t xml:space="preserve">WH Charles, </w:t>
      </w:r>
      <w:r w:rsidRPr="003E1E87">
        <w:rPr>
          <w:i/>
          <w:iCs/>
        </w:rPr>
        <w:t>Understanding Charter Damages –the Evolution of a Charter Remedy</w:t>
      </w:r>
      <w:r w:rsidRPr="003E1E87">
        <w:t xml:space="preserve"> (Toronto: Irwin Law, 2016) </w:t>
      </w:r>
      <w:r w:rsidRPr="003E1E87">
        <w:rPr>
          <w:iCs/>
        </w:rPr>
        <w:t>at 84.</w:t>
      </w:r>
    </w:p>
  </w:footnote>
  <w:footnote w:id="17">
    <w:p w14:paraId="00AC9FDB" w14:textId="56C5AF02"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t xml:space="preserve">note </w:t>
      </w:r>
      <w:r>
        <w:fldChar w:fldCharType="begin"/>
      </w:r>
      <w:r>
        <w:instrText xml:space="preserve"> NOTEREF _Ref82597430 \h </w:instrText>
      </w:r>
      <w:r>
        <w:fldChar w:fldCharType="separate"/>
      </w:r>
      <w:r>
        <w:t>3</w:t>
      </w:r>
      <w:r>
        <w:fldChar w:fldCharType="end"/>
      </w:r>
      <w:r w:rsidRPr="003E1E87">
        <w:t>, at para 72.</w:t>
      </w:r>
    </w:p>
  </w:footnote>
  <w:footnote w:id="18">
    <w:p w14:paraId="309C36F5" w14:textId="738A5B14" w:rsidR="0045438C" w:rsidRPr="003E1E87" w:rsidRDefault="0045438C" w:rsidP="00B236CF">
      <w:pPr>
        <w:pStyle w:val="FootnoteText"/>
      </w:pPr>
      <w:r w:rsidRPr="003E1E87">
        <w:rPr>
          <w:rStyle w:val="FootnoteReference"/>
        </w:rPr>
        <w:footnoteRef/>
      </w:r>
      <w:r w:rsidRPr="003E1E87">
        <w:t xml:space="preserve"> Kent Roach, “A Promising Late Spring for </w:t>
      </w:r>
      <w:r w:rsidRPr="003E1E87">
        <w:rPr>
          <w:i/>
          <w:iCs/>
        </w:rPr>
        <w:t>Charter</w:t>
      </w:r>
      <w:r w:rsidRPr="003E1E87">
        <w:t xml:space="preserve"> Damages: </w:t>
      </w:r>
      <w:r w:rsidRPr="003E1E87">
        <w:rPr>
          <w:i/>
          <w:iCs/>
        </w:rPr>
        <w:t>Ward</w:t>
      </w:r>
      <w:r w:rsidRPr="003E1E87">
        <w:t xml:space="preserve"> v </w:t>
      </w:r>
      <w:r w:rsidRPr="003E1E87">
        <w:rPr>
          <w:i/>
          <w:iCs/>
        </w:rPr>
        <w:t>Vancouver</w:t>
      </w:r>
      <w:r w:rsidRPr="003E1E87">
        <w:t>” (2011) 29 N</w:t>
      </w:r>
      <w:r>
        <w:t>JCL</w:t>
      </w:r>
      <w:r w:rsidRPr="003E1E87">
        <w:t xml:space="preserve"> 136 at 144.</w:t>
      </w:r>
      <w:r>
        <w:t xml:space="preserve"> See also </w:t>
      </w:r>
      <w:r>
        <w:rPr>
          <w:color w:val="222222"/>
          <w:shd w:val="clear" w:color="auto" w:fill="FFFFFF"/>
        </w:rPr>
        <w:t>Chris Hunt, "Constitutional Damages in the Supreme Court of Canada" (2011) 7 Cambridge Student L Rev 115.</w:t>
      </w:r>
    </w:p>
  </w:footnote>
  <w:footnote w:id="19">
    <w:p w14:paraId="65C49E6A" w14:textId="077AFB67"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rsidRPr="003E1E87">
        <w:t>note</w:t>
      </w:r>
      <w:r>
        <w:t xml:space="preserve"> </w:t>
      </w:r>
      <w:r>
        <w:fldChar w:fldCharType="begin"/>
      </w:r>
      <w:r>
        <w:instrText xml:space="preserve"> NOTEREF _Ref82597430 \h </w:instrText>
      </w:r>
      <w:r>
        <w:fldChar w:fldCharType="separate"/>
      </w:r>
      <w:r>
        <w:t>3</w:t>
      </w:r>
      <w:r>
        <w:fldChar w:fldCharType="end"/>
      </w:r>
      <w:r w:rsidRPr="003E1E87">
        <w:t>, at para 74.</w:t>
      </w:r>
    </w:p>
  </w:footnote>
  <w:footnote w:id="20">
    <w:p w14:paraId="5BD310FF" w14:textId="140B53B2" w:rsidR="0045438C" w:rsidRPr="003E1E87" w:rsidRDefault="0045438C" w:rsidP="00B661B9">
      <w:pPr>
        <w:pStyle w:val="FootnoteText"/>
      </w:pPr>
      <w:r w:rsidRPr="003E1E87">
        <w:rPr>
          <w:rStyle w:val="FootnoteReference"/>
        </w:rPr>
        <w:footnoteRef/>
      </w:r>
      <w:r w:rsidRPr="003E1E87">
        <w:t xml:space="preserve"> As the SCC notes in </w:t>
      </w:r>
      <w:r w:rsidRPr="003E1E87">
        <w:rPr>
          <w:i/>
          <w:iCs/>
        </w:rPr>
        <w:t>Ward</w:t>
      </w:r>
      <w:r w:rsidRPr="003E1E87">
        <w:t xml:space="preserve">, </w:t>
      </w:r>
      <w:r w:rsidRPr="003E1E87">
        <w:rPr>
          <w:i/>
          <w:iCs/>
        </w:rPr>
        <w:t xml:space="preserve">supra </w:t>
      </w:r>
      <w:r w:rsidRPr="003E1E87">
        <w:t xml:space="preserve">note </w:t>
      </w:r>
      <w:r>
        <w:fldChar w:fldCharType="begin"/>
      </w:r>
      <w:r>
        <w:instrText xml:space="preserve"> NOTEREF _Ref82598349 \h </w:instrText>
      </w:r>
      <w:r>
        <w:fldChar w:fldCharType="separate"/>
      </w:r>
      <w:r>
        <w:t>11</w:t>
      </w:r>
      <w:r>
        <w:fldChar w:fldCharType="end"/>
      </w:r>
      <w:r w:rsidRPr="003E1E87">
        <w:t xml:space="preserve"> at para 22: “An action for public law damages — </w:t>
      </w:r>
      <w:r w:rsidRPr="003E1E87">
        <w:rPr>
          <w:i/>
          <w:iCs/>
        </w:rPr>
        <w:t xml:space="preserve"> </w:t>
      </w:r>
      <w:r w:rsidRPr="003E1E87">
        <w:t>including constitutional damages — lies against the state and not against individual actors.”</w:t>
      </w:r>
    </w:p>
  </w:footnote>
  <w:footnote w:id="21">
    <w:p w14:paraId="5EC76687" w14:textId="1D4741F1" w:rsidR="0045438C" w:rsidRPr="003E1E87" w:rsidRDefault="0045438C" w:rsidP="00B661B9">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rsidRPr="003E1E87">
        <w:t>note</w:t>
      </w:r>
      <w:r>
        <w:t xml:space="preserve"> </w:t>
      </w:r>
      <w:r>
        <w:fldChar w:fldCharType="begin"/>
      </w:r>
      <w:r>
        <w:instrText xml:space="preserve"> NOTEREF _Ref82597430 \h </w:instrText>
      </w:r>
      <w:r>
        <w:fldChar w:fldCharType="separate"/>
      </w:r>
      <w:r>
        <w:t>3</w:t>
      </w:r>
      <w:r>
        <w:fldChar w:fldCharType="end"/>
      </w:r>
      <w:r w:rsidRPr="003E1E87">
        <w:t xml:space="preserve">, at para 78, citing </w:t>
      </w:r>
      <w:r w:rsidRPr="003E1E87">
        <w:rPr>
          <w:i/>
          <w:iCs/>
        </w:rPr>
        <w:t xml:space="preserve">Ward, supra </w:t>
      </w:r>
      <w:r w:rsidRPr="003E1E87">
        <w:t xml:space="preserve">note </w:t>
      </w:r>
      <w:r>
        <w:fldChar w:fldCharType="begin"/>
      </w:r>
      <w:r>
        <w:instrText xml:space="preserve"> NOTEREF _Ref82598349 \h </w:instrText>
      </w:r>
      <w:r>
        <w:fldChar w:fldCharType="separate"/>
      </w:r>
      <w:r>
        <w:t>11</w:t>
      </w:r>
      <w:r>
        <w:fldChar w:fldCharType="end"/>
      </w:r>
      <w:r w:rsidRPr="003E1E87">
        <w:t>, at para 27.</w:t>
      </w:r>
    </w:p>
  </w:footnote>
  <w:footnote w:id="22">
    <w:p w14:paraId="11CC33DA" w14:textId="0E353394" w:rsidR="0045438C" w:rsidRPr="003E1E87" w:rsidRDefault="0045438C" w:rsidP="001D00D1">
      <w:pPr>
        <w:pStyle w:val="FootnoteText"/>
      </w:pPr>
      <w:r w:rsidRPr="003E1E87">
        <w:rPr>
          <w:rStyle w:val="FootnoteReference"/>
        </w:rPr>
        <w:footnoteRef/>
      </w:r>
      <w:r w:rsidRPr="003E1E87">
        <w:t xml:space="preserve"> </w:t>
      </w:r>
      <w:r w:rsidRPr="003E1E87">
        <w:rPr>
          <w:i/>
          <w:iCs/>
        </w:rPr>
        <w:t>Ward, ibid</w:t>
      </w:r>
      <w:r w:rsidRPr="003E1E87">
        <w:t xml:space="preserve"> at para 50.</w:t>
      </w:r>
    </w:p>
  </w:footnote>
  <w:footnote w:id="23">
    <w:p w14:paraId="5D5460A5" w14:textId="0877F69E" w:rsidR="0045438C" w:rsidRPr="003E1E87" w:rsidRDefault="0045438C" w:rsidP="00F50F62">
      <w:pPr>
        <w:pStyle w:val="FootnoteText"/>
      </w:pPr>
      <w:r w:rsidRPr="003E1E87">
        <w:rPr>
          <w:rStyle w:val="FootnoteReference"/>
        </w:rPr>
        <w:footnoteRef/>
      </w:r>
      <w:r w:rsidRPr="003E1E87">
        <w:t xml:space="preserve"> </w:t>
      </w:r>
      <w:r w:rsidRPr="003E1E87">
        <w:rPr>
          <w:i/>
          <w:iCs/>
        </w:rPr>
        <w:t xml:space="preserve">Mustapha v </w:t>
      </w:r>
      <w:proofErr w:type="spellStart"/>
      <w:r w:rsidRPr="003E1E87">
        <w:rPr>
          <w:i/>
          <w:iCs/>
        </w:rPr>
        <w:t>Culligan</w:t>
      </w:r>
      <w:proofErr w:type="spellEnd"/>
      <w:r w:rsidRPr="003E1E87">
        <w:rPr>
          <w:i/>
          <w:iCs/>
        </w:rPr>
        <w:t xml:space="preserve"> of Canada Ltd, </w:t>
      </w:r>
      <w:r w:rsidRPr="003E1E87">
        <w:t>2008 SCC 27 at para 8 [</w:t>
      </w:r>
      <w:r w:rsidRPr="003E1E87">
        <w:rPr>
          <w:i/>
          <w:iCs/>
        </w:rPr>
        <w:t>Mustapha</w:t>
      </w:r>
      <w:r w:rsidRPr="003E1E87">
        <w:t xml:space="preserve">].   </w:t>
      </w:r>
    </w:p>
  </w:footnote>
  <w:footnote w:id="24">
    <w:p w14:paraId="5BBE267F" w14:textId="5D2A6760" w:rsidR="0045438C" w:rsidRPr="003E1E87" w:rsidRDefault="0045438C" w:rsidP="007E7025">
      <w:pPr>
        <w:pStyle w:val="FootnoteText"/>
      </w:pPr>
      <w:r w:rsidRPr="003E1E87">
        <w:rPr>
          <w:rStyle w:val="FootnoteReference"/>
        </w:rPr>
        <w:footnoteRef/>
      </w:r>
      <w:r w:rsidRPr="003E1E87">
        <w:t xml:space="preserve"> </w:t>
      </w:r>
      <w:proofErr w:type="spellStart"/>
      <w:r w:rsidRPr="003E1E87">
        <w:rPr>
          <w:i/>
          <w:iCs/>
        </w:rPr>
        <w:t>Saadati</w:t>
      </w:r>
      <w:proofErr w:type="spellEnd"/>
      <w:r w:rsidRPr="003E1E87">
        <w:rPr>
          <w:i/>
          <w:iCs/>
        </w:rPr>
        <w:t xml:space="preserve"> v Moorhead</w:t>
      </w:r>
      <w:r w:rsidRPr="003E1E87">
        <w:t>, 2017 SCC 28 at para 36 [</w:t>
      </w:r>
      <w:proofErr w:type="spellStart"/>
      <w:r w:rsidRPr="003E1E87">
        <w:rPr>
          <w:i/>
          <w:iCs/>
        </w:rPr>
        <w:t>Saadati</w:t>
      </w:r>
      <w:proofErr w:type="spellEnd"/>
      <w:r w:rsidRPr="003E1E87">
        <w:t>].</w:t>
      </w:r>
    </w:p>
  </w:footnote>
  <w:footnote w:id="25">
    <w:p w14:paraId="3D26C154" w14:textId="239F48BB" w:rsidR="0045438C" w:rsidRPr="003E1E87" w:rsidRDefault="0045438C" w:rsidP="004B24E1">
      <w:pPr>
        <w:pStyle w:val="FootnoteText"/>
      </w:pPr>
      <w:r w:rsidRPr="003E1E87">
        <w:rPr>
          <w:rStyle w:val="FootnoteReference"/>
        </w:rPr>
        <w:footnoteRef/>
      </w:r>
      <w:r w:rsidRPr="003E1E87">
        <w:t xml:space="preserve"> </w:t>
      </w:r>
      <w:r w:rsidRPr="003E1E87">
        <w:rPr>
          <w:i/>
          <w:iCs/>
        </w:rPr>
        <w:t xml:space="preserve">Mustapha, supra </w:t>
      </w:r>
      <w:r>
        <w:t xml:space="preserve">note </w:t>
      </w:r>
      <w:r>
        <w:fldChar w:fldCharType="begin"/>
      </w:r>
      <w:r>
        <w:instrText xml:space="preserve"> NOTEREF _Ref78154002 \h </w:instrText>
      </w:r>
      <w:r>
        <w:fldChar w:fldCharType="separate"/>
      </w:r>
      <w:r>
        <w:t>20</w:t>
      </w:r>
      <w:r>
        <w:fldChar w:fldCharType="end"/>
      </w:r>
      <w:r w:rsidRPr="003E1E87">
        <w:t xml:space="preserve">, at para 9. See too </w:t>
      </w:r>
      <w:proofErr w:type="spellStart"/>
      <w:r w:rsidRPr="003E1E87">
        <w:rPr>
          <w:i/>
          <w:iCs/>
        </w:rPr>
        <w:t>Saadati</w:t>
      </w:r>
      <w:proofErr w:type="spellEnd"/>
      <w:r w:rsidRPr="003E1E87">
        <w:t xml:space="preserve">, </w:t>
      </w:r>
      <w:r w:rsidRPr="003E1E87">
        <w:rPr>
          <w:i/>
          <w:iCs/>
        </w:rPr>
        <w:t xml:space="preserve">ibid </w:t>
      </w:r>
      <w:r w:rsidRPr="004B24E1">
        <w:t>at para 37:</w:t>
      </w:r>
      <w:r w:rsidRPr="003E1E87">
        <w:t xml:space="preserve"> </w:t>
      </w:r>
    </w:p>
    <w:p w14:paraId="45FC2F9C" w14:textId="28CEC33D" w:rsidR="0045438C" w:rsidRPr="003E1E87" w:rsidRDefault="0045438C" w:rsidP="00BE06F9">
      <w:pPr>
        <w:pStyle w:val="FootnoteText"/>
        <w:ind w:left="720"/>
      </w:pPr>
      <w:r w:rsidRPr="003E1E87">
        <w:t xml:space="preserve">None of this is to suggest that mental injury is always as readily demonstrable as physical injury. While allegations of injury to muscular tissue may sometimes pose challenges to triers of fact, many physical conditions such as lacerations and broken bones are objectively verifiable. Mental injury, however, will often not be as readily apparent. Further, and as </w:t>
      </w:r>
      <w:r w:rsidRPr="003E1E87">
        <w:rPr>
          <w:i/>
          <w:iCs/>
        </w:rPr>
        <w:t>Mustapha</w:t>
      </w:r>
      <w:r w:rsidRPr="003E1E87">
        <w:t xml:space="preserve"> makes clear, mental</w:t>
      </w:r>
      <w:r w:rsidRPr="003E1E87">
        <w:rPr>
          <w:i/>
          <w:iCs/>
        </w:rPr>
        <w:t xml:space="preserve"> injury</w:t>
      </w:r>
      <w:r w:rsidRPr="003E1E87">
        <w:t xml:space="preserve"> is not proven by the existence of mere psychological </w:t>
      </w:r>
      <w:r w:rsidRPr="003E1E87">
        <w:rPr>
          <w:i/>
          <w:iCs/>
        </w:rPr>
        <w:t>upset</w:t>
      </w:r>
      <w:r w:rsidRPr="003E1E87">
        <w:t>. While, therefore, tort law protects persons from negligent interference with their mental health, there is no legally cognizable right to happiness. Claimants must, therefore, show much more — that the disturbance suffered by the claimant is “serious and prolonged and rise[s] above the ordinary annoyances, anxieties and fears” that come with living in civil society (</w:t>
      </w:r>
      <w:r w:rsidRPr="003E1E87">
        <w:rPr>
          <w:i/>
          <w:iCs/>
        </w:rPr>
        <w:t>Mustapha</w:t>
      </w:r>
      <w:r w:rsidRPr="003E1E87">
        <w:t xml:space="preserve">, at para. 9). To be clear, this does not denote distinct legal treatment of mental injury relative to physical injury; rather, it goes to the prior legal question of what constitutes “mental injury”. Ultimately, the claimant’s task in establishing a mental injury is to show the requisite degree of disturbance (although not, as the respondents say, to show its classification as a recognized psychiatric illness). </w:t>
      </w:r>
    </w:p>
  </w:footnote>
  <w:footnote w:id="26">
    <w:p w14:paraId="7B2B702A" w14:textId="5D99EBDB" w:rsidR="0045438C" w:rsidRPr="003E1E87" w:rsidRDefault="0045438C">
      <w:pPr>
        <w:pStyle w:val="FootnoteText"/>
      </w:pPr>
      <w:r w:rsidRPr="003E1E87">
        <w:rPr>
          <w:rStyle w:val="FootnoteReference"/>
        </w:rPr>
        <w:footnoteRef/>
      </w:r>
      <w:r w:rsidRPr="003E1E87">
        <w:t xml:space="preserve"> </w:t>
      </w:r>
      <w:proofErr w:type="spellStart"/>
      <w:r w:rsidRPr="003E1E87">
        <w:rPr>
          <w:i/>
          <w:iCs/>
        </w:rPr>
        <w:t>Saadati</w:t>
      </w:r>
      <w:proofErr w:type="spellEnd"/>
      <w:r w:rsidRPr="003E1E87">
        <w:rPr>
          <w:i/>
          <w:iCs/>
        </w:rPr>
        <w:t>, ibid</w:t>
      </w:r>
      <w:r w:rsidRPr="003E1E87">
        <w:t xml:space="preserve"> at para 37.</w:t>
      </w:r>
    </w:p>
  </w:footnote>
  <w:footnote w:id="27">
    <w:p w14:paraId="44BDAFD7" w14:textId="543737C3" w:rsidR="0045438C" w:rsidRPr="003E1E87" w:rsidRDefault="0045438C" w:rsidP="00B661B9">
      <w:pPr>
        <w:pStyle w:val="FootnoteText"/>
      </w:pPr>
      <w:r w:rsidRPr="003E1E87">
        <w:rPr>
          <w:rStyle w:val="FootnoteReference"/>
        </w:rPr>
        <w:footnoteRef/>
      </w:r>
      <w:r w:rsidRPr="003E1E87">
        <w:t xml:space="preserve"> </w:t>
      </w:r>
      <w:r w:rsidRPr="003E1E87">
        <w:rPr>
          <w:i/>
          <w:iCs/>
        </w:rPr>
        <w:t xml:space="preserve">Ward, supra </w:t>
      </w:r>
      <w:r>
        <w:t xml:space="preserve">note </w:t>
      </w:r>
      <w:r>
        <w:fldChar w:fldCharType="begin"/>
      </w:r>
      <w:r>
        <w:instrText xml:space="preserve"> NOTEREF _Ref82598349 \h </w:instrText>
      </w:r>
      <w:r>
        <w:fldChar w:fldCharType="separate"/>
      </w:r>
      <w:r>
        <w:t>11</w:t>
      </w:r>
      <w:r>
        <w:fldChar w:fldCharType="end"/>
      </w:r>
      <w:r w:rsidRPr="003E1E87">
        <w:t>, at para 27.</w:t>
      </w:r>
    </w:p>
  </w:footnote>
  <w:footnote w:id="28">
    <w:p w14:paraId="58F4959C" w14:textId="41398519" w:rsidR="0045438C" w:rsidRPr="003E1E87" w:rsidRDefault="0045438C" w:rsidP="00AF14AC">
      <w:pPr>
        <w:spacing w:after="0"/>
      </w:pPr>
      <w:r w:rsidRPr="003E1E87">
        <w:rPr>
          <w:rStyle w:val="FootnoteReference"/>
          <w:sz w:val="20"/>
          <w:szCs w:val="20"/>
        </w:rPr>
        <w:footnoteRef/>
      </w:r>
      <w:r w:rsidRPr="003E1E87">
        <w:rPr>
          <w:sz w:val="20"/>
          <w:szCs w:val="20"/>
        </w:rPr>
        <w:t xml:space="preserve"> In other contexts, however, the Supreme Court of Canada in </w:t>
      </w:r>
      <w:r w:rsidRPr="003E1E87">
        <w:rPr>
          <w:i/>
          <w:iCs/>
          <w:sz w:val="20"/>
          <w:szCs w:val="20"/>
        </w:rPr>
        <w:t>Ward, ibid</w:t>
      </w:r>
      <w:r w:rsidRPr="003E1E87">
        <w:rPr>
          <w:sz w:val="20"/>
          <w:szCs w:val="20"/>
        </w:rPr>
        <w:t xml:space="preserve">, recognizes tort law as à propos in understanding </w:t>
      </w:r>
      <w:r w:rsidRPr="003E1E87">
        <w:rPr>
          <w:i/>
          <w:iCs/>
          <w:sz w:val="20"/>
          <w:szCs w:val="20"/>
        </w:rPr>
        <w:t>Charter</w:t>
      </w:r>
      <w:r w:rsidRPr="003E1E87">
        <w:rPr>
          <w:sz w:val="20"/>
          <w:szCs w:val="20"/>
        </w:rPr>
        <w:t xml:space="preserve"> breaches. For example, in relation to concerns over the quantification of intangible loss, the court opined that “tort law is useful,” going on to state: “Pain and suffering are compensable. Absent exceptional circumstances, compensation is fixed at a fairly modest conventional rate, subject to variation for the degree of suffering in the particular case. In extreme cases of catastrophic injury, a higher but still conventionally determined award is given on the basis that it serves the functional purpose of providing substitute comforts and pleasures” at para 50.</w:t>
      </w:r>
    </w:p>
  </w:footnote>
  <w:footnote w:id="29">
    <w:p w14:paraId="5850A604" w14:textId="34E343D0" w:rsidR="0045438C" w:rsidRPr="003E1E87" w:rsidRDefault="0045438C" w:rsidP="00F4022F">
      <w:pPr>
        <w:spacing w:after="0"/>
        <w:contextualSpacing/>
        <w:rPr>
          <w:sz w:val="20"/>
          <w:szCs w:val="20"/>
        </w:rPr>
      </w:pPr>
      <w:r w:rsidRPr="003E1E87">
        <w:rPr>
          <w:rStyle w:val="FootnoteReference"/>
        </w:rPr>
        <w:footnoteRef/>
      </w:r>
      <w:r>
        <w:rPr>
          <w:sz w:val="20"/>
          <w:szCs w:val="20"/>
        </w:rPr>
        <w:t xml:space="preserve"> </w:t>
      </w:r>
      <w:r w:rsidRPr="003E1E87">
        <w:rPr>
          <w:sz w:val="20"/>
          <w:szCs w:val="20"/>
        </w:rPr>
        <w:t>Charles</w:t>
      </w:r>
      <w:r>
        <w:rPr>
          <w:sz w:val="20"/>
          <w:szCs w:val="20"/>
        </w:rPr>
        <w:t xml:space="preserve">, </w:t>
      </w:r>
      <w:r w:rsidRPr="00F4022F">
        <w:rPr>
          <w:i/>
          <w:iCs/>
          <w:sz w:val="20"/>
          <w:szCs w:val="20"/>
        </w:rPr>
        <w:t>supra</w:t>
      </w:r>
      <w:r>
        <w:rPr>
          <w:sz w:val="20"/>
          <w:szCs w:val="20"/>
        </w:rPr>
        <w:t xml:space="preserve"> note </w:t>
      </w:r>
      <w:r>
        <w:rPr>
          <w:sz w:val="20"/>
          <w:szCs w:val="20"/>
        </w:rPr>
        <w:fldChar w:fldCharType="begin"/>
      </w:r>
      <w:r>
        <w:rPr>
          <w:sz w:val="20"/>
          <w:szCs w:val="20"/>
        </w:rPr>
        <w:instrText xml:space="preserve"> NOTEREF _Ref78154037 \h </w:instrText>
      </w:r>
      <w:r>
        <w:rPr>
          <w:sz w:val="20"/>
          <w:szCs w:val="20"/>
        </w:rPr>
      </w:r>
      <w:r>
        <w:rPr>
          <w:sz w:val="20"/>
          <w:szCs w:val="20"/>
        </w:rPr>
        <w:fldChar w:fldCharType="separate"/>
      </w:r>
      <w:r>
        <w:rPr>
          <w:sz w:val="20"/>
          <w:szCs w:val="20"/>
        </w:rPr>
        <w:t>13</w:t>
      </w:r>
      <w:r>
        <w:rPr>
          <w:sz w:val="20"/>
          <w:szCs w:val="20"/>
        </w:rPr>
        <w:fldChar w:fldCharType="end"/>
      </w:r>
      <w:r w:rsidRPr="003E1E87">
        <w:rPr>
          <w:sz w:val="20"/>
          <w:szCs w:val="20"/>
        </w:rPr>
        <w:t xml:space="preserve"> at 84. For his part, Kent Roach observes that under </w:t>
      </w:r>
      <w:r w:rsidRPr="003E1E87">
        <w:rPr>
          <w:i/>
          <w:iCs/>
          <w:sz w:val="20"/>
          <w:szCs w:val="20"/>
        </w:rPr>
        <w:t>Ward</w:t>
      </w:r>
      <w:r w:rsidRPr="003E1E87">
        <w:rPr>
          <w:sz w:val="20"/>
          <w:szCs w:val="20"/>
        </w:rPr>
        <w:t xml:space="preserve">, the Supreme Court of Canada: </w:t>
      </w:r>
    </w:p>
    <w:p w14:paraId="56DEFFD1" w14:textId="4FBDF945" w:rsidR="0045438C" w:rsidRPr="003E1E87" w:rsidRDefault="0045438C" w:rsidP="00F50F62">
      <w:pPr>
        <w:spacing w:after="0"/>
        <w:ind w:left="720"/>
        <w:contextualSpacing/>
        <w:rPr>
          <w:sz w:val="20"/>
          <w:szCs w:val="20"/>
        </w:rPr>
      </w:pPr>
      <w:r w:rsidRPr="003E1E87">
        <w:rPr>
          <w:sz w:val="20"/>
          <w:szCs w:val="20"/>
        </w:rPr>
        <w:t xml:space="preserve">“defined the compensatory purposes of </w:t>
      </w:r>
      <w:r w:rsidRPr="003E1E87">
        <w:rPr>
          <w:i/>
          <w:iCs/>
          <w:sz w:val="20"/>
          <w:szCs w:val="20"/>
        </w:rPr>
        <w:t>Charter</w:t>
      </w:r>
      <w:r w:rsidRPr="003E1E87">
        <w:rPr>
          <w:sz w:val="20"/>
          <w:szCs w:val="20"/>
        </w:rPr>
        <w:t xml:space="preserve"> damages very broadly to include ‘physical, psychological and pecuniary’ loss as well as harm to ‘intangible interests’ including ‘distress, humiliation, embarrassment and anxiety’ as well as ‘pain and suffering’. The court has explicitly ruled that it is an error to restrict damages to pecuniary losses and this holding effectively reverses many early </w:t>
      </w:r>
      <w:r w:rsidRPr="003E1E87">
        <w:rPr>
          <w:i/>
          <w:iCs/>
          <w:sz w:val="20"/>
          <w:szCs w:val="20"/>
        </w:rPr>
        <w:t>Charter</w:t>
      </w:r>
      <w:r w:rsidRPr="003E1E87">
        <w:rPr>
          <w:sz w:val="20"/>
          <w:szCs w:val="20"/>
        </w:rPr>
        <w:t xml:space="preserve"> cases that implicitly or explicitly limited </w:t>
      </w:r>
      <w:r w:rsidRPr="003E1E87">
        <w:rPr>
          <w:i/>
          <w:iCs/>
          <w:sz w:val="20"/>
          <w:szCs w:val="20"/>
        </w:rPr>
        <w:t>Charter</w:t>
      </w:r>
      <w:r w:rsidRPr="003E1E87">
        <w:rPr>
          <w:sz w:val="20"/>
          <w:szCs w:val="20"/>
        </w:rPr>
        <w:t xml:space="preserve"> damages in such a manner. The court’s approach is appropriate because the </w:t>
      </w:r>
      <w:r w:rsidRPr="003E1E87">
        <w:rPr>
          <w:i/>
          <w:iCs/>
          <w:sz w:val="20"/>
          <w:szCs w:val="20"/>
        </w:rPr>
        <w:t>Charter</w:t>
      </w:r>
      <w:r w:rsidRPr="003E1E87">
        <w:rPr>
          <w:sz w:val="20"/>
          <w:szCs w:val="20"/>
        </w:rPr>
        <w:t xml:space="preserve"> is designed to protect many important non-pecuniary values including fairness, privacy, security of the person, liberty and equality.”   </w:t>
      </w:r>
    </w:p>
    <w:p w14:paraId="01B3E3F2" w14:textId="10B64B2A" w:rsidR="0045438C" w:rsidRPr="003E1E87" w:rsidRDefault="0045438C" w:rsidP="00887F9C">
      <w:pPr>
        <w:spacing w:after="0"/>
        <w:contextualSpacing/>
      </w:pPr>
      <w:r w:rsidRPr="003E1E87">
        <w:rPr>
          <w:sz w:val="20"/>
          <w:szCs w:val="20"/>
        </w:rPr>
        <w:t xml:space="preserve">See Kent Roach, </w:t>
      </w:r>
      <w:r w:rsidRPr="003E1E87">
        <w:rPr>
          <w:i/>
          <w:iCs/>
          <w:sz w:val="20"/>
          <w:szCs w:val="20"/>
        </w:rPr>
        <w:t>Constitutional Remedies in Canada</w:t>
      </w:r>
      <w:r w:rsidRPr="003E1E87">
        <w:rPr>
          <w:sz w:val="20"/>
          <w:szCs w:val="20"/>
        </w:rPr>
        <w:t xml:space="preserve"> 2</w:t>
      </w:r>
      <w:r w:rsidRPr="003E1E87">
        <w:rPr>
          <w:sz w:val="20"/>
          <w:szCs w:val="20"/>
          <w:vertAlign w:val="superscript"/>
        </w:rPr>
        <w:t>nd</w:t>
      </w:r>
      <w:r w:rsidRPr="003E1E87">
        <w:rPr>
          <w:sz w:val="20"/>
          <w:szCs w:val="20"/>
        </w:rPr>
        <w:t xml:space="preserve"> ed (Toronto:  Carswell, 2013) (binder/loose-leaf/electronic) at para 11.500. Roach goes on to observe how the Supreme Court in </w:t>
      </w:r>
      <w:r w:rsidRPr="003E1E87">
        <w:rPr>
          <w:i/>
          <w:iCs/>
          <w:sz w:val="20"/>
          <w:szCs w:val="20"/>
        </w:rPr>
        <w:t>Ward</w:t>
      </w:r>
      <w:r w:rsidRPr="003E1E87">
        <w:rPr>
          <w:sz w:val="20"/>
          <w:szCs w:val="20"/>
        </w:rPr>
        <w:t xml:space="preserve"> called for non-pecuniary loss to see compensation even though difficult to measure and that compensation follow, in the court’s words, a ‘fairly modest conventional rate, subject to variation for the degree of suffering in the particular case.’ </w:t>
      </w:r>
      <w:r w:rsidRPr="003E1E87">
        <w:rPr>
          <w:i/>
          <w:iCs/>
          <w:sz w:val="20"/>
          <w:szCs w:val="20"/>
        </w:rPr>
        <w:t xml:space="preserve">Ibid. </w:t>
      </w:r>
    </w:p>
  </w:footnote>
  <w:footnote w:id="30">
    <w:p w14:paraId="50BF956E" w14:textId="308EF136" w:rsidR="0045438C" w:rsidRPr="003E1E87" w:rsidRDefault="0045438C">
      <w:pPr>
        <w:pStyle w:val="FootnoteText"/>
      </w:pPr>
      <w:r w:rsidRPr="003E1E87">
        <w:rPr>
          <w:rStyle w:val="FootnoteReference"/>
        </w:rPr>
        <w:footnoteRef/>
      </w:r>
      <w:r w:rsidRPr="003E1E87">
        <w:t xml:space="preserve"> See, however, discussion in Peter </w:t>
      </w:r>
      <w:proofErr w:type="spellStart"/>
      <w:r w:rsidRPr="003E1E87">
        <w:t>Krikor</w:t>
      </w:r>
      <w:proofErr w:type="spellEnd"/>
      <w:r w:rsidRPr="003E1E87">
        <w:t xml:space="preserve"> </w:t>
      </w:r>
      <w:proofErr w:type="spellStart"/>
      <w:r w:rsidRPr="003E1E87">
        <w:t>Adourian</w:t>
      </w:r>
      <w:proofErr w:type="spellEnd"/>
      <w:r w:rsidRPr="003E1E87">
        <w:t>, “</w:t>
      </w:r>
      <w:r w:rsidRPr="003E1E87">
        <w:rPr>
          <w:i/>
          <w:iCs/>
        </w:rPr>
        <w:t>Charter</w:t>
      </w:r>
      <w:r w:rsidRPr="003E1E87">
        <w:t xml:space="preserve"> Damages: Private Law in the Unique Public Law Remedy”, LLM Thesis, Osgoode Hall Law School of York University</w:t>
      </w:r>
      <w:r>
        <w:t>,</w:t>
      </w:r>
      <w:r w:rsidRPr="003E1E87">
        <w:t xml:space="preserve"> Osgoode Digital Commons </w:t>
      </w:r>
      <w:r>
        <w:t>(</w:t>
      </w:r>
      <w:r w:rsidRPr="003E1E87">
        <w:t>2018</w:t>
      </w:r>
      <w:r>
        <w:t>)</w:t>
      </w:r>
      <w:r w:rsidRPr="003E1E87">
        <w:t xml:space="preserve"> at 38, online: </w:t>
      </w:r>
      <w:r>
        <w:t>&lt;</w:t>
      </w:r>
      <w:hyperlink r:id="rId2" w:history="1">
        <w:r w:rsidRPr="003E1E87">
          <w:rPr>
            <w:rStyle w:val="Hyperlink"/>
          </w:rPr>
          <w:t>https://digitalcommons.osgoode.yorku.ca/cgi/viewcontent.cgi?article=1031&amp;context=llm</w:t>
        </w:r>
      </w:hyperlink>
      <w:r>
        <w:t>&gt;.</w:t>
      </w:r>
    </w:p>
  </w:footnote>
  <w:footnote w:id="31">
    <w:p w14:paraId="1E373F75" w14:textId="261BC659"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t xml:space="preserve">note </w:t>
      </w:r>
      <w:r>
        <w:fldChar w:fldCharType="begin"/>
      </w:r>
      <w:r>
        <w:instrText xml:space="preserve"> NOTEREF _Ref82597430 \h </w:instrText>
      </w:r>
      <w:r>
        <w:fldChar w:fldCharType="separate"/>
      </w:r>
      <w:r>
        <w:t>3</w:t>
      </w:r>
      <w:r>
        <w:fldChar w:fldCharType="end"/>
      </w:r>
      <w:r w:rsidRPr="003E1E87">
        <w:t>, at para 72.</w:t>
      </w:r>
    </w:p>
  </w:footnote>
  <w:footnote w:id="32">
    <w:p w14:paraId="71F763F1" w14:textId="6B12F823" w:rsidR="0045438C" w:rsidRPr="003E1E87" w:rsidRDefault="0045438C" w:rsidP="00B661B9">
      <w:pPr>
        <w:pStyle w:val="FootnoteText"/>
      </w:pPr>
      <w:r w:rsidRPr="003E1E87">
        <w:rPr>
          <w:rStyle w:val="FootnoteReference"/>
        </w:rPr>
        <w:footnoteRef/>
      </w:r>
      <w:r w:rsidRPr="003E1E87">
        <w:t xml:space="preserve"> </w:t>
      </w:r>
      <w:r w:rsidRPr="00B661B9">
        <w:rPr>
          <w:i/>
          <w:iCs/>
        </w:rPr>
        <w:t>Biron v RBC Royal Bank</w:t>
      </w:r>
      <w:r>
        <w:rPr>
          <w:i/>
          <w:iCs/>
        </w:rPr>
        <w:t>,</w:t>
      </w:r>
      <w:r w:rsidRPr="003E1E87">
        <w:rPr>
          <w:i/>
          <w:iCs/>
        </w:rPr>
        <w:t xml:space="preserve"> </w:t>
      </w:r>
      <w:r w:rsidRPr="003E1E87">
        <w:t>2012 FC 1095</w:t>
      </w:r>
      <w:r w:rsidRPr="00B661B9">
        <w:t xml:space="preserve"> </w:t>
      </w:r>
      <w:r w:rsidRPr="003E1E87">
        <w:t>at para 3-6</w:t>
      </w:r>
      <w:r>
        <w:t xml:space="preserve"> [</w:t>
      </w:r>
      <w:r w:rsidRPr="003E1E87">
        <w:rPr>
          <w:i/>
          <w:iCs/>
        </w:rPr>
        <w:t>Biron</w:t>
      </w:r>
      <w:r>
        <w:t>]</w:t>
      </w:r>
      <w:r w:rsidRPr="003E1E87">
        <w:t>.</w:t>
      </w:r>
    </w:p>
  </w:footnote>
  <w:footnote w:id="33">
    <w:p w14:paraId="37B10F68" w14:textId="39405F34"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 xml:space="preserve">at para 40. </w:t>
      </w:r>
    </w:p>
  </w:footnote>
  <w:footnote w:id="34">
    <w:p w14:paraId="5FAEFC61" w14:textId="5EE0565D"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43.</w:t>
      </w:r>
    </w:p>
  </w:footnote>
  <w:footnote w:id="35">
    <w:p w14:paraId="6A1C2724" w14:textId="11B4B3B3" w:rsidR="0045438C" w:rsidRPr="003E1E87" w:rsidRDefault="0045438C">
      <w:pPr>
        <w:pStyle w:val="FootnoteText"/>
        <w:rPr>
          <w:b/>
          <w:bCs/>
        </w:rPr>
      </w:pPr>
      <w:r w:rsidRPr="003E1E87">
        <w:rPr>
          <w:rStyle w:val="FootnoteReference"/>
        </w:rPr>
        <w:footnoteRef/>
      </w:r>
      <w:r w:rsidRPr="003E1E87">
        <w:t xml:space="preserve"> </w:t>
      </w:r>
      <w:r w:rsidRPr="003E1E87">
        <w:rPr>
          <w:i/>
        </w:rPr>
        <w:t xml:space="preserve">Landry v Royal Bank of Canada, </w:t>
      </w:r>
      <w:r w:rsidRPr="003E1E87">
        <w:t>2011 FC 687.</w:t>
      </w:r>
    </w:p>
  </w:footnote>
  <w:footnote w:id="36">
    <w:p w14:paraId="57BC7399" w14:textId="6FB69DAC"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32.</w:t>
      </w:r>
    </w:p>
  </w:footnote>
  <w:footnote w:id="37">
    <w:p w14:paraId="77C33D33" w14:textId="14DDADD5" w:rsidR="0045438C" w:rsidRPr="003E1E87" w:rsidRDefault="0045438C">
      <w:pPr>
        <w:pStyle w:val="FootnoteText"/>
      </w:pPr>
      <w:r w:rsidRPr="003E1E87">
        <w:rPr>
          <w:rStyle w:val="FootnoteReference"/>
        </w:rPr>
        <w:footnoteRef/>
      </w:r>
      <w:r w:rsidRPr="003E1E87">
        <w:t xml:space="preserve"> 2018 FC 1155.</w:t>
      </w:r>
    </w:p>
  </w:footnote>
  <w:footnote w:id="38">
    <w:p w14:paraId="1AAD6182" w14:textId="20779B4E" w:rsidR="0045438C" w:rsidRPr="003E1E87" w:rsidRDefault="0045438C" w:rsidP="00B661B9">
      <w:pPr>
        <w:pStyle w:val="FootnoteText"/>
      </w:pPr>
      <w:r w:rsidRPr="003E1E87">
        <w:rPr>
          <w:rStyle w:val="FootnoteReference"/>
        </w:rPr>
        <w:footnoteRef/>
      </w:r>
      <w:r w:rsidRPr="003E1E87">
        <w:t xml:space="preserve"> </w:t>
      </w:r>
      <w:proofErr w:type="spellStart"/>
      <w:r w:rsidRPr="003E1E87">
        <w:rPr>
          <w:i/>
          <w:iCs/>
        </w:rPr>
        <w:t>Montalbo</w:t>
      </w:r>
      <w:proofErr w:type="spellEnd"/>
      <w:r w:rsidRPr="003E1E87">
        <w:rPr>
          <w:i/>
          <w:iCs/>
        </w:rPr>
        <w:t xml:space="preserve"> v Royal Bank of Canada</w:t>
      </w:r>
      <w:r w:rsidRPr="003E1E87">
        <w:t>, 2018 FC 1155</w:t>
      </w:r>
      <w:r>
        <w:t xml:space="preserve"> </w:t>
      </w:r>
      <w:r w:rsidRPr="003E1E87">
        <w:t>at para 1-4</w:t>
      </w:r>
      <w:r>
        <w:t xml:space="preserve"> [</w:t>
      </w:r>
      <w:proofErr w:type="spellStart"/>
      <w:r w:rsidRPr="003E1E87">
        <w:rPr>
          <w:i/>
          <w:iCs/>
        </w:rPr>
        <w:t>Montalbo</w:t>
      </w:r>
      <w:proofErr w:type="spellEnd"/>
      <w:r>
        <w:t>]</w:t>
      </w:r>
      <w:r w:rsidRPr="003E1E87">
        <w:t>.</w:t>
      </w:r>
    </w:p>
  </w:footnote>
  <w:footnote w:id="39">
    <w:p w14:paraId="401E205E" w14:textId="3F1E3FAD" w:rsidR="0045438C" w:rsidRPr="003E1E87" w:rsidRDefault="0045438C" w:rsidP="00F50F62">
      <w:pPr>
        <w:pStyle w:val="FootnoteText"/>
      </w:pPr>
      <w:r w:rsidRPr="003E1E87">
        <w:rPr>
          <w:rStyle w:val="FootnoteReference"/>
        </w:rPr>
        <w:footnoteRef/>
      </w:r>
      <w:r w:rsidRPr="003E1E87">
        <w:t xml:space="preserve"> </w:t>
      </w:r>
      <w:r w:rsidRPr="003E1E87">
        <w:rPr>
          <w:i/>
          <w:iCs/>
        </w:rPr>
        <w:t xml:space="preserve">Ibid </w:t>
      </w:r>
      <w:r w:rsidRPr="003E1E87">
        <w:t xml:space="preserve">at para 61. </w:t>
      </w:r>
    </w:p>
  </w:footnote>
  <w:footnote w:id="40">
    <w:p w14:paraId="006CCCEA" w14:textId="1EF585E5" w:rsidR="0045438C" w:rsidRPr="003E1E87" w:rsidRDefault="0045438C">
      <w:pPr>
        <w:pStyle w:val="FootnoteText"/>
      </w:pPr>
      <w:r w:rsidRPr="003E1E87">
        <w:rPr>
          <w:rStyle w:val="FootnoteReference"/>
        </w:rPr>
        <w:footnoteRef/>
      </w:r>
      <w:r w:rsidRPr="003E1E87">
        <w:t xml:space="preserve"> </w:t>
      </w:r>
      <w:r w:rsidRPr="003E1E87">
        <w:rPr>
          <w:i/>
          <w:iCs/>
        </w:rPr>
        <w:t>Ibid</w:t>
      </w:r>
      <w:r>
        <w:rPr>
          <w:i/>
          <w:iCs/>
        </w:rPr>
        <w:t>.</w:t>
      </w:r>
    </w:p>
  </w:footnote>
  <w:footnote w:id="41">
    <w:p w14:paraId="2DDA7D5C" w14:textId="0F5F3B65" w:rsidR="0045438C" w:rsidRPr="003E1E87" w:rsidRDefault="0045438C" w:rsidP="00F63231">
      <w:pPr>
        <w:pStyle w:val="FootnoteText"/>
      </w:pPr>
      <w:r w:rsidRPr="003E1E87">
        <w:rPr>
          <w:rStyle w:val="FootnoteReference"/>
        </w:rPr>
        <w:footnoteRef/>
      </w:r>
      <w:r w:rsidRPr="003E1E87">
        <w:t xml:space="preserve"> </w:t>
      </w:r>
      <w:r w:rsidRPr="003E1E87">
        <w:rPr>
          <w:i/>
          <w:iCs/>
        </w:rPr>
        <w:t xml:space="preserve">Ibid </w:t>
      </w:r>
      <w:r w:rsidRPr="003E1E87">
        <w:t xml:space="preserve">at para 62. The court also helpfully summarized relevant </w:t>
      </w:r>
      <w:r>
        <w:t>case-</w:t>
      </w:r>
      <w:r w:rsidRPr="003E1E87">
        <w:t xml:space="preserve">law, including </w:t>
      </w:r>
      <w:proofErr w:type="spellStart"/>
      <w:r w:rsidRPr="003E1E87">
        <w:rPr>
          <w:i/>
          <w:iCs/>
        </w:rPr>
        <w:t>Nammo</w:t>
      </w:r>
      <w:proofErr w:type="spellEnd"/>
      <w:r w:rsidRPr="003E1E87">
        <w:rPr>
          <w:i/>
          <w:iCs/>
        </w:rPr>
        <w:t>,</w:t>
      </w:r>
      <w:r w:rsidRPr="003E1E87">
        <w:t xml:space="preserve"> as providing the following factors in assessing an award of damage and its quantum, stating, at para 60:</w:t>
      </w:r>
    </w:p>
    <w:p w14:paraId="5ECC923C" w14:textId="3207ED2B" w:rsidR="0045438C" w:rsidRPr="003E1E87" w:rsidRDefault="0045438C" w:rsidP="00F63231">
      <w:pPr>
        <w:pStyle w:val="FootnoteText"/>
      </w:pPr>
      <w:r w:rsidRPr="003E1E87">
        <w:t>the Court may consider a number of non-exhaustive factors, including: (1) the seriousness of the breach; (2) the nature of the information at stake; (3) the impact of the breach on the Applicant; (4) the nature of the relationship between the parties; (5) the conduct of the Respondent before and after the breach; (6) whether the Applicant attempted to mitigate his or her loss; (7) whether the Respondent benefited from the breach; (8) whether the award of damages would further the objectives of the Act in ensuring that organizations are diligent in retaining as secure, personal information; and (9) whether the award of damages may be justified to deter future breaches.”</w:t>
      </w:r>
    </w:p>
  </w:footnote>
  <w:footnote w:id="42">
    <w:p w14:paraId="372B4ECC" w14:textId="7D70ACBB" w:rsidR="0045438C" w:rsidRPr="003E1E87" w:rsidRDefault="0045438C" w:rsidP="008F3518">
      <w:pPr>
        <w:pStyle w:val="FootnoteText"/>
      </w:pPr>
      <w:r w:rsidRPr="003E1E87">
        <w:rPr>
          <w:rStyle w:val="FootnoteReference"/>
        </w:rPr>
        <w:footnoteRef/>
      </w:r>
      <w:r w:rsidRPr="003E1E87">
        <w:t xml:space="preserve"> Stephen </w:t>
      </w:r>
      <w:proofErr w:type="spellStart"/>
      <w:r w:rsidRPr="003E1E87">
        <w:t>Waddams</w:t>
      </w:r>
      <w:proofErr w:type="spellEnd"/>
      <w:r w:rsidRPr="003E1E87">
        <w:t>, Law of Damages (np: Carswell, 2020 e-loose</w:t>
      </w:r>
      <w:r>
        <w:t>-</w:t>
      </w:r>
      <w:r w:rsidRPr="003E1E87">
        <w:t>leaf service) at 10.10.</w:t>
      </w:r>
    </w:p>
  </w:footnote>
  <w:footnote w:id="43">
    <w:p w14:paraId="69B704CC" w14:textId="3821DF5F" w:rsidR="0045438C" w:rsidRPr="003E1E87" w:rsidRDefault="0045438C" w:rsidP="00B661B9">
      <w:pPr>
        <w:pStyle w:val="FootnoteText"/>
      </w:pPr>
      <w:r w:rsidRPr="003E1E87">
        <w:rPr>
          <w:rStyle w:val="FootnoteReference"/>
        </w:rPr>
        <w:footnoteRef/>
      </w:r>
      <w:r w:rsidRPr="003E1E87">
        <w:t xml:space="preserve"> As the New Brunswick Court of Appeal observed in the context of defamation case: “Nominal damages serve to vindicate the plaintiff's rights even when no compensation is necessary.” See </w:t>
      </w:r>
      <w:r w:rsidRPr="003E1E87">
        <w:tab/>
      </w:r>
    </w:p>
    <w:p w14:paraId="65B18183" w14:textId="37D85803" w:rsidR="0045438C" w:rsidRPr="003E1E87" w:rsidRDefault="0045438C" w:rsidP="00720035">
      <w:pPr>
        <w:pStyle w:val="FootnoteText"/>
      </w:pPr>
      <w:proofErr w:type="spellStart"/>
      <w:r w:rsidRPr="003E1E87">
        <w:rPr>
          <w:i/>
          <w:iCs/>
        </w:rPr>
        <w:t>Langille</w:t>
      </w:r>
      <w:proofErr w:type="spellEnd"/>
      <w:r w:rsidRPr="003E1E87">
        <w:rPr>
          <w:i/>
          <w:iCs/>
        </w:rPr>
        <w:t xml:space="preserve"> v McGrath</w:t>
      </w:r>
      <w:r w:rsidRPr="003E1E87">
        <w:t>, 2001 NBCA 106 at para 18, citing J Cassels, Remedies: The Law of Damages (Toronto: Irwin Law, 2000) at 281.</w:t>
      </w:r>
    </w:p>
  </w:footnote>
  <w:footnote w:id="44">
    <w:p w14:paraId="34A7B5CE" w14:textId="052263EF"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rsidRPr="003E1E87">
        <w:t>note</w:t>
      </w:r>
      <w:r>
        <w:t xml:space="preserve"> </w:t>
      </w:r>
      <w:r>
        <w:fldChar w:fldCharType="begin"/>
      </w:r>
      <w:r>
        <w:instrText xml:space="preserve"> NOTEREF _Ref82597430 \h </w:instrText>
      </w:r>
      <w:r>
        <w:fldChar w:fldCharType="separate"/>
      </w:r>
      <w:r>
        <w:t>3</w:t>
      </w:r>
      <w:r>
        <w:fldChar w:fldCharType="end"/>
      </w:r>
      <w:r w:rsidRPr="003E1E87">
        <w:t xml:space="preserve"> at para 79.</w:t>
      </w:r>
    </w:p>
  </w:footnote>
  <w:footnote w:id="45">
    <w:p w14:paraId="6F8CEFC2" w14:textId="1675707A" w:rsidR="0045438C" w:rsidRPr="003E1E87" w:rsidRDefault="0045438C" w:rsidP="00892BC6">
      <w:pPr>
        <w:pStyle w:val="FootnoteText"/>
      </w:pPr>
      <w:r w:rsidRPr="003E1E87">
        <w:rPr>
          <w:rStyle w:val="FootnoteReference"/>
        </w:rPr>
        <w:footnoteRef/>
      </w:r>
      <w:r w:rsidRPr="003E1E87">
        <w:t xml:space="preserve"> See </w:t>
      </w:r>
      <w:r w:rsidRPr="00753425">
        <w:t xml:space="preserve">Barbara von </w:t>
      </w:r>
      <w:proofErr w:type="spellStart"/>
      <w:r w:rsidRPr="00753425">
        <w:t>Tigerstrom</w:t>
      </w:r>
      <w:proofErr w:type="spellEnd"/>
      <w:r w:rsidRPr="00753425">
        <w:t xml:space="preserve">, </w:t>
      </w:r>
      <w:r w:rsidRPr="00753425">
        <w:rPr>
          <w:i/>
          <w:iCs/>
        </w:rPr>
        <w:t xml:space="preserve">Information &amp; Privacy Law in Canada </w:t>
      </w:r>
      <w:r w:rsidRPr="00753425">
        <w:t>(Toronto:  Irwin Law, 2020)</w:t>
      </w:r>
      <w:r w:rsidRPr="003E1E87">
        <w:t xml:space="preserve"> at 391, citing </w:t>
      </w:r>
      <w:r w:rsidRPr="003E1E87">
        <w:rPr>
          <w:rFonts w:cs="Times New Roman"/>
          <w:bCs/>
          <w:i/>
          <w:iCs/>
          <w:color w:val="272627"/>
        </w:rPr>
        <w:t>AT v Globe24H.com</w:t>
      </w:r>
      <w:r w:rsidRPr="003E1E87">
        <w:rPr>
          <w:rFonts w:cs="Times New Roman"/>
          <w:bCs/>
          <w:color w:val="272627"/>
        </w:rPr>
        <w:t>,</w:t>
      </w:r>
      <w:r w:rsidRPr="003E1E87">
        <w:rPr>
          <w:rFonts w:cs="Times New Roman"/>
          <w:bCs/>
          <w:i/>
          <w:iCs/>
          <w:color w:val="272627"/>
        </w:rPr>
        <w:t xml:space="preserve"> </w:t>
      </w:r>
      <w:r w:rsidRPr="003E1E87">
        <w:rPr>
          <w:rFonts w:cs="Times New Roman"/>
          <w:bCs/>
          <w:color w:val="272627"/>
        </w:rPr>
        <w:t>2017 FC 114</w:t>
      </w:r>
      <w:r w:rsidRPr="003E1E87">
        <w:rPr>
          <w:i/>
          <w:iCs/>
        </w:rPr>
        <w:t xml:space="preserve">, </w:t>
      </w:r>
      <w:r w:rsidRPr="003E1E87">
        <w:t xml:space="preserve">which, at para 99 cites </w:t>
      </w:r>
      <w:proofErr w:type="spellStart"/>
      <w:r w:rsidRPr="003E1E87">
        <w:rPr>
          <w:i/>
          <w:iCs/>
        </w:rPr>
        <w:t>Nammo</w:t>
      </w:r>
      <w:proofErr w:type="spellEnd"/>
      <w:r w:rsidRPr="003E1E87">
        <w:t xml:space="preserve">, </w:t>
      </w:r>
      <w:r w:rsidRPr="003E1E87">
        <w:rPr>
          <w:i/>
          <w:iCs/>
        </w:rPr>
        <w:t xml:space="preserve">supra </w:t>
      </w:r>
      <w:r w:rsidRPr="003E1E87">
        <w:t>note</w:t>
      </w:r>
      <w:r>
        <w:t xml:space="preserve"> </w:t>
      </w:r>
      <w:r>
        <w:fldChar w:fldCharType="begin"/>
      </w:r>
      <w:r>
        <w:instrText xml:space="preserve"> NOTEREF _Ref82597430 \h </w:instrText>
      </w:r>
      <w:r>
        <w:fldChar w:fldCharType="separate"/>
      </w:r>
      <w:r>
        <w:t>3</w:t>
      </w:r>
      <w:r>
        <w:fldChar w:fldCharType="end"/>
      </w:r>
      <w:r w:rsidRPr="003E1E87">
        <w:t xml:space="preserve">. See too </w:t>
      </w:r>
      <w:r w:rsidRPr="003E1E87">
        <w:rPr>
          <w:i/>
          <w:iCs/>
        </w:rPr>
        <w:t>Townsend</w:t>
      </w:r>
      <w:r w:rsidRPr="003E1E87">
        <w:t xml:space="preserve"> and </w:t>
      </w:r>
      <w:proofErr w:type="spellStart"/>
      <w:r w:rsidRPr="003E1E87">
        <w:rPr>
          <w:i/>
          <w:iCs/>
        </w:rPr>
        <w:t>Chitrakar</w:t>
      </w:r>
      <w:proofErr w:type="spellEnd"/>
      <w:r w:rsidRPr="003E1E87">
        <w:t>.</w:t>
      </w:r>
    </w:p>
  </w:footnote>
  <w:footnote w:id="46">
    <w:p w14:paraId="300869DD" w14:textId="78CF3206" w:rsidR="0045438C" w:rsidRPr="003E1E87" w:rsidRDefault="0045438C" w:rsidP="0080142D">
      <w:pPr>
        <w:pStyle w:val="FootnoteText"/>
      </w:pPr>
      <w:r w:rsidRPr="003E1E87">
        <w:rPr>
          <w:rStyle w:val="FootnoteReference"/>
        </w:rPr>
        <w:footnoteRef/>
      </w:r>
      <w:r w:rsidRPr="003E1E87">
        <w:t xml:space="preserve"> </w:t>
      </w:r>
      <w:r w:rsidRPr="003E1E87">
        <w:rPr>
          <w:i/>
          <w:iCs/>
        </w:rPr>
        <w:t xml:space="preserve">Ward, supra </w:t>
      </w:r>
      <w:r w:rsidRPr="003E1E87">
        <w:t>note</w:t>
      </w:r>
      <w:r>
        <w:t xml:space="preserve"> </w:t>
      </w:r>
      <w:r>
        <w:fldChar w:fldCharType="begin"/>
      </w:r>
      <w:r>
        <w:instrText xml:space="preserve"> NOTEREF _Ref82598349 \h </w:instrText>
      </w:r>
      <w:r>
        <w:fldChar w:fldCharType="separate"/>
      </w:r>
      <w:r>
        <w:t>11</w:t>
      </w:r>
      <w:r>
        <w:fldChar w:fldCharType="end"/>
      </w:r>
      <w:r w:rsidRPr="003E1E87">
        <w:t>, at para 28</w:t>
      </w:r>
      <w:r>
        <w:t>.</w:t>
      </w:r>
    </w:p>
  </w:footnote>
  <w:footnote w:id="47">
    <w:p w14:paraId="7306EEB9" w14:textId="279C5F2D" w:rsidR="0045438C" w:rsidRPr="003E1E87" w:rsidRDefault="0045438C">
      <w:pPr>
        <w:pStyle w:val="FootnoteText"/>
      </w:pPr>
      <w:r w:rsidRPr="003E1E87">
        <w:rPr>
          <w:rStyle w:val="FootnoteReference"/>
        </w:rPr>
        <w:footnoteRef/>
      </w:r>
      <w:r w:rsidRPr="003E1E87">
        <w:t xml:space="preserve"> </w:t>
      </w:r>
      <w:r w:rsidRPr="003E1E87">
        <w:rPr>
          <w:i/>
          <w:iCs/>
        </w:rPr>
        <w:t>Ibid</w:t>
      </w:r>
      <w:r w:rsidRPr="003E1E87">
        <w:t xml:space="preserve"> at para 28</w:t>
      </w:r>
      <w:r>
        <w:t>.</w:t>
      </w:r>
    </w:p>
  </w:footnote>
  <w:footnote w:id="48">
    <w:p w14:paraId="2DD1BFF2" w14:textId="72E18FE3" w:rsidR="0045438C" w:rsidRPr="003E1E87" w:rsidRDefault="0045438C" w:rsidP="0080142D">
      <w:pPr>
        <w:pStyle w:val="FootnoteText"/>
      </w:pPr>
      <w:r w:rsidRPr="003E1E87">
        <w:rPr>
          <w:rStyle w:val="FootnoteReference"/>
        </w:rPr>
        <w:footnoteRef/>
      </w:r>
      <w:r w:rsidRPr="003E1E87">
        <w:t xml:space="preserve"> Note that the court in </w:t>
      </w:r>
      <w:proofErr w:type="spellStart"/>
      <w:r>
        <w:rPr>
          <w:i/>
          <w:iCs/>
        </w:rPr>
        <w:t>Miglialo</w:t>
      </w:r>
      <w:proofErr w:type="spellEnd"/>
      <w:r w:rsidRPr="008319F2">
        <w:rPr>
          <w:i/>
          <w:iCs/>
        </w:rPr>
        <w:t xml:space="preserve"> v Royal Bank of Canada</w:t>
      </w:r>
      <w:r w:rsidRPr="008319F2">
        <w:t>, 2018 FC 525</w:t>
      </w:r>
      <w:r>
        <w:t xml:space="preserve"> [</w:t>
      </w:r>
      <w:proofErr w:type="spellStart"/>
      <w:r>
        <w:rPr>
          <w:i/>
          <w:iCs/>
        </w:rPr>
        <w:t>Miglialo</w:t>
      </w:r>
      <w:proofErr w:type="spellEnd"/>
      <w:r>
        <w:t>]</w:t>
      </w:r>
      <w:r w:rsidRPr="003E1E87">
        <w:rPr>
          <w:i/>
          <w:iCs/>
        </w:rPr>
        <w:t xml:space="preserve"> </w:t>
      </w:r>
      <w:r w:rsidRPr="003E1E87">
        <w:t xml:space="preserve">offers a further aspect to the idea of vindication in the context of an employee wrongfully accessing the applicant’s financial information. It does not lie in damages but in “the respondent’s acknowledgement of the breach, which resulted in appropriate disciplinary measures [of its employee] as well as the finding of the Privacy Commissioner that a violate of Principle 4.5 occurred” at para 52. See also David </w:t>
      </w:r>
      <w:proofErr w:type="spellStart"/>
      <w:r w:rsidRPr="003E1E87">
        <w:t>Rolph</w:t>
      </w:r>
      <w:proofErr w:type="spellEnd"/>
      <w:r w:rsidRPr="003E1E87">
        <w:t xml:space="preserve">, “Vindicating Reputation and Privacy” in A Kenyon, (ed.) </w:t>
      </w:r>
      <w:r w:rsidRPr="003E1E87">
        <w:rPr>
          <w:i/>
          <w:iCs/>
        </w:rPr>
        <w:t>Comparative Defamation and Privacy Law</w:t>
      </w:r>
      <w:r w:rsidRPr="003E1E87">
        <w:t xml:space="preserve"> (Cambridge: Cambridge University Press, 2016) 291 at 302: “Vindication involves ‘attesting to, affirming and reinforcing’ the importance and value of legal rights protected by tort law’.” </w:t>
      </w:r>
    </w:p>
  </w:footnote>
  <w:footnote w:id="49">
    <w:p w14:paraId="0E6FE07E" w14:textId="5259DF51" w:rsidR="0045438C" w:rsidRPr="003E1E87" w:rsidRDefault="0045438C" w:rsidP="000F0219">
      <w:pPr>
        <w:pStyle w:val="FootnoteText"/>
      </w:pPr>
      <w:r w:rsidRPr="003E1E87">
        <w:rPr>
          <w:rStyle w:val="FootnoteReference"/>
        </w:rPr>
        <w:footnoteRef/>
      </w:r>
      <w:r w:rsidRPr="003E1E87">
        <w:t xml:space="preserve"> </w:t>
      </w:r>
      <w:r w:rsidRPr="003E1E87">
        <w:rPr>
          <w:i/>
          <w:iCs/>
        </w:rPr>
        <w:t xml:space="preserve">Ward, </w:t>
      </w:r>
      <w:r w:rsidRPr="00AF14AC">
        <w:rPr>
          <w:i/>
          <w:iCs/>
        </w:rPr>
        <w:t>supra</w:t>
      </w:r>
      <w:r w:rsidRPr="003E1E87">
        <w:t xml:space="preserve"> </w:t>
      </w:r>
      <w:r>
        <w:t xml:space="preserve">note </w:t>
      </w:r>
      <w:r>
        <w:fldChar w:fldCharType="begin"/>
      </w:r>
      <w:r>
        <w:instrText xml:space="preserve"> NOTEREF _Ref82598349 \h </w:instrText>
      </w:r>
      <w:r>
        <w:fldChar w:fldCharType="separate"/>
      </w:r>
      <w:r>
        <w:t>11</w:t>
      </w:r>
      <w:r>
        <w:fldChar w:fldCharType="end"/>
      </w:r>
      <w:r w:rsidRPr="003E1E87">
        <w:t xml:space="preserve"> at para 54.</w:t>
      </w:r>
    </w:p>
  </w:footnote>
  <w:footnote w:id="50">
    <w:p w14:paraId="3E0DADC1" w14:textId="3C8FCED5" w:rsidR="0045438C" w:rsidRPr="003E1E87" w:rsidRDefault="0045438C">
      <w:pPr>
        <w:pStyle w:val="FootnoteText"/>
      </w:pPr>
      <w:r w:rsidRPr="003E1E87">
        <w:rPr>
          <w:rStyle w:val="FootnoteReference"/>
        </w:rPr>
        <w:footnoteRef/>
      </w:r>
      <w:r w:rsidRPr="003E1E87">
        <w:t xml:space="preserve"> </w:t>
      </w:r>
      <w:r w:rsidRPr="003E1E87">
        <w:rPr>
          <w:bCs/>
          <w:i/>
          <w:highlight w:val="white"/>
        </w:rPr>
        <w:t>Cote v Day &amp; Ross Inc.</w:t>
      </w:r>
      <w:r w:rsidRPr="003E1E87">
        <w:rPr>
          <w:bCs/>
          <w:highlight w:val="white"/>
        </w:rPr>
        <w:t>, 2015 FC 1283</w:t>
      </w:r>
      <w:r w:rsidRPr="003E1E87">
        <w:rPr>
          <w:bCs/>
        </w:rPr>
        <w:t xml:space="preserve"> at </w:t>
      </w:r>
      <w:r w:rsidRPr="003E1E87">
        <w:t>para 21 [</w:t>
      </w:r>
      <w:r w:rsidRPr="003E1E87">
        <w:rPr>
          <w:i/>
          <w:iCs/>
        </w:rPr>
        <w:t>Cote</w:t>
      </w:r>
      <w:r w:rsidRPr="003E1E87">
        <w:t>].</w:t>
      </w:r>
    </w:p>
  </w:footnote>
  <w:footnote w:id="51">
    <w:p w14:paraId="6E357F9A" w14:textId="2E959348" w:rsidR="0045438C" w:rsidRPr="003E1E87" w:rsidRDefault="0045438C" w:rsidP="00936EE8">
      <w:pPr>
        <w:pStyle w:val="FootnoteText"/>
      </w:pPr>
      <w:r w:rsidRPr="003E1E87">
        <w:rPr>
          <w:rStyle w:val="FootnoteReference"/>
        </w:rPr>
        <w:footnoteRef/>
      </w:r>
      <w:r w:rsidRPr="003E1E87">
        <w:t xml:space="preserve"> </w:t>
      </w:r>
      <w:r w:rsidRPr="003E1E87">
        <w:rPr>
          <w:rStyle w:val="highlight"/>
        </w:rPr>
        <w:t>Charles</w:t>
      </w:r>
      <w:r w:rsidRPr="003E1E87">
        <w:rPr>
          <w:rStyle w:val="markedcontent"/>
        </w:rPr>
        <w:t xml:space="preserve">, </w:t>
      </w:r>
      <w:r w:rsidRPr="003E1E87">
        <w:rPr>
          <w:rStyle w:val="markedcontent"/>
          <w:i/>
          <w:iCs/>
        </w:rPr>
        <w:t xml:space="preserve">supra </w:t>
      </w:r>
      <w:r>
        <w:rPr>
          <w:rStyle w:val="markedcontent"/>
        </w:rPr>
        <w:t xml:space="preserve">note </w:t>
      </w:r>
      <w:r>
        <w:rPr>
          <w:rStyle w:val="markedcontent"/>
        </w:rPr>
        <w:fldChar w:fldCharType="begin"/>
      </w:r>
      <w:r>
        <w:rPr>
          <w:rStyle w:val="markedcontent"/>
        </w:rPr>
        <w:instrText xml:space="preserve"> NOTEREF _Ref78154037 \h </w:instrText>
      </w:r>
      <w:r>
        <w:rPr>
          <w:rStyle w:val="markedcontent"/>
        </w:rPr>
      </w:r>
      <w:r>
        <w:rPr>
          <w:rStyle w:val="markedcontent"/>
        </w:rPr>
        <w:fldChar w:fldCharType="separate"/>
      </w:r>
      <w:r>
        <w:rPr>
          <w:rStyle w:val="markedcontent"/>
        </w:rPr>
        <w:t>13</w:t>
      </w:r>
      <w:r>
        <w:rPr>
          <w:rStyle w:val="markedcontent"/>
        </w:rPr>
        <w:fldChar w:fldCharType="end"/>
      </w:r>
      <w:r w:rsidRPr="003E1E87">
        <w:rPr>
          <w:rStyle w:val="markedcontent"/>
        </w:rPr>
        <w:t xml:space="preserve"> at 85.</w:t>
      </w:r>
    </w:p>
  </w:footnote>
  <w:footnote w:id="52">
    <w:p w14:paraId="2D028113" w14:textId="1F59EEFB" w:rsidR="0045438C" w:rsidRPr="003E1E87" w:rsidRDefault="0045438C">
      <w:pPr>
        <w:pStyle w:val="FootnoteText"/>
      </w:pPr>
      <w:r w:rsidRPr="003E1E87">
        <w:rPr>
          <w:rStyle w:val="FootnoteReference"/>
        </w:rPr>
        <w:footnoteRef/>
      </w:r>
      <w:r>
        <w:t xml:space="preserve"> </w:t>
      </w:r>
      <w:hyperlink r:id="rId3" w:history="1">
        <w:r w:rsidRPr="003E1E87">
          <w:rPr>
            <w:rStyle w:val="Hyperlink"/>
            <w:color w:val="auto"/>
            <w:u w:val="none"/>
          </w:rPr>
          <w:t>SO 1992</w:t>
        </w:r>
        <w:r>
          <w:rPr>
            <w:rStyle w:val="Hyperlink"/>
            <w:color w:val="auto"/>
            <w:u w:val="none"/>
          </w:rPr>
          <w:t>,</w:t>
        </w:r>
        <w:r w:rsidRPr="003E1E87">
          <w:rPr>
            <w:rStyle w:val="Hyperlink"/>
            <w:color w:val="auto"/>
            <w:u w:val="none"/>
          </w:rPr>
          <w:t xml:space="preserve"> c 6</w:t>
        </w:r>
      </w:hyperlink>
      <w:r w:rsidRPr="003E1E87">
        <w:t>.</w:t>
      </w:r>
    </w:p>
  </w:footnote>
  <w:footnote w:id="53">
    <w:p w14:paraId="0ECCE7BE" w14:textId="099C07B0" w:rsidR="0045438C" w:rsidRPr="003E1E87" w:rsidRDefault="0045438C" w:rsidP="00F50F62">
      <w:pPr>
        <w:pStyle w:val="FootnoteText"/>
      </w:pPr>
      <w:r w:rsidRPr="003E1E87">
        <w:rPr>
          <w:rStyle w:val="FootnoteReference"/>
        </w:rPr>
        <w:footnoteRef/>
      </w:r>
      <w:r w:rsidRPr="003E1E87">
        <w:t xml:space="preserve"> </w:t>
      </w:r>
      <w:r w:rsidRPr="003E1E87">
        <w:rPr>
          <w:i/>
          <w:iCs/>
        </w:rPr>
        <w:t>Emond v Google LLC</w:t>
      </w:r>
      <w:r w:rsidRPr="003E1E87">
        <w:t xml:space="preserve">, 2021 ONSC 302 at para 33, citing </w:t>
      </w:r>
      <w:r w:rsidRPr="003E1E87">
        <w:rPr>
          <w:i/>
          <w:iCs/>
        </w:rPr>
        <w:t>Whiten v Pilot Insurance Co</w:t>
      </w:r>
      <w:r w:rsidRPr="003E1E87">
        <w:t xml:space="preserve">., </w:t>
      </w:r>
      <w:hyperlink r:id="rId4" w:history="1">
        <w:r w:rsidRPr="003E1E87">
          <w:rPr>
            <w:rStyle w:val="Hyperlink"/>
            <w:color w:val="auto"/>
            <w:u w:val="none"/>
          </w:rPr>
          <w:t>2002 SCC 18</w:t>
        </w:r>
      </w:hyperlink>
      <w:r w:rsidRPr="003E1E87">
        <w:rPr>
          <w:rStyle w:val="Hyperlink"/>
          <w:color w:val="auto"/>
          <w:u w:val="none"/>
        </w:rPr>
        <w:t xml:space="preserve"> </w:t>
      </w:r>
      <w:r w:rsidRPr="003E1E87">
        <w:t xml:space="preserve">at para </w:t>
      </w:r>
      <w:hyperlink r:id="rId5" w:anchor="par32" w:history="1">
        <w:r w:rsidRPr="003E1E87">
          <w:rPr>
            <w:rStyle w:val="Hyperlink"/>
            <w:color w:val="auto"/>
            <w:u w:val="none"/>
          </w:rPr>
          <w:t>32</w:t>
        </w:r>
      </w:hyperlink>
      <w:r w:rsidRPr="003E1E87">
        <w:rPr>
          <w:rStyle w:val="Hyperlink"/>
          <w:color w:val="auto"/>
          <w:u w:val="none"/>
        </w:rPr>
        <w:t>.</w:t>
      </w:r>
    </w:p>
  </w:footnote>
  <w:footnote w:id="54">
    <w:p w14:paraId="45ED7E85" w14:textId="13C09268" w:rsidR="0045438C" w:rsidRPr="003E1E87" w:rsidRDefault="0045438C" w:rsidP="0030459C">
      <w:pPr>
        <w:spacing w:after="0"/>
      </w:pPr>
      <w:r w:rsidRPr="003E1E87">
        <w:rPr>
          <w:rStyle w:val="FootnoteReference"/>
        </w:rPr>
        <w:footnoteRef/>
      </w:r>
      <w:r w:rsidRPr="003E1E87">
        <w:rPr>
          <w:sz w:val="20"/>
          <w:szCs w:val="20"/>
        </w:rPr>
        <w:t xml:space="preserve"> Jenny Steele,</w:t>
      </w:r>
      <w:r w:rsidRPr="003E1E87">
        <w:t xml:space="preserve"> </w:t>
      </w:r>
      <w:r w:rsidRPr="003E1E87">
        <w:rPr>
          <w:rFonts w:eastAsia="Times New Roman"/>
          <w:sz w:val="20"/>
          <w:szCs w:val="20"/>
          <w:lang w:eastAsia="en-CA"/>
        </w:rPr>
        <w:t>“‘Breach of Duty Causing Harm?’ Recent Encounters between Neglige</w:t>
      </w:r>
      <w:r>
        <w:rPr>
          <w:rFonts w:eastAsia="Times New Roman"/>
          <w:sz w:val="20"/>
          <w:szCs w:val="20"/>
          <w:lang w:eastAsia="en-CA"/>
        </w:rPr>
        <w:t xml:space="preserve">nce and Risk”, (2007) 60 </w:t>
      </w:r>
      <w:proofErr w:type="spellStart"/>
      <w:r>
        <w:rPr>
          <w:rFonts w:eastAsia="Times New Roman"/>
          <w:sz w:val="20"/>
          <w:szCs w:val="20"/>
          <w:lang w:eastAsia="en-CA"/>
        </w:rPr>
        <w:t>Curr</w:t>
      </w:r>
      <w:proofErr w:type="spellEnd"/>
      <w:r w:rsidRPr="003E1E87">
        <w:rPr>
          <w:rFonts w:eastAsia="Times New Roman"/>
          <w:sz w:val="20"/>
          <w:szCs w:val="20"/>
          <w:lang w:eastAsia="en-CA"/>
        </w:rPr>
        <w:t xml:space="preserve"> Legal </w:t>
      </w:r>
      <w:proofErr w:type="spellStart"/>
      <w:r w:rsidRPr="003E1E87">
        <w:rPr>
          <w:rFonts w:eastAsia="Times New Roman"/>
          <w:sz w:val="20"/>
          <w:szCs w:val="20"/>
          <w:lang w:eastAsia="en-CA"/>
        </w:rPr>
        <w:t>Probs</w:t>
      </w:r>
      <w:proofErr w:type="spellEnd"/>
      <w:r w:rsidRPr="003E1E87">
        <w:rPr>
          <w:rFonts w:eastAsia="Times New Roman"/>
          <w:sz w:val="20"/>
          <w:szCs w:val="20"/>
          <w:lang w:eastAsia="en-CA"/>
        </w:rPr>
        <w:t xml:space="preserve"> 296 at 297. </w:t>
      </w:r>
    </w:p>
  </w:footnote>
  <w:footnote w:id="55">
    <w:p w14:paraId="6B916DAE" w14:textId="25B31AD0" w:rsidR="0045438C" w:rsidRPr="003E1E87" w:rsidRDefault="0045438C" w:rsidP="008A756C">
      <w:pPr>
        <w:pStyle w:val="FootnoteText"/>
      </w:pPr>
      <w:r w:rsidRPr="003E1E87">
        <w:rPr>
          <w:rStyle w:val="FootnoteReference"/>
        </w:rPr>
        <w:footnoteRef/>
      </w:r>
      <w:r w:rsidRPr="003E1E87">
        <w:t xml:space="preserve"> Jane Stapleton, "Gist of Negligence</w:t>
      </w:r>
      <w:r w:rsidRPr="003E1E87">
        <w:rPr>
          <w:i/>
          <w:iCs/>
        </w:rPr>
        <w:t xml:space="preserve"> " </w:t>
      </w:r>
      <w:r w:rsidRPr="003E1E87">
        <w:t xml:space="preserve">(1988) 104 LQR 213. </w:t>
      </w:r>
    </w:p>
  </w:footnote>
  <w:footnote w:id="56">
    <w:p w14:paraId="60CEFF79" w14:textId="34297573" w:rsidR="0045438C" w:rsidRPr="003E1E87" w:rsidRDefault="0045438C">
      <w:pPr>
        <w:pStyle w:val="FootnoteText"/>
      </w:pPr>
      <w:r w:rsidRPr="003E1E87">
        <w:rPr>
          <w:rStyle w:val="FootnoteReference"/>
        </w:rPr>
        <w:footnoteRef/>
      </w:r>
      <w:r w:rsidRPr="003E1E87">
        <w:t xml:space="preserve"> GHL </w:t>
      </w:r>
      <w:proofErr w:type="spellStart"/>
      <w:r w:rsidRPr="003E1E87">
        <w:t>Fridman</w:t>
      </w:r>
      <w:proofErr w:type="spellEnd"/>
      <w:r w:rsidRPr="003E1E87">
        <w:t xml:space="preserve">, The Law of Torts in Canada, Vol 1 at 7 (Toronto: Carswell, 1989), quoted with approval in </w:t>
      </w:r>
      <w:proofErr w:type="spellStart"/>
      <w:r w:rsidRPr="003E1E87">
        <w:rPr>
          <w:i/>
          <w:iCs/>
        </w:rPr>
        <w:t>Corlis</w:t>
      </w:r>
      <w:proofErr w:type="spellEnd"/>
      <w:r w:rsidRPr="003E1E87">
        <w:rPr>
          <w:i/>
          <w:iCs/>
        </w:rPr>
        <w:t xml:space="preserve"> v Blue Grass Sod Farms Ltd</w:t>
      </w:r>
      <w:r w:rsidRPr="003E1E87">
        <w:t xml:space="preserve">, 2016 ABPC 55, at para 61. </w:t>
      </w:r>
    </w:p>
  </w:footnote>
  <w:footnote w:id="57">
    <w:p w14:paraId="1EA74066" w14:textId="2112B2AD" w:rsidR="0045438C" w:rsidRPr="003E1E87" w:rsidRDefault="0045438C" w:rsidP="002057BE">
      <w:pPr>
        <w:pStyle w:val="FootnoteText"/>
      </w:pPr>
      <w:r w:rsidRPr="003E1E87">
        <w:rPr>
          <w:rStyle w:val="FootnoteReference"/>
        </w:rPr>
        <w:footnoteRef/>
      </w:r>
      <w:r w:rsidRPr="003E1E87">
        <w:t xml:space="preserve"> Kirsty Horsey and Erica Rackley, </w:t>
      </w:r>
      <w:r w:rsidRPr="003E1E87">
        <w:rPr>
          <w:i/>
          <w:iCs/>
        </w:rPr>
        <w:t xml:space="preserve">Tort Law </w:t>
      </w:r>
      <w:r w:rsidRPr="003E1E87">
        <w:t>6</w:t>
      </w:r>
      <w:r w:rsidRPr="003E1E87">
        <w:rPr>
          <w:vertAlign w:val="superscript"/>
        </w:rPr>
        <w:t>th</w:t>
      </w:r>
      <w:r w:rsidRPr="003E1E87">
        <w:t xml:space="preserve"> ed (Oxford: Oxford University Press, 2019). </w:t>
      </w:r>
    </w:p>
  </w:footnote>
  <w:footnote w:id="58">
    <w:p w14:paraId="650C2477" w14:textId="27106E66" w:rsidR="0045438C" w:rsidRPr="003E1E87" w:rsidRDefault="0045438C">
      <w:pPr>
        <w:pStyle w:val="FootnoteText"/>
      </w:pPr>
      <w:r w:rsidRPr="003E1E87">
        <w:rPr>
          <w:rStyle w:val="FootnoteReference"/>
        </w:rPr>
        <w:footnoteRef/>
      </w:r>
      <w:r w:rsidRPr="003E1E87">
        <w:t xml:space="preserve"> </w:t>
      </w:r>
      <w:r w:rsidRPr="003E1E87">
        <w:rPr>
          <w:i/>
          <w:iCs/>
        </w:rPr>
        <w:t>Bank of Nova Scotia v Dunphy Leasing Enterprises Ltd</w:t>
      </w:r>
      <w:r w:rsidRPr="003E1E87">
        <w:t xml:space="preserve">, 1991 ABCA 351 at para 60. </w:t>
      </w:r>
    </w:p>
  </w:footnote>
  <w:footnote w:id="59">
    <w:p w14:paraId="085BB080" w14:textId="1FE05FF8" w:rsidR="0045438C" w:rsidRPr="003E1E87" w:rsidRDefault="0045438C">
      <w:pPr>
        <w:pStyle w:val="FootnoteText"/>
      </w:pPr>
      <w:r w:rsidRPr="003E1E87">
        <w:rPr>
          <w:rStyle w:val="FootnoteReference"/>
        </w:rPr>
        <w:footnoteRef/>
      </w:r>
      <w:r w:rsidRPr="003E1E87">
        <w:t xml:space="preserve"> </w:t>
      </w:r>
      <w:r w:rsidRPr="003E1E87">
        <w:rPr>
          <w:i/>
          <w:iCs/>
        </w:rPr>
        <w:t>Farrell v Canadian Broadcasting Corporation (1987)</w:t>
      </w:r>
      <w:r w:rsidRPr="003E1E87">
        <w:t xml:space="preserve">, 1987 CanLII 3929 (NL CA) at para 52, quoting </w:t>
      </w:r>
      <w:r w:rsidRPr="003E1E87">
        <w:rPr>
          <w:i/>
          <w:iCs/>
        </w:rPr>
        <w:t xml:space="preserve">St. Marylebone in Cassell v. Broome </w:t>
      </w:r>
      <w:r w:rsidRPr="003E1E87">
        <w:t xml:space="preserve">[1972] AC 1027] at 1073.  </w:t>
      </w:r>
    </w:p>
  </w:footnote>
  <w:footnote w:id="60">
    <w:p w14:paraId="6E69E33B" w14:textId="40EE4B68" w:rsidR="0045438C" w:rsidRPr="003E1E87" w:rsidRDefault="0045438C" w:rsidP="009A4367">
      <w:pPr>
        <w:pStyle w:val="FootnoteText"/>
      </w:pPr>
      <w:r w:rsidRPr="003E1E87">
        <w:rPr>
          <w:rStyle w:val="FootnoteReference"/>
        </w:rPr>
        <w:footnoteRef/>
      </w:r>
      <w:r w:rsidRPr="003E1E87">
        <w:t xml:space="preserve"> </w:t>
      </w:r>
      <w:r w:rsidRPr="003E1E87">
        <w:rPr>
          <w:i/>
          <w:iCs/>
        </w:rPr>
        <w:t>Holden v Hanlon</w:t>
      </w:r>
      <w:r w:rsidRPr="003E1E87">
        <w:t xml:space="preserve">, 2019 BCSC 622 at para 289, citing </w:t>
      </w:r>
      <w:r w:rsidRPr="003E1E87">
        <w:rPr>
          <w:i/>
          <w:iCs/>
        </w:rPr>
        <w:t>John v Kim,</w:t>
      </w:r>
      <w:r w:rsidRPr="003E1E87">
        <w:t xml:space="preserve"> 2007 BCSC 1224, at para 94.  </w:t>
      </w:r>
    </w:p>
  </w:footnote>
  <w:footnote w:id="61">
    <w:p w14:paraId="275E3FDA" w14:textId="70782F9B" w:rsidR="0045438C" w:rsidRPr="003E1E87" w:rsidRDefault="0045438C" w:rsidP="002057BE">
      <w:pPr>
        <w:pStyle w:val="FootnoteText"/>
      </w:pPr>
      <w:r w:rsidRPr="003E1E87">
        <w:rPr>
          <w:rStyle w:val="FootnoteReference"/>
        </w:rPr>
        <w:footnoteRef/>
      </w:r>
      <w:r w:rsidRPr="003E1E87">
        <w:t xml:space="preserve"> </w:t>
      </w:r>
      <w:proofErr w:type="spellStart"/>
      <w:r w:rsidRPr="003E1E87">
        <w:t>Rolph</w:t>
      </w:r>
      <w:proofErr w:type="spellEnd"/>
      <w:r w:rsidRPr="003E1E87">
        <w:t xml:space="preserve">, </w:t>
      </w:r>
      <w:r w:rsidRPr="003E1E87">
        <w:rPr>
          <w:i/>
          <w:iCs/>
        </w:rPr>
        <w:t>supra</w:t>
      </w:r>
      <w:r w:rsidRPr="003E1E87">
        <w:t xml:space="preserve"> note </w:t>
      </w:r>
      <w:r>
        <w:fldChar w:fldCharType="begin"/>
      </w:r>
      <w:r>
        <w:instrText xml:space="preserve"> NOTEREF _Ref78154556 \h </w:instrText>
      </w:r>
      <w:r>
        <w:fldChar w:fldCharType="separate"/>
      </w:r>
      <w:r>
        <w:t>45</w:t>
      </w:r>
      <w:r>
        <w:fldChar w:fldCharType="end"/>
      </w:r>
      <w:r w:rsidR="004622EE">
        <w:t xml:space="preserve"> at 300-301, 306.</w:t>
      </w:r>
    </w:p>
  </w:footnote>
  <w:footnote w:id="62">
    <w:p w14:paraId="54D0C96B" w14:textId="57793CAD" w:rsidR="0045438C" w:rsidRPr="003E1E87" w:rsidRDefault="0045438C" w:rsidP="0030459C">
      <w:pPr>
        <w:spacing w:after="0"/>
        <w:contextualSpacing/>
      </w:pPr>
      <w:r w:rsidRPr="003E1E87">
        <w:rPr>
          <w:rStyle w:val="FootnoteReference"/>
          <w:sz w:val="20"/>
          <w:szCs w:val="20"/>
        </w:rPr>
        <w:footnoteRef/>
      </w:r>
      <w:r w:rsidRPr="003E1E87">
        <w:rPr>
          <w:sz w:val="20"/>
          <w:szCs w:val="20"/>
        </w:rPr>
        <w:t xml:space="preserve"> Marilyn Pilkington, “Damages as a Remedy for Infringement of the Canadian </w:t>
      </w:r>
      <w:r w:rsidRPr="0030459C">
        <w:rPr>
          <w:sz w:val="20"/>
          <w:szCs w:val="20"/>
        </w:rPr>
        <w:t>Charter</w:t>
      </w:r>
      <w:r w:rsidRPr="003E1E87">
        <w:rPr>
          <w:sz w:val="20"/>
          <w:szCs w:val="20"/>
        </w:rPr>
        <w:t xml:space="preserve"> of Rights and Freedoms”, (1984) 62 Can Bar Rev 517 at 569. We add that since actual damages are immaterial to such torts, compensation must follow regardless of whether actual damages have been sustained or whether they </w:t>
      </w:r>
      <w:r w:rsidR="004622EE">
        <w:rPr>
          <w:sz w:val="20"/>
          <w:szCs w:val="20"/>
        </w:rPr>
        <w:t xml:space="preserve">were </w:t>
      </w:r>
      <w:r w:rsidRPr="003E1E87">
        <w:rPr>
          <w:sz w:val="20"/>
          <w:szCs w:val="20"/>
        </w:rPr>
        <w:t xml:space="preserve">difficult to quantify. </w:t>
      </w:r>
    </w:p>
  </w:footnote>
  <w:footnote w:id="63">
    <w:p w14:paraId="56E5E69F" w14:textId="34D2D3F1" w:rsidR="0045438C" w:rsidRPr="003E1E87" w:rsidRDefault="0045438C" w:rsidP="004622EE">
      <w:pPr>
        <w:pStyle w:val="FootnoteText"/>
      </w:pPr>
      <w:r w:rsidRPr="003E1E87">
        <w:rPr>
          <w:rStyle w:val="FootnoteReference"/>
        </w:rPr>
        <w:footnoteRef/>
      </w:r>
      <w:r w:rsidRPr="003E1E87">
        <w:t xml:space="preserve"> </w:t>
      </w:r>
      <w:r w:rsidRPr="003E1E87">
        <w:rPr>
          <w:i/>
          <w:iCs/>
        </w:rPr>
        <w:t xml:space="preserve">Ibid </w:t>
      </w:r>
      <w:r w:rsidRPr="003E1E87">
        <w:t>at 569: “it would be open to a Canadian court exercising its jurisdiction … to a</w:t>
      </w:r>
      <w:r w:rsidRPr="003E1E87">
        <w:rPr>
          <w:lang w:bidi="he-IL"/>
        </w:rPr>
        <w:t>ward</w:t>
      </w:r>
      <w:r w:rsidRPr="003E1E87">
        <w:t xml:space="preserve"> a remedy for violation of a constitutional right </w:t>
      </w:r>
      <w:r w:rsidRPr="003E1E87">
        <w:rPr>
          <w:i/>
          <w:iCs/>
        </w:rPr>
        <w:t>per se.</w:t>
      </w:r>
      <w:r w:rsidRPr="003E1E87">
        <w:t xml:space="preserve">” For very helpful analysis of Pilkington’s work and the </w:t>
      </w:r>
      <w:r w:rsidRPr="003E1E87">
        <w:rPr>
          <w:i/>
          <w:iCs/>
        </w:rPr>
        <w:t>Ward</w:t>
      </w:r>
      <w:r w:rsidRPr="003E1E87">
        <w:t xml:space="preserve"> case, see Katharine June Fisher, “Using </w:t>
      </w:r>
      <w:r w:rsidRPr="003E1E87">
        <w:rPr>
          <w:i/>
          <w:iCs/>
        </w:rPr>
        <w:t>Charter</w:t>
      </w:r>
      <w:r w:rsidRPr="003E1E87">
        <w:t xml:space="preserve"> Damages to Provide Meaningful Redress and Promote State Accountability: A Re-exami</w:t>
      </w:r>
      <w:r>
        <w:t xml:space="preserve">nation of the Omar Khadr Case”, </w:t>
      </w:r>
      <w:r w:rsidRPr="003E1E87">
        <w:t>Osgoode Hall Law School of York University</w:t>
      </w:r>
      <w:r>
        <w:t>,</w:t>
      </w:r>
      <w:r w:rsidRPr="003E1E87">
        <w:t xml:space="preserve"> Digital Commons Osgoode</w:t>
      </w:r>
      <w:r>
        <w:t>,</w:t>
      </w:r>
      <w:r w:rsidRPr="003E1E87">
        <w:t xml:space="preserve"> Theses a</w:t>
      </w:r>
      <w:r>
        <w:t>nd Dissertations (2020), online: &lt;</w:t>
      </w:r>
      <w:hyperlink r:id="rId6" w:history="1">
        <w:r w:rsidRPr="00E60FBA">
          <w:rPr>
            <w:rStyle w:val="Hyperlink"/>
          </w:rPr>
          <w:t>https://digitalcommons.osgoode.yorku.ca/cgi/viewcontent.cgi?article=1041&amp;context=llm</w:t>
        </w:r>
      </w:hyperlink>
      <w:r>
        <w:t>&gt;.</w:t>
      </w:r>
    </w:p>
  </w:footnote>
  <w:footnote w:id="64">
    <w:p w14:paraId="00564748" w14:textId="1CA5E4D5" w:rsidR="0045438C" w:rsidRPr="003E1E87" w:rsidRDefault="0045438C" w:rsidP="00936EE8">
      <w:pPr>
        <w:pStyle w:val="FootnoteText"/>
      </w:pPr>
      <w:r w:rsidRPr="003E1E87">
        <w:rPr>
          <w:rStyle w:val="FootnoteReference"/>
        </w:rPr>
        <w:footnoteRef/>
      </w:r>
      <w:r w:rsidRPr="003E1E87">
        <w:t xml:space="preserve"> Pilkington, </w:t>
      </w:r>
      <w:r w:rsidRPr="003E1E87">
        <w:rPr>
          <w:i/>
          <w:iCs/>
        </w:rPr>
        <w:t xml:space="preserve">supra </w:t>
      </w:r>
      <w:r w:rsidRPr="003E1E87">
        <w:t xml:space="preserve">note </w:t>
      </w:r>
      <w:r>
        <w:fldChar w:fldCharType="begin"/>
      </w:r>
      <w:r>
        <w:instrText xml:space="preserve"> NOTEREF _Ref78191732 \h </w:instrText>
      </w:r>
      <w:r>
        <w:fldChar w:fldCharType="separate"/>
      </w:r>
      <w:r>
        <w:t>59</w:t>
      </w:r>
      <w:r>
        <w:fldChar w:fldCharType="end"/>
      </w:r>
      <w:r w:rsidRPr="003E1E87">
        <w:t>, at 570.</w:t>
      </w:r>
    </w:p>
  </w:footnote>
  <w:footnote w:id="65">
    <w:p w14:paraId="6E100D78" w14:textId="2EA17F44" w:rsidR="0045438C" w:rsidRPr="003E1E87" w:rsidRDefault="0045438C" w:rsidP="00936EE8">
      <w:pPr>
        <w:pStyle w:val="FootnoteText"/>
      </w:pPr>
      <w:r w:rsidRPr="003E1E87">
        <w:rPr>
          <w:rStyle w:val="FootnoteReference"/>
        </w:rPr>
        <w:footnoteRef/>
      </w:r>
      <w:r w:rsidRPr="003E1E87">
        <w:t xml:space="preserve"> Fisher, </w:t>
      </w:r>
      <w:r w:rsidRPr="00F4022F">
        <w:rPr>
          <w:i/>
          <w:iCs/>
        </w:rPr>
        <w:t>supra</w:t>
      </w:r>
      <w:r w:rsidRPr="003E1E87">
        <w:t xml:space="preserve"> note </w:t>
      </w:r>
      <w:r>
        <w:fldChar w:fldCharType="begin"/>
      </w:r>
      <w:r>
        <w:instrText xml:space="preserve"> NOTEREF _Ref78191809 \h </w:instrText>
      </w:r>
      <w:r>
        <w:fldChar w:fldCharType="separate"/>
      </w:r>
      <w:r>
        <w:t>60</w:t>
      </w:r>
      <w:r>
        <w:fldChar w:fldCharType="end"/>
      </w:r>
      <w:r w:rsidRPr="003E1E87">
        <w:t>, at 18.</w:t>
      </w:r>
    </w:p>
  </w:footnote>
  <w:footnote w:id="66">
    <w:p w14:paraId="6CD64C96" w14:textId="0A87926A" w:rsidR="0045438C" w:rsidRPr="003E1E87" w:rsidRDefault="0045438C" w:rsidP="0080142D">
      <w:pPr>
        <w:pStyle w:val="FootnoteText"/>
      </w:pPr>
      <w:r w:rsidRPr="003E1E87">
        <w:rPr>
          <w:rStyle w:val="FootnoteReference"/>
        </w:rPr>
        <w:footnoteRef/>
      </w:r>
      <w:r w:rsidRPr="003E1E87">
        <w:t xml:space="preserve"> </w:t>
      </w:r>
      <w:r w:rsidRPr="003E1E87">
        <w:rPr>
          <w:i/>
          <w:iCs/>
        </w:rPr>
        <w:t>Ward, supra</w:t>
      </w:r>
      <w:r w:rsidRPr="003E1E87">
        <w:t xml:space="preserve"> note</w:t>
      </w:r>
      <w:r>
        <w:t xml:space="preserve"> </w:t>
      </w:r>
      <w:r>
        <w:fldChar w:fldCharType="begin"/>
      </w:r>
      <w:r>
        <w:instrText xml:space="preserve"> NOTEREF _Ref82598349 \h </w:instrText>
      </w:r>
      <w:r>
        <w:fldChar w:fldCharType="separate"/>
      </w:r>
      <w:r>
        <w:t>11</w:t>
      </w:r>
      <w:r>
        <w:fldChar w:fldCharType="end"/>
      </w:r>
      <w:r w:rsidRPr="003E1E87">
        <w:t>, at para 30.</w:t>
      </w:r>
    </w:p>
  </w:footnote>
  <w:footnote w:id="67">
    <w:p w14:paraId="744515A5" w14:textId="47D13598" w:rsidR="0045438C" w:rsidRPr="003E1E87" w:rsidRDefault="0045438C" w:rsidP="007D1EAB">
      <w:pPr>
        <w:pStyle w:val="FootnoteText"/>
      </w:pPr>
      <w:r w:rsidRPr="003E1E87">
        <w:rPr>
          <w:rStyle w:val="FootnoteReference"/>
        </w:rPr>
        <w:footnoteRef/>
      </w:r>
      <w:r w:rsidRPr="003E1E87">
        <w:t xml:space="preserve"> </w:t>
      </w:r>
      <w:r w:rsidRPr="003E1E87">
        <w:rPr>
          <w:i/>
          <w:iCs/>
        </w:rPr>
        <w:t xml:space="preserve">Ibid </w:t>
      </w:r>
      <w:r w:rsidRPr="003E1E87">
        <w:t>at para 71.</w:t>
      </w:r>
    </w:p>
  </w:footnote>
  <w:footnote w:id="68">
    <w:p w14:paraId="195C3E39" w14:textId="029070D0" w:rsidR="0045438C" w:rsidRPr="003E1E87" w:rsidRDefault="0045438C" w:rsidP="00681ED6">
      <w:pPr>
        <w:pStyle w:val="FootnoteText"/>
      </w:pPr>
      <w:r w:rsidRPr="003E1E87">
        <w:rPr>
          <w:rStyle w:val="FootnoteReference"/>
        </w:rPr>
        <w:footnoteRef/>
      </w:r>
      <w:r w:rsidRPr="003E1E87">
        <w:t xml:space="preserve"> </w:t>
      </w:r>
      <w:r w:rsidRPr="003E1E87">
        <w:rPr>
          <w:i/>
          <w:iCs/>
        </w:rPr>
        <w:t>Ibid</w:t>
      </w:r>
      <w:r w:rsidRPr="003E1E87">
        <w:t xml:space="preserve"> at para 4. </w:t>
      </w:r>
    </w:p>
  </w:footnote>
  <w:footnote w:id="69">
    <w:p w14:paraId="02CBDE1D" w14:textId="105A7671" w:rsidR="0045438C" w:rsidRPr="003E1E87" w:rsidRDefault="0045438C" w:rsidP="00681ED6">
      <w:pPr>
        <w:pStyle w:val="FootnoteText"/>
      </w:pPr>
      <w:r w:rsidRPr="003E1E87">
        <w:rPr>
          <w:rStyle w:val="FootnoteReference"/>
        </w:rPr>
        <w:footnoteRef/>
      </w:r>
      <w:r w:rsidRPr="003E1E87">
        <w:t xml:space="preserve"> It further aligns with the doctrine that breaches of regular statutes are not actionable </w:t>
      </w:r>
      <w:r w:rsidRPr="003E1E87">
        <w:rPr>
          <w:i/>
          <w:iCs/>
        </w:rPr>
        <w:t>per se</w:t>
      </w:r>
      <w:r w:rsidRPr="003E1E87">
        <w:t xml:space="preserve">, in that they must result in actual damages. See </w:t>
      </w:r>
      <w:r w:rsidRPr="003E1E87">
        <w:rPr>
          <w:i/>
          <w:iCs/>
        </w:rPr>
        <w:t>AI Enterprises Ltd v Bram Enterprises Ltd</w:t>
      </w:r>
      <w:r w:rsidRPr="003E1E87">
        <w:t xml:space="preserve">, 2014 SCC 12 at para 74 as well as </w:t>
      </w:r>
      <w:r w:rsidRPr="003E1E87">
        <w:rPr>
          <w:i/>
          <w:iCs/>
        </w:rPr>
        <w:t>Low v Pfizer Canada Inc</w:t>
      </w:r>
      <w:r w:rsidRPr="003E1E87">
        <w:t>, 2015 BCCA 506 at para 87.</w:t>
      </w:r>
    </w:p>
  </w:footnote>
  <w:footnote w:id="70">
    <w:p w14:paraId="4DBDEC1F" w14:textId="7DB483C8" w:rsidR="0045438C" w:rsidRPr="003E1E87" w:rsidRDefault="0045438C" w:rsidP="0080142D">
      <w:pPr>
        <w:pStyle w:val="FootnoteText"/>
      </w:pPr>
      <w:r w:rsidRPr="003E1E87">
        <w:rPr>
          <w:rStyle w:val="FootnoteReference"/>
        </w:rPr>
        <w:footnoteRef/>
      </w:r>
      <w:r w:rsidRPr="003E1E87">
        <w:t xml:space="preserve"> </w:t>
      </w:r>
      <w:r w:rsidRPr="003E1E87">
        <w:rPr>
          <w:i/>
          <w:iCs/>
        </w:rPr>
        <w:t>Ward</w:t>
      </w:r>
      <w:r w:rsidRPr="003E1E87">
        <w:t xml:space="preserve">, </w:t>
      </w:r>
      <w:r w:rsidRPr="003E1E87">
        <w:rPr>
          <w:i/>
          <w:iCs/>
        </w:rPr>
        <w:t>supra</w:t>
      </w:r>
      <w:r w:rsidRPr="003E1E87">
        <w:t xml:space="preserve"> note</w:t>
      </w:r>
      <w:r>
        <w:t xml:space="preserve"> </w:t>
      </w:r>
      <w:r>
        <w:fldChar w:fldCharType="begin"/>
      </w:r>
      <w:r>
        <w:instrText xml:space="preserve"> NOTEREF _Ref82598349 \h </w:instrText>
      </w:r>
      <w:r>
        <w:fldChar w:fldCharType="separate"/>
      </w:r>
      <w:r>
        <w:t>11</w:t>
      </w:r>
      <w:r>
        <w:fldChar w:fldCharType="end"/>
      </w:r>
      <w:r w:rsidRPr="003E1E87">
        <w:t xml:space="preserve">, at para 64. </w:t>
      </w:r>
    </w:p>
  </w:footnote>
  <w:footnote w:id="71">
    <w:p w14:paraId="0A185002" w14:textId="475E5CB7" w:rsidR="0045438C" w:rsidRPr="003E1E87" w:rsidRDefault="0045438C" w:rsidP="00170AC8">
      <w:pPr>
        <w:pStyle w:val="FootnoteText"/>
      </w:pPr>
      <w:r w:rsidRPr="003E1E87">
        <w:rPr>
          <w:rStyle w:val="FootnoteReference"/>
        </w:rPr>
        <w:footnoteRef/>
      </w:r>
      <w:r w:rsidRPr="003E1E87">
        <w:t xml:space="preserve"> </w:t>
      </w:r>
      <w:r w:rsidRPr="003E1E87">
        <w:rPr>
          <w:i/>
          <w:iCs/>
        </w:rPr>
        <w:t>Ibid</w:t>
      </w:r>
      <w:r w:rsidRPr="003E1E87">
        <w:t xml:space="preserve"> at para 72.</w:t>
      </w:r>
    </w:p>
  </w:footnote>
  <w:footnote w:id="72">
    <w:p w14:paraId="7EAF1F3A" w14:textId="73E7109A" w:rsidR="0045438C" w:rsidRPr="003E1E87" w:rsidRDefault="0045438C">
      <w:pPr>
        <w:pStyle w:val="FootnoteText"/>
      </w:pPr>
      <w:r w:rsidRPr="003E1E87">
        <w:rPr>
          <w:rStyle w:val="FootnoteReference"/>
          <w:i/>
          <w:iCs/>
        </w:rPr>
        <w:footnoteRef/>
      </w:r>
      <w:r w:rsidRPr="003E1E87">
        <w:t xml:space="preserve"> </w:t>
      </w:r>
      <w:r w:rsidRPr="003E1E87">
        <w:rPr>
          <w:i/>
          <w:iCs/>
        </w:rPr>
        <w:t>Ibid</w:t>
      </w:r>
      <w:r w:rsidRPr="003E1E87">
        <w:t xml:space="preserve"> at para 77.</w:t>
      </w:r>
    </w:p>
  </w:footnote>
  <w:footnote w:id="73">
    <w:p w14:paraId="590183E4" w14:textId="6FEEC1CF" w:rsidR="0045438C" w:rsidRPr="003E1E87" w:rsidRDefault="0045438C" w:rsidP="00B90ADB">
      <w:pPr>
        <w:pStyle w:val="FootnoteText"/>
      </w:pPr>
      <w:r w:rsidRPr="003E1E87">
        <w:rPr>
          <w:rStyle w:val="FootnoteReference"/>
        </w:rPr>
        <w:footnoteRef/>
      </w:r>
      <w:r w:rsidRPr="003E1E87">
        <w:t xml:space="preserve"> Roach, </w:t>
      </w:r>
      <w:r>
        <w:rPr>
          <w:i/>
          <w:iCs/>
        </w:rPr>
        <w:t xml:space="preserve">supra </w:t>
      </w:r>
      <w:r>
        <w:t>note 15</w:t>
      </w:r>
      <w:r w:rsidRPr="003E1E87">
        <w:t xml:space="preserve"> at 137.</w:t>
      </w:r>
    </w:p>
  </w:footnote>
  <w:footnote w:id="74">
    <w:p w14:paraId="7FEB10E9" w14:textId="0F22BBA3" w:rsidR="0045438C" w:rsidRPr="003E1E87" w:rsidRDefault="0045438C" w:rsidP="0080142D">
      <w:pPr>
        <w:pStyle w:val="FootnoteText"/>
      </w:pPr>
      <w:r w:rsidRPr="003E1E87">
        <w:rPr>
          <w:rStyle w:val="FootnoteReference"/>
        </w:rPr>
        <w:footnoteRef/>
      </w:r>
      <w:r w:rsidRPr="003E1E87">
        <w:t xml:space="preserve"> </w:t>
      </w:r>
      <w:r w:rsidRPr="003E1E87">
        <w:rPr>
          <w:i/>
          <w:iCs/>
        </w:rPr>
        <w:t>Ward</w:t>
      </w:r>
      <w:r w:rsidRPr="003E1E87">
        <w:t xml:space="preserve">, </w:t>
      </w:r>
      <w:r w:rsidRPr="003E1E87">
        <w:rPr>
          <w:i/>
          <w:iCs/>
        </w:rPr>
        <w:t>supra</w:t>
      </w:r>
      <w:r w:rsidRPr="003E1E87">
        <w:t xml:space="preserve"> note</w:t>
      </w:r>
      <w:r>
        <w:t xml:space="preserve"> </w:t>
      </w:r>
      <w:r>
        <w:fldChar w:fldCharType="begin"/>
      </w:r>
      <w:r>
        <w:instrText xml:space="preserve"> NOTEREF _Ref82598349 \h </w:instrText>
      </w:r>
      <w:r>
        <w:fldChar w:fldCharType="separate"/>
      </w:r>
      <w:r>
        <w:t>11</w:t>
      </w:r>
      <w:r>
        <w:fldChar w:fldCharType="end"/>
      </w:r>
      <w:r w:rsidRPr="003E1E87">
        <w:t>, at para 4.</w:t>
      </w:r>
    </w:p>
  </w:footnote>
  <w:footnote w:id="75">
    <w:p w14:paraId="5E94F5C9" w14:textId="6C1E1E81" w:rsidR="0045438C" w:rsidRPr="003E1E87" w:rsidRDefault="0045438C" w:rsidP="00F81146">
      <w:pPr>
        <w:pStyle w:val="FootnoteText"/>
      </w:pPr>
      <w:r w:rsidRPr="003E1E87">
        <w:rPr>
          <w:rStyle w:val="FootnoteReference"/>
        </w:rPr>
        <w:footnoteRef/>
      </w:r>
      <w:r w:rsidRPr="003E1E87">
        <w:t xml:space="preserve"> </w:t>
      </w:r>
      <w:proofErr w:type="spellStart"/>
      <w:r w:rsidRPr="003E1E87">
        <w:rPr>
          <w:i/>
          <w:iCs/>
        </w:rPr>
        <w:t>Girao</w:t>
      </w:r>
      <w:proofErr w:type="spellEnd"/>
      <w:r w:rsidRPr="003E1E87">
        <w:rPr>
          <w:i/>
          <w:iCs/>
        </w:rPr>
        <w:t xml:space="preserve"> v </w:t>
      </w:r>
      <w:proofErr w:type="spellStart"/>
      <w:r w:rsidRPr="003E1E87">
        <w:rPr>
          <w:i/>
          <w:iCs/>
        </w:rPr>
        <w:t>Zarek</w:t>
      </w:r>
      <w:proofErr w:type="spellEnd"/>
      <w:r w:rsidRPr="003E1E87">
        <w:rPr>
          <w:i/>
          <w:iCs/>
        </w:rPr>
        <w:t xml:space="preserve"> Taylor Grossman Hanrahan</w:t>
      </w:r>
      <w:r w:rsidRPr="003E1E87">
        <w:t xml:space="preserve"> LLP, 2011 FC 1070 [</w:t>
      </w:r>
      <w:proofErr w:type="spellStart"/>
      <w:r w:rsidRPr="003E1E87">
        <w:rPr>
          <w:i/>
          <w:iCs/>
        </w:rPr>
        <w:t>Girao</w:t>
      </w:r>
      <w:proofErr w:type="spellEnd"/>
      <w:r w:rsidRPr="003E1E87">
        <w:t xml:space="preserve">].   </w:t>
      </w:r>
    </w:p>
  </w:footnote>
  <w:footnote w:id="76">
    <w:p w14:paraId="13A60FF7" w14:textId="00FF8D71" w:rsidR="0045438C" w:rsidRPr="003E1E87" w:rsidRDefault="0045438C" w:rsidP="00F81146">
      <w:pPr>
        <w:pStyle w:val="FootnoteText"/>
      </w:pPr>
      <w:r w:rsidRPr="003E1E87">
        <w:rPr>
          <w:rStyle w:val="FootnoteReference"/>
        </w:rPr>
        <w:footnoteRef/>
      </w:r>
      <w:r w:rsidRPr="003E1E87">
        <w:t xml:space="preserve"> </w:t>
      </w:r>
      <w:r w:rsidRPr="003E1E87">
        <w:rPr>
          <w:i/>
          <w:iCs/>
        </w:rPr>
        <w:t xml:space="preserve">Ibid </w:t>
      </w:r>
      <w:r w:rsidRPr="003E1E87">
        <w:t xml:space="preserve">at para 1. </w:t>
      </w:r>
    </w:p>
  </w:footnote>
  <w:footnote w:id="77">
    <w:p w14:paraId="64BF3871" w14:textId="40A6F508" w:rsidR="0045438C" w:rsidRPr="003E1E87" w:rsidRDefault="0045438C" w:rsidP="00F81146">
      <w:pPr>
        <w:pStyle w:val="FootnoteText"/>
      </w:pPr>
      <w:r w:rsidRPr="003E1E87">
        <w:rPr>
          <w:rStyle w:val="FootnoteReference"/>
        </w:rPr>
        <w:footnoteRef/>
      </w:r>
      <w:r w:rsidRPr="003E1E87">
        <w:t xml:space="preserve"> </w:t>
      </w:r>
      <w:r w:rsidRPr="003E1E87">
        <w:rPr>
          <w:i/>
          <w:iCs/>
        </w:rPr>
        <w:t>Ibid</w:t>
      </w:r>
      <w:r w:rsidRPr="003E1E87">
        <w:t xml:space="preserve"> at para 55.</w:t>
      </w:r>
    </w:p>
  </w:footnote>
  <w:footnote w:id="78">
    <w:p w14:paraId="16E52C5B" w14:textId="020FF106" w:rsidR="0045438C" w:rsidRPr="003E1E87" w:rsidRDefault="0045438C" w:rsidP="00F81146">
      <w:pPr>
        <w:pStyle w:val="FootnoteText"/>
      </w:pPr>
      <w:r w:rsidRPr="003E1E87">
        <w:rPr>
          <w:rStyle w:val="FootnoteReference"/>
        </w:rPr>
        <w:footnoteRef/>
      </w:r>
      <w:r w:rsidRPr="003E1E87">
        <w:t xml:space="preserve"> </w:t>
      </w:r>
      <w:r w:rsidRPr="003E1E87">
        <w:rPr>
          <w:i/>
          <w:iCs/>
        </w:rPr>
        <w:t xml:space="preserve">Ibid. </w:t>
      </w:r>
    </w:p>
  </w:footnote>
  <w:footnote w:id="79">
    <w:p w14:paraId="70E368B6" w14:textId="58B4A3AC" w:rsidR="0045438C" w:rsidRPr="003E1E87" w:rsidRDefault="0045438C" w:rsidP="00F81146">
      <w:pPr>
        <w:pStyle w:val="FootnoteText"/>
      </w:pPr>
      <w:r w:rsidRPr="003E1E87">
        <w:rPr>
          <w:rStyle w:val="FootnoteReference"/>
        </w:rPr>
        <w:footnoteRef/>
      </w:r>
      <w:r w:rsidRPr="003E1E87">
        <w:t xml:space="preserve"> </w:t>
      </w:r>
      <w:r w:rsidRPr="003E1E87">
        <w:rPr>
          <w:i/>
          <w:iCs/>
        </w:rPr>
        <w:t xml:space="preserve">Ibid at </w:t>
      </w:r>
      <w:r w:rsidRPr="003E1E87">
        <w:t>para 61.</w:t>
      </w:r>
    </w:p>
  </w:footnote>
  <w:footnote w:id="80">
    <w:p w14:paraId="5F34FD29" w14:textId="119C0B09" w:rsidR="0045438C" w:rsidRPr="003E1E87" w:rsidRDefault="0045438C" w:rsidP="00F81146">
      <w:pPr>
        <w:pStyle w:val="FootnoteText"/>
      </w:pPr>
      <w:r w:rsidRPr="003E1E87">
        <w:rPr>
          <w:rStyle w:val="FootnoteReference"/>
        </w:rPr>
        <w:footnoteRef/>
      </w:r>
      <w:r w:rsidRPr="003E1E87">
        <w:t xml:space="preserve"> </w:t>
      </w:r>
      <w:r w:rsidRPr="003E1E87">
        <w:rPr>
          <w:i/>
          <w:iCs/>
        </w:rPr>
        <w:t>Ibid.</w:t>
      </w:r>
    </w:p>
  </w:footnote>
  <w:footnote w:id="81">
    <w:p w14:paraId="2BEB34B0" w14:textId="4741601B" w:rsidR="0045438C" w:rsidRPr="00D31F9D" w:rsidRDefault="0045438C">
      <w:pPr>
        <w:pStyle w:val="FootnoteText"/>
        <w:rPr>
          <w:lang w:val="es-ES"/>
        </w:rPr>
      </w:pPr>
      <w:r>
        <w:rPr>
          <w:rStyle w:val="FootnoteReference"/>
        </w:rPr>
        <w:footnoteRef/>
      </w:r>
      <w:r w:rsidRPr="00D31F9D">
        <w:rPr>
          <w:lang w:val="es-ES"/>
        </w:rPr>
        <w:t xml:space="preserve"> </w:t>
      </w:r>
      <w:r w:rsidRPr="00753425">
        <w:rPr>
          <w:i/>
          <w:iCs/>
          <w:lang w:val="es-ES"/>
        </w:rPr>
        <w:t>Cote, supra</w:t>
      </w:r>
      <w:r w:rsidRPr="00753425">
        <w:rPr>
          <w:lang w:val="es-ES"/>
        </w:rPr>
        <w:t xml:space="preserve"> note </w:t>
      </w:r>
      <w:r>
        <w:fldChar w:fldCharType="begin"/>
      </w:r>
      <w:r w:rsidRPr="00753425">
        <w:rPr>
          <w:lang w:val="es-ES"/>
        </w:rPr>
        <w:instrText xml:space="preserve"> NOTEREF _Ref78192038 \h </w:instrText>
      </w:r>
      <w:r>
        <w:fldChar w:fldCharType="separate"/>
      </w:r>
      <w:r>
        <w:rPr>
          <w:lang w:val="es-ES"/>
        </w:rPr>
        <w:t>47</w:t>
      </w:r>
      <w:r>
        <w:fldChar w:fldCharType="end"/>
      </w:r>
    </w:p>
  </w:footnote>
  <w:footnote w:id="82">
    <w:p w14:paraId="73DB55BC" w14:textId="5E51A24C" w:rsidR="0045438C" w:rsidRPr="00753425" w:rsidRDefault="0045438C" w:rsidP="000C7E60">
      <w:pPr>
        <w:pStyle w:val="FootnoteText"/>
        <w:rPr>
          <w:lang w:val="es-ES"/>
        </w:rPr>
      </w:pPr>
      <w:r w:rsidRPr="003E1E87">
        <w:rPr>
          <w:rStyle w:val="FootnoteReference"/>
        </w:rPr>
        <w:footnoteRef/>
      </w:r>
      <w:r w:rsidRPr="00753425">
        <w:rPr>
          <w:lang w:val="es-ES"/>
        </w:rPr>
        <w:t xml:space="preserve"> </w:t>
      </w:r>
      <w:proofErr w:type="spellStart"/>
      <w:r>
        <w:rPr>
          <w:i/>
          <w:iCs/>
          <w:lang w:val="es-ES"/>
        </w:rPr>
        <w:t>Ibid</w:t>
      </w:r>
      <w:proofErr w:type="spellEnd"/>
      <w:r w:rsidRPr="00753425">
        <w:rPr>
          <w:lang w:val="es-ES"/>
        </w:rPr>
        <w:t xml:space="preserve"> at para 25.</w:t>
      </w:r>
    </w:p>
  </w:footnote>
  <w:footnote w:id="83">
    <w:p w14:paraId="0E8EF7DB" w14:textId="5B4E076B" w:rsidR="0045438C" w:rsidRPr="003E1E87" w:rsidRDefault="0045438C">
      <w:pPr>
        <w:pStyle w:val="FootnoteText"/>
      </w:pPr>
      <w:r w:rsidRPr="003E1E87">
        <w:rPr>
          <w:rStyle w:val="FootnoteReference"/>
          <w:i/>
          <w:iCs/>
        </w:rPr>
        <w:footnoteRef/>
      </w:r>
      <w:r w:rsidRPr="003E1E87">
        <w:t xml:space="preserve"> </w:t>
      </w:r>
      <w:r w:rsidRPr="003E1E87">
        <w:rPr>
          <w:i/>
          <w:iCs/>
        </w:rPr>
        <w:t xml:space="preserve">Ibid </w:t>
      </w:r>
      <w:r w:rsidRPr="003E1E87">
        <w:t>at para 21.</w:t>
      </w:r>
    </w:p>
  </w:footnote>
  <w:footnote w:id="84">
    <w:p w14:paraId="2B0DDFE8" w14:textId="46649B08" w:rsidR="0045438C" w:rsidRPr="003E1E87" w:rsidRDefault="0045438C" w:rsidP="00B90ADB">
      <w:pPr>
        <w:pStyle w:val="FootnoteText"/>
      </w:pPr>
      <w:r w:rsidRPr="003E1E87">
        <w:rPr>
          <w:rStyle w:val="FootnoteReference"/>
        </w:rPr>
        <w:footnoteRef/>
      </w:r>
      <w:r w:rsidRPr="003E1E87">
        <w:t xml:space="preserve"> Pilkington, </w:t>
      </w:r>
      <w:r w:rsidRPr="003E1E87">
        <w:rPr>
          <w:i/>
          <w:iCs/>
        </w:rPr>
        <w:t xml:space="preserve">supra </w:t>
      </w:r>
      <w:r w:rsidRPr="003E1E87">
        <w:t xml:space="preserve">note </w:t>
      </w:r>
      <w:r>
        <w:fldChar w:fldCharType="begin"/>
      </w:r>
      <w:r>
        <w:instrText xml:space="preserve"> NOTEREF _Ref78191732 \h </w:instrText>
      </w:r>
      <w:r>
        <w:fldChar w:fldCharType="separate"/>
      </w:r>
      <w:r>
        <w:t>59</w:t>
      </w:r>
      <w:r>
        <w:fldChar w:fldCharType="end"/>
      </w:r>
      <w:r w:rsidRPr="003E1E87">
        <w:t>, at 569.</w:t>
      </w:r>
    </w:p>
  </w:footnote>
  <w:footnote w:id="85">
    <w:p w14:paraId="083355F5" w14:textId="1945F902" w:rsidR="0045438C" w:rsidRPr="00F64411" w:rsidRDefault="0045438C" w:rsidP="0080142D">
      <w:pPr>
        <w:pStyle w:val="FootnoteText"/>
      </w:pPr>
      <w:r w:rsidRPr="003E1E87">
        <w:rPr>
          <w:rStyle w:val="FootnoteReference"/>
        </w:rPr>
        <w:footnoteRef/>
      </w:r>
      <w:r w:rsidRPr="00F64411">
        <w:t xml:space="preserve"> </w:t>
      </w:r>
      <w:proofErr w:type="spellStart"/>
      <w:r w:rsidRPr="003E1E87">
        <w:rPr>
          <w:i/>
          <w:iCs/>
        </w:rPr>
        <w:t>Douez</w:t>
      </w:r>
      <w:proofErr w:type="spellEnd"/>
      <w:r w:rsidRPr="003E1E87">
        <w:rPr>
          <w:i/>
          <w:iCs/>
        </w:rPr>
        <w:t xml:space="preserve"> v Facebook Inc</w:t>
      </w:r>
      <w:r>
        <w:t>, 2017 SCC 33 at para 61</w:t>
      </w:r>
      <w:r w:rsidRPr="003E1E87">
        <w:t xml:space="preserve"> [</w:t>
      </w:r>
      <w:proofErr w:type="spellStart"/>
      <w:r w:rsidRPr="003E1E87">
        <w:rPr>
          <w:i/>
          <w:iCs/>
        </w:rPr>
        <w:t>Douez</w:t>
      </w:r>
      <w:proofErr w:type="spellEnd"/>
      <w:r w:rsidRPr="003E1E87">
        <w:t>]</w:t>
      </w:r>
      <w:r w:rsidRPr="00F64411">
        <w:t>.</w:t>
      </w:r>
    </w:p>
  </w:footnote>
  <w:footnote w:id="86">
    <w:p w14:paraId="7B59E8AE" w14:textId="32F924C9" w:rsidR="0045438C" w:rsidRPr="003E1E87" w:rsidRDefault="0045438C" w:rsidP="0045438C">
      <w:pPr>
        <w:pStyle w:val="FootnoteText"/>
      </w:pPr>
      <w:r w:rsidRPr="003E1E87">
        <w:rPr>
          <w:rStyle w:val="FootnoteReference"/>
        </w:rPr>
        <w:footnoteRef/>
      </w:r>
      <w:r w:rsidRPr="003E1E87">
        <w:t xml:space="preserve"> Note also our discussion </w:t>
      </w:r>
      <w:r>
        <w:t xml:space="preserve">in </w:t>
      </w:r>
      <w:r w:rsidRPr="00924524">
        <w:t xml:space="preserve">Section I(C) of Part One, </w:t>
      </w:r>
      <w:r w:rsidRPr="0045438C">
        <w:t xml:space="preserve">published in </w:t>
      </w:r>
      <w:r>
        <w:rPr>
          <w:color w:val="222222"/>
          <w:shd w:val="clear" w:color="auto" w:fill="FFFFFF"/>
        </w:rPr>
        <w:t xml:space="preserve">52 </w:t>
      </w:r>
      <w:proofErr w:type="spellStart"/>
      <w:r>
        <w:rPr>
          <w:color w:val="222222"/>
          <w:shd w:val="clear" w:color="auto" w:fill="FFFFFF"/>
        </w:rPr>
        <w:t>Adv</w:t>
      </w:r>
      <w:proofErr w:type="spellEnd"/>
      <w:r>
        <w:rPr>
          <w:color w:val="222222"/>
          <w:shd w:val="clear" w:color="auto" w:fill="FFFFFF"/>
        </w:rPr>
        <w:t xml:space="preserve"> Q 427 (2022)</w:t>
      </w:r>
      <w:r>
        <w:t>,</w:t>
      </w:r>
      <w:r w:rsidRPr="003E1E87">
        <w:t xml:space="preserve"> of </w:t>
      </w:r>
      <w:proofErr w:type="spellStart"/>
      <w:r w:rsidRPr="003E1E87">
        <w:rPr>
          <w:i/>
          <w:iCs/>
        </w:rPr>
        <w:t>Kugler</w:t>
      </w:r>
      <w:proofErr w:type="spellEnd"/>
      <w:r w:rsidRPr="003E1E87">
        <w:rPr>
          <w:i/>
          <w:iCs/>
        </w:rPr>
        <w:t xml:space="preserve"> v Newman</w:t>
      </w:r>
      <w:r w:rsidRPr="003E1E87">
        <w:t>, 2017 ABQB 536 [</w:t>
      </w:r>
      <w:r w:rsidRPr="003E1E87">
        <w:rPr>
          <w:i/>
          <w:iCs/>
        </w:rPr>
        <w:t>Kugler</w:t>
      </w:r>
      <w:r w:rsidRPr="003E1E87">
        <w:t>], which</w:t>
      </w:r>
      <w:r>
        <w:t xml:space="preserve"> case</w:t>
      </w:r>
      <w:r w:rsidRPr="003E1E87">
        <w:t xml:space="preserve"> indicates</w:t>
      </w:r>
      <w:r>
        <w:t xml:space="preserve">, albeit in </w:t>
      </w:r>
      <w:r w:rsidRPr="00E64595">
        <w:rPr>
          <w:i/>
          <w:iCs/>
        </w:rPr>
        <w:t>obiter</w:t>
      </w:r>
      <w:r>
        <w:t xml:space="preserve"> and with no analysis,</w:t>
      </w:r>
      <w:r w:rsidRPr="003E1E87">
        <w:t xml:space="preserve"> that </w:t>
      </w:r>
      <w:r w:rsidRPr="003E1E87">
        <w:rPr>
          <w:i/>
          <w:iCs/>
        </w:rPr>
        <w:t>per se</w:t>
      </w:r>
      <w:r w:rsidRPr="003E1E87">
        <w:t xml:space="preserve"> damages are available under the provincial </w:t>
      </w:r>
      <w:r w:rsidRPr="00B90ADB">
        <w:rPr>
          <w:i/>
          <w:iCs/>
        </w:rPr>
        <w:t>PIPAs</w:t>
      </w:r>
      <w:r w:rsidRPr="003E1E87">
        <w:t xml:space="preserve"> as well.</w:t>
      </w:r>
    </w:p>
  </w:footnote>
  <w:footnote w:id="87">
    <w:p w14:paraId="249DE948" w14:textId="354A8221" w:rsidR="0045438C" w:rsidRPr="003E1E87" w:rsidRDefault="0045438C" w:rsidP="00936EE8">
      <w:pPr>
        <w:pStyle w:val="FootnoteText"/>
      </w:pPr>
      <w:r w:rsidRPr="003E1E87">
        <w:rPr>
          <w:rStyle w:val="FootnoteReference"/>
        </w:rPr>
        <w:footnoteRef/>
      </w:r>
      <w:r w:rsidRPr="003E1E87">
        <w:t xml:space="preserve"> </w:t>
      </w:r>
      <w:proofErr w:type="spellStart"/>
      <w:r w:rsidRPr="003E1E87">
        <w:t>Waddams</w:t>
      </w:r>
      <w:proofErr w:type="spellEnd"/>
      <w:r w:rsidRPr="003E1E87">
        <w:t xml:space="preserve">, </w:t>
      </w:r>
      <w:r w:rsidRPr="003E1E87">
        <w:rPr>
          <w:i/>
          <w:iCs/>
        </w:rPr>
        <w:t xml:space="preserve">supra </w:t>
      </w:r>
      <w:r w:rsidRPr="003E1E87">
        <w:t xml:space="preserve">note </w:t>
      </w:r>
      <w:r>
        <w:fldChar w:fldCharType="begin"/>
      </w:r>
      <w:r>
        <w:instrText xml:space="preserve"> NOTEREF _Ref78192092 \h </w:instrText>
      </w:r>
      <w:r>
        <w:fldChar w:fldCharType="separate"/>
      </w:r>
      <w:r>
        <w:t>39</w:t>
      </w:r>
      <w:r>
        <w:fldChar w:fldCharType="end"/>
      </w:r>
      <w:r w:rsidRPr="003E1E87">
        <w:t xml:space="preserve"> at para 10.50 </w:t>
      </w:r>
    </w:p>
  </w:footnote>
  <w:footnote w:id="88">
    <w:p w14:paraId="32D37BED" w14:textId="25F60C21" w:rsidR="0045438C" w:rsidRPr="003E1E87" w:rsidRDefault="0045438C">
      <w:pPr>
        <w:pStyle w:val="FootnoteText"/>
      </w:pPr>
      <w:r w:rsidRPr="003E1E87">
        <w:rPr>
          <w:rStyle w:val="FootnoteReference"/>
        </w:rPr>
        <w:footnoteRef/>
      </w:r>
      <w:r w:rsidRPr="003E1E87">
        <w:t xml:space="preserve"> </w:t>
      </w:r>
      <w:r w:rsidRPr="003E1E87">
        <w:rPr>
          <w:i/>
          <w:iCs/>
        </w:rPr>
        <w:t>Ibid.</w:t>
      </w:r>
    </w:p>
  </w:footnote>
  <w:footnote w:id="89">
    <w:p w14:paraId="0858195D" w14:textId="5BE7475F" w:rsidR="0045438C" w:rsidRPr="003E1E87" w:rsidRDefault="0045438C" w:rsidP="0031544F">
      <w:pPr>
        <w:pStyle w:val="FootnoteText"/>
      </w:pPr>
      <w:r w:rsidRPr="003E1E87">
        <w:rPr>
          <w:rStyle w:val="FootnoteReference"/>
        </w:rPr>
        <w:footnoteRef/>
      </w:r>
      <w:r w:rsidRPr="003E1E87">
        <w:t xml:space="preserve"> </w:t>
      </w:r>
      <w:proofErr w:type="spellStart"/>
      <w:r w:rsidRPr="003E1E87">
        <w:t>Klar</w:t>
      </w:r>
      <w:proofErr w:type="spellEnd"/>
      <w:r w:rsidRPr="003E1E87">
        <w:t xml:space="preserve"> et al, </w:t>
      </w:r>
      <w:r w:rsidRPr="003E1E87">
        <w:rPr>
          <w:i/>
          <w:iCs/>
        </w:rPr>
        <w:t>Remedies in Tort</w:t>
      </w:r>
      <w:r w:rsidRPr="003E1E87">
        <w:t>, (Toronto: Carswell, 1987 online) at para 30.3.</w:t>
      </w:r>
    </w:p>
  </w:footnote>
  <w:footnote w:id="90">
    <w:p w14:paraId="314E1A51" w14:textId="02D4FA40" w:rsidR="0045438C" w:rsidRPr="003E1E87" w:rsidRDefault="0045438C">
      <w:pPr>
        <w:pStyle w:val="FootnoteText"/>
        <w:rPr>
          <w:i/>
          <w:iCs/>
        </w:rPr>
      </w:pPr>
      <w:r w:rsidRPr="003E1E87">
        <w:rPr>
          <w:rStyle w:val="FootnoteReference"/>
        </w:rPr>
        <w:footnoteRef/>
      </w:r>
      <w:r w:rsidRPr="003E1E87">
        <w:t xml:space="preserve"> </w:t>
      </w:r>
      <w:r w:rsidRPr="003E1E87">
        <w:rPr>
          <w:i/>
          <w:iCs/>
        </w:rPr>
        <w:t>Ibid at para 30:3.</w:t>
      </w:r>
    </w:p>
  </w:footnote>
  <w:footnote w:id="91">
    <w:p w14:paraId="66BD083C" w14:textId="621DD477" w:rsidR="0045438C" w:rsidRPr="003E1E87" w:rsidRDefault="0045438C">
      <w:pPr>
        <w:pStyle w:val="FootnoteText"/>
      </w:pPr>
      <w:r w:rsidRPr="003E1E87">
        <w:rPr>
          <w:rStyle w:val="FootnoteReference"/>
        </w:rPr>
        <w:footnoteRef/>
      </w:r>
      <w:r w:rsidRPr="003E1E87">
        <w:t xml:space="preserve"> 2020 BCSC 1781, at para 179.</w:t>
      </w:r>
    </w:p>
  </w:footnote>
  <w:footnote w:id="92">
    <w:p w14:paraId="07B9918D" w14:textId="6A903B16" w:rsidR="0045438C" w:rsidRPr="003E1E87" w:rsidRDefault="0045438C" w:rsidP="00471BA9">
      <w:pPr>
        <w:pStyle w:val="FootnoteText"/>
      </w:pPr>
      <w:r w:rsidRPr="003E1E87">
        <w:rPr>
          <w:rStyle w:val="FootnoteReference"/>
        </w:rPr>
        <w:footnoteRef/>
      </w:r>
      <w:r w:rsidRPr="003E1E87">
        <w:t xml:space="preserve"> Charles, </w:t>
      </w:r>
      <w:r w:rsidRPr="003E1E87">
        <w:rPr>
          <w:i/>
          <w:iCs/>
        </w:rPr>
        <w:t xml:space="preserve">supra </w:t>
      </w:r>
      <w:r w:rsidRPr="003E1E87">
        <w:t xml:space="preserve">note </w:t>
      </w:r>
      <w:r>
        <w:fldChar w:fldCharType="begin"/>
      </w:r>
      <w:r>
        <w:instrText xml:space="preserve"> NOTEREF _Ref78154037 \h </w:instrText>
      </w:r>
      <w:r>
        <w:fldChar w:fldCharType="separate"/>
      </w:r>
      <w:r>
        <w:t>13</w:t>
      </w:r>
      <w:r>
        <w:fldChar w:fldCharType="end"/>
      </w:r>
      <w:r w:rsidRPr="003E1E87">
        <w:t xml:space="preserve"> at 30 and 32.</w:t>
      </w:r>
    </w:p>
  </w:footnote>
  <w:footnote w:id="93">
    <w:p w14:paraId="746330A6" w14:textId="01EAFA54" w:rsidR="0045438C" w:rsidRPr="003E1E87" w:rsidRDefault="0045438C" w:rsidP="00471BA9">
      <w:pPr>
        <w:spacing w:after="0"/>
        <w:contextualSpacing/>
      </w:pPr>
      <w:r w:rsidRPr="003E1E87">
        <w:rPr>
          <w:rStyle w:val="FootnoteReference"/>
          <w:sz w:val="20"/>
          <w:szCs w:val="20"/>
        </w:rPr>
        <w:footnoteRef/>
      </w:r>
      <w:r w:rsidRPr="003E1E87">
        <w:rPr>
          <w:sz w:val="20"/>
          <w:szCs w:val="20"/>
        </w:rPr>
        <w:t xml:space="preserve"> </w:t>
      </w:r>
      <w:r w:rsidRPr="003E1E87">
        <w:rPr>
          <w:i/>
          <w:iCs/>
          <w:sz w:val="20"/>
          <w:szCs w:val="20"/>
        </w:rPr>
        <w:t xml:space="preserve">Ibid </w:t>
      </w:r>
      <w:r w:rsidRPr="003E1E87">
        <w:rPr>
          <w:sz w:val="20"/>
          <w:szCs w:val="20"/>
        </w:rPr>
        <w:t xml:space="preserve">at 94. See too </w:t>
      </w:r>
      <w:r>
        <w:rPr>
          <w:sz w:val="20"/>
          <w:szCs w:val="20"/>
        </w:rPr>
        <w:t xml:space="preserve">the </w:t>
      </w:r>
      <w:r w:rsidRPr="003E1E87">
        <w:rPr>
          <w:sz w:val="20"/>
          <w:szCs w:val="20"/>
        </w:rPr>
        <w:t xml:space="preserve">discussion in </w:t>
      </w:r>
      <w:proofErr w:type="spellStart"/>
      <w:r w:rsidRPr="003E1E87">
        <w:rPr>
          <w:sz w:val="20"/>
          <w:szCs w:val="20"/>
        </w:rPr>
        <w:t>Adourian</w:t>
      </w:r>
      <w:proofErr w:type="spellEnd"/>
      <w:r w:rsidRPr="003E1E87">
        <w:rPr>
          <w:sz w:val="20"/>
          <w:szCs w:val="20"/>
        </w:rPr>
        <w:t xml:space="preserve">, </w:t>
      </w:r>
      <w:r w:rsidRPr="003E1E87">
        <w:rPr>
          <w:i/>
          <w:iCs/>
          <w:sz w:val="20"/>
          <w:szCs w:val="20"/>
        </w:rPr>
        <w:t xml:space="preserve">supra </w:t>
      </w:r>
      <w:r w:rsidRPr="003E1E87">
        <w:rPr>
          <w:sz w:val="20"/>
          <w:szCs w:val="20"/>
        </w:rPr>
        <w:t xml:space="preserve">note </w:t>
      </w:r>
      <w:r>
        <w:rPr>
          <w:sz w:val="20"/>
          <w:szCs w:val="20"/>
        </w:rPr>
        <w:fldChar w:fldCharType="begin"/>
      </w:r>
      <w:r>
        <w:rPr>
          <w:sz w:val="20"/>
          <w:szCs w:val="20"/>
        </w:rPr>
        <w:instrText xml:space="preserve"> NOTEREF _Ref78192168 \h </w:instrText>
      </w:r>
      <w:r>
        <w:rPr>
          <w:sz w:val="20"/>
          <w:szCs w:val="20"/>
        </w:rPr>
      </w:r>
      <w:r>
        <w:rPr>
          <w:sz w:val="20"/>
          <w:szCs w:val="20"/>
        </w:rPr>
        <w:fldChar w:fldCharType="separate"/>
      </w:r>
      <w:r>
        <w:rPr>
          <w:sz w:val="20"/>
          <w:szCs w:val="20"/>
        </w:rPr>
        <w:t>27</w:t>
      </w:r>
      <w:r>
        <w:rPr>
          <w:sz w:val="20"/>
          <w:szCs w:val="20"/>
        </w:rPr>
        <w:fldChar w:fldCharType="end"/>
      </w:r>
      <w:r w:rsidRPr="003E1E87">
        <w:rPr>
          <w:sz w:val="20"/>
          <w:szCs w:val="20"/>
        </w:rPr>
        <w:t xml:space="preserve"> at 38.</w:t>
      </w:r>
      <w:r w:rsidRPr="003E1E87" w:rsidDel="006067DF">
        <w:rPr>
          <w:sz w:val="20"/>
          <w:szCs w:val="20"/>
        </w:rPr>
        <w:t xml:space="preserve"> </w:t>
      </w:r>
    </w:p>
  </w:footnote>
  <w:footnote w:id="94">
    <w:p w14:paraId="0605DB2B" w14:textId="7E6EBB97"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t xml:space="preserve">, </w:t>
      </w:r>
      <w:r w:rsidRPr="003E1E87">
        <w:rPr>
          <w:i/>
          <w:iCs/>
        </w:rPr>
        <w:t xml:space="preserve">supra </w:t>
      </w:r>
      <w:r w:rsidRPr="003E1E87">
        <w:t>note</w:t>
      </w:r>
      <w:r>
        <w:t xml:space="preserve"> </w:t>
      </w:r>
      <w:r>
        <w:fldChar w:fldCharType="begin"/>
      </w:r>
      <w:r>
        <w:instrText xml:space="preserve"> NOTEREF _Ref82597430 \h </w:instrText>
      </w:r>
      <w:r>
        <w:fldChar w:fldCharType="separate"/>
      </w:r>
      <w:r>
        <w:t>3</w:t>
      </w:r>
      <w:r>
        <w:fldChar w:fldCharType="end"/>
      </w:r>
      <w:r w:rsidRPr="003E1E87">
        <w:t>, at para 71.</w:t>
      </w:r>
    </w:p>
  </w:footnote>
  <w:footnote w:id="95">
    <w:p w14:paraId="0F5AAE71" w14:textId="5609C464" w:rsidR="0045438C" w:rsidRPr="003E1E87" w:rsidRDefault="0045438C" w:rsidP="00F50F62">
      <w:pPr>
        <w:pStyle w:val="FootnoteText"/>
      </w:pPr>
      <w:r w:rsidRPr="003E1E87">
        <w:rPr>
          <w:rStyle w:val="FootnoteReference"/>
        </w:rPr>
        <w:footnoteRef/>
      </w:r>
      <w:r w:rsidRPr="003E1E87">
        <w:t xml:space="preserve"> </w:t>
      </w:r>
      <w:r w:rsidRPr="003E1E87">
        <w:rPr>
          <w:i/>
          <w:iCs/>
        </w:rPr>
        <w:t xml:space="preserve">Ibid </w:t>
      </w:r>
      <w:r w:rsidRPr="003E1E87">
        <w:t>at para 68.</w:t>
      </w:r>
    </w:p>
  </w:footnote>
  <w:footnote w:id="96">
    <w:p w14:paraId="2A203D9B" w14:textId="00DFD9D3" w:rsidR="0045438C" w:rsidRPr="00C32362" w:rsidRDefault="0045438C">
      <w:pPr>
        <w:pStyle w:val="FootnoteText"/>
        <w:rPr>
          <w:lang w:val="es-ES"/>
        </w:rPr>
      </w:pPr>
      <w:r w:rsidRPr="003E1E87">
        <w:rPr>
          <w:rStyle w:val="FootnoteReference"/>
        </w:rPr>
        <w:footnoteRef/>
      </w:r>
      <w:r w:rsidRPr="00C32362">
        <w:rPr>
          <w:lang w:val="es-ES"/>
        </w:rPr>
        <w:t xml:space="preserve"> </w:t>
      </w:r>
      <w:r w:rsidRPr="00D31F9D">
        <w:rPr>
          <w:i/>
          <w:iCs/>
          <w:lang w:val="es-ES"/>
        </w:rPr>
        <w:t xml:space="preserve">Jones v </w:t>
      </w:r>
      <w:proofErr w:type="spellStart"/>
      <w:r w:rsidRPr="00D31F9D">
        <w:rPr>
          <w:i/>
          <w:iCs/>
          <w:lang w:val="es-ES"/>
        </w:rPr>
        <w:t>Tsige</w:t>
      </w:r>
      <w:proofErr w:type="spellEnd"/>
      <w:r w:rsidRPr="00D31F9D">
        <w:rPr>
          <w:lang w:val="es-ES"/>
        </w:rPr>
        <w:t>, 2012 ONCA 32 at para 4 [</w:t>
      </w:r>
      <w:proofErr w:type="spellStart"/>
      <w:r w:rsidRPr="00D31F9D">
        <w:rPr>
          <w:i/>
          <w:iCs/>
          <w:lang w:val="es-ES"/>
        </w:rPr>
        <w:t>Tsige</w:t>
      </w:r>
      <w:proofErr w:type="spellEnd"/>
      <w:r w:rsidRPr="00D31F9D">
        <w:rPr>
          <w:lang w:val="es-ES"/>
        </w:rPr>
        <w:t>].</w:t>
      </w:r>
    </w:p>
  </w:footnote>
  <w:footnote w:id="97">
    <w:p w14:paraId="26BE2A7A" w14:textId="3F39F73C" w:rsidR="0045438C" w:rsidRPr="003E1E87" w:rsidRDefault="0045438C">
      <w:pPr>
        <w:pStyle w:val="FootnoteText"/>
      </w:pPr>
      <w:r w:rsidRPr="003E1E87">
        <w:rPr>
          <w:rStyle w:val="FootnoteReference"/>
        </w:rPr>
        <w:footnoteRef/>
      </w:r>
      <w:r w:rsidRPr="003E1E87">
        <w:t xml:space="preserve"> Nancy </w:t>
      </w:r>
      <w:proofErr w:type="spellStart"/>
      <w:r w:rsidRPr="003E1E87">
        <w:t>Levit</w:t>
      </w:r>
      <w:proofErr w:type="spellEnd"/>
      <w:r w:rsidRPr="003E1E87">
        <w:t xml:space="preserve">, “Ethereal Torts” (1992) 61 Geo Wash L Rev 136. Citing SFC Milsom, </w:t>
      </w:r>
      <w:r w:rsidRPr="003E1E87">
        <w:rPr>
          <w:i/>
          <w:iCs/>
        </w:rPr>
        <w:t>Historical Foundations of the Common Law</w:t>
      </w:r>
      <w:r w:rsidRPr="003E1E87">
        <w:t xml:space="preserve"> (2</w:t>
      </w:r>
      <w:r w:rsidRPr="003E1E87">
        <w:rPr>
          <w:vertAlign w:val="superscript"/>
        </w:rPr>
        <w:t>nd</w:t>
      </w:r>
      <w:r w:rsidRPr="003E1E87">
        <w:t xml:space="preserve"> ed 1981), she observes that, historically, tort law “compensated only direct and tangible injuries to persons or property” at 140.   </w:t>
      </w:r>
    </w:p>
  </w:footnote>
  <w:footnote w:id="98">
    <w:p w14:paraId="35A7B56A" w14:textId="16F5488A" w:rsidR="0045438C" w:rsidRPr="003E1E87" w:rsidRDefault="0045438C" w:rsidP="00ED084D">
      <w:pPr>
        <w:pStyle w:val="FootnoteText"/>
      </w:pPr>
      <w:r w:rsidRPr="003E1E87">
        <w:rPr>
          <w:rStyle w:val="FootnoteReference"/>
        </w:rPr>
        <w:footnoteRef/>
      </w:r>
      <w:r w:rsidRPr="003E1E87">
        <w:t xml:space="preserve"> </w:t>
      </w:r>
      <w:proofErr w:type="spellStart"/>
      <w:r w:rsidRPr="003E1E87">
        <w:t>Omri</w:t>
      </w:r>
      <w:proofErr w:type="spellEnd"/>
      <w:r w:rsidRPr="003E1E87">
        <w:t xml:space="preserve"> Ben-</w:t>
      </w:r>
      <w:proofErr w:type="spellStart"/>
      <w:r w:rsidRPr="003E1E87">
        <w:t>Shahar</w:t>
      </w:r>
      <w:proofErr w:type="spellEnd"/>
      <w:r w:rsidRPr="003E1E87">
        <w:t xml:space="preserve"> </w:t>
      </w:r>
      <w:r>
        <w:t>and</w:t>
      </w:r>
      <w:r w:rsidRPr="003E1E87">
        <w:t xml:space="preserve"> Ariel </w:t>
      </w:r>
      <w:proofErr w:type="spellStart"/>
      <w:r w:rsidRPr="003E1E87">
        <w:t>Porat</w:t>
      </w:r>
      <w:proofErr w:type="spellEnd"/>
      <w:r w:rsidRPr="003E1E87">
        <w:t>, "The Restoration Remedy in Private Law" (2018) 118:6 Colum L Rev 1901 at 1913.</w:t>
      </w:r>
    </w:p>
  </w:footnote>
  <w:footnote w:id="99">
    <w:p w14:paraId="6DDC4E7B" w14:textId="68762CD9" w:rsidR="0045438C" w:rsidRPr="003E1E87" w:rsidRDefault="0045438C">
      <w:pPr>
        <w:pStyle w:val="FootnoteText"/>
      </w:pPr>
      <w:r w:rsidRPr="003E1E87">
        <w:rPr>
          <w:rStyle w:val="FootnoteReference"/>
        </w:rPr>
        <w:footnoteRef/>
      </w:r>
      <w:r w:rsidRPr="003E1E87">
        <w:t xml:space="preserve"> </w:t>
      </w:r>
      <w:r w:rsidRPr="003E1E87">
        <w:rPr>
          <w:i/>
          <w:iCs/>
        </w:rPr>
        <w:t xml:space="preserve">Ward, supra </w:t>
      </w:r>
      <w:r w:rsidRPr="003E1E87">
        <w:t>note</w:t>
      </w:r>
      <w:r>
        <w:t xml:space="preserve"> </w:t>
      </w:r>
      <w:r>
        <w:fldChar w:fldCharType="begin"/>
      </w:r>
      <w:r>
        <w:instrText xml:space="preserve"> NOTEREF _Ref82598349 \h </w:instrText>
      </w:r>
      <w:r>
        <w:fldChar w:fldCharType="separate"/>
      </w:r>
      <w:r>
        <w:t>11</w:t>
      </w:r>
      <w:r>
        <w:fldChar w:fldCharType="end"/>
      </w:r>
      <w:r w:rsidRPr="003E1E87">
        <w:t>, at para 50.</w:t>
      </w:r>
    </w:p>
  </w:footnote>
  <w:footnote w:id="100">
    <w:p w14:paraId="3B3563F2" w14:textId="57F1EEED"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71.</w:t>
      </w:r>
    </w:p>
  </w:footnote>
  <w:footnote w:id="101">
    <w:p w14:paraId="0F43093A" w14:textId="22FD140B"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77.</w:t>
      </w:r>
    </w:p>
  </w:footnote>
  <w:footnote w:id="102">
    <w:p w14:paraId="6ABB8558" w14:textId="525C6645"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w:t>
      </w:r>
      <w:r w:rsidRPr="003E1E87">
        <w:t>supra note</w:t>
      </w:r>
      <w:r>
        <w:t xml:space="preserve"> </w:t>
      </w:r>
      <w:r>
        <w:fldChar w:fldCharType="begin"/>
      </w:r>
      <w:r>
        <w:instrText xml:space="preserve"> NOTEREF _Ref82597430 \h </w:instrText>
      </w:r>
      <w:r>
        <w:fldChar w:fldCharType="separate"/>
      </w:r>
      <w:r>
        <w:t>3</w:t>
      </w:r>
      <w:r>
        <w:fldChar w:fldCharType="end"/>
      </w:r>
      <w:r w:rsidRPr="003E1E87">
        <w:t>, at para 79.</w:t>
      </w:r>
    </w:p>
  </w:footnote>
  <w:footnote w:id="103">
    <w:p w14:paraId="21519913" w14:textId="5F4B5F50" w:rsidR="0045438C" w:rsidRPr="003E1E87" w:rsidRDefault="0045438C">
      <w:pPr>
        <w:pStyle w:val="FootnoteText"/>
      </w:pPr>
      <w:r w:rsidRPr="003E1E87">
        <w:rPr>
          <w:rStyle w:val="FootnoteReference"/>
        </w:rPr>
        <w:footnoteRef/>
      </w:r>
      <w:r w:rsidRPr="003E1E87">
        <w:t xml:space="preserve"> </w:t>
      </w:r>
      <w:r w:rsidRPr="003E1E87">
        <w:rPr>
          <w:i/>
          <w:iCs/>
        </w:rPr>
        <w:t xml:space="preserve">Ward, supra </w:t>
      </w:r>
      <w:r w:rsidRPr="003E1E87">
        <w:t>note</w:t>
      </w:r>
      <w:r>
        <w:t xml:space="preserve"> </w:t>
      </w:r>
      <w:r>
        <w:fldChar w:fldCharType="begin"/>
      </w:r>
      <w:r>
        <w:instrText xml:space="preserve"> NOTEREF _Ref82598349 \h </w:instrText>
      </w:r>
      <w:r>
        <w:fldChar w:fldCharType="separate"/>
      </w:r>
      <w:r>
        <w:t>11</w:t>
      </w:r>
      <w:r>
        <w:fldChar w:fldCharType="end"/>
      </w:r>
      <w:r w:rsidRPr="003E1E87">
        <w:t>, at para 7.</w:t>
      </w:r>
    </w:p>
  </w:footnote>
  <w:footnote w:id="104">
    <w:p w14:paraId="1F6B75D5" w14:textId="7D608DFA" w:rsidR="0045438C" w:rsidRPr="003E1E87" w:rsidRDefault="0045438C" w:rsidP="001D00D1">
      <w:pPr>
        <w:pStyle w:val="FootnoteText"/>
      </w:pPr>
      <w:r w:rsidRPr="003E1E87">
        <w:rPr>
          <w:rStyle w:val="FootnoteReference"/>
        </w:rPr>
        <w:footnoteRef/>
      </w:r>
      <w:r w:rsidRPr="003E1E87">
        <w:t xml:space="preserve"> </w:t>
      </w:r>
      <w:r w:rsidRPr="003E1E87">
        <w:rPr>
          <w:i/>
          <w:iCs/>
        </w:rPr>
        <w:t>Ibid</w:t>
      </w:r>
      <w:r w:rsidRPr="003E1E87">
        <w:t xml:space="preserve"> at para 7-8.</w:t>
      </w:r>
    </w:p>
  </w:footnote>
  <w:footnote w:id="105">
    <w:p w14:paraId="580C3000" w14:textId="62F53900" w:rsidR="0045438C" w:rsidRPr="003E1E87" w:rsidRDefault="0045438C" w:rsidP="001D00D1">
      <w:pPr>
        <w:pStyle w:val="FootnoteText"/>
      </w:pPr>
      <w:r w:rsidRPr="003E1E87">
        <w:rPr>
          <w:rStyle w:val="FootnoteReference"/>
        </w:rPr>
        <w:footnoteRef/>
      </w:r>
      <w:r w:rsidRPr="003E1E87">
        <w:t xml:space="preserve"> </w:t>
      </w:r>
      <w:r w:rsidRPr="003E1E87">
        <w:rPr>
          <w:i/>
          <w:iCs/>
        </w:rPr>
        <w:t xml:space="preserve">Ibid </w:t>
      </w:r>
      <w:r w:rsidRPr="003E1E87">
        <w:t>at para 9.</w:t>
      </w:r>
    </w:p>
  </w:footnote>
  <w:footnote w:id="106">
    <w:p w14:paraId="2F84B28E" w14:textId="37C5C7E6"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2.</w:t>
      </w:r>
    </w:p>
  </w:footnote>
  <w:footnote w:id="107">
    <w:p w14:paraId="049CF880" w14:textId="7FC790DB" w:rsidR="0045438C" w:rsidRPr="003E1E87" w:rsidRDefault="0045438C" w:rsidP="00AB57E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supra</w:t>
      </w:r>
      <w:r w:rsidRPr="003E1E87">
        <w:t xml:space="preserve"> note</w:t>
      </w:r>
      <w:r>
        <w:t xml:space="preserve"> </w:t>
      </w:r>
      <w:r>
        <w:fldChar w:fldCharType="begin"/>
      </w:r>
      <w:r>
        <w:instrText xml:space="preserve"> NOTEREF _Ref82597430 \h </w:instrText>
      </w:r>
      <w:r>
        <w:fldChar w:fldCharType="separate"/>
      </w:r>
      <w:r>
        <w:t>3</w:t>
      </w:r>
      <w:r>
        <w:fldChar w:fldCharType="end"/>
      </w:r>
      <w:r w:rsidRPr="003E1E87">
        <w:t>, at para 71.</w:t>
      </w:r>
    </w:p>
  </w:footnote>
  <w:footnote w:id="108">
    <w:p w14:paraId="080A4C3F" w14:textId="309C3F98" w:rsidR="0045438C" w:rsidRPr="003E1E87" w:rsidRDefault="0045438C" w:rsidP="006803F6">
      <w:pPr>
        <w:pStyle w:val="FootnoteText"/>
      </w:pPr>
      <w:r w:rsidRPr="003E1E87">
        <w:rPr>
          <w:rStyle w:val="FootnoteReference"/>
        </w:rPr>
        <w:footnoteRef/>
      </w:r>
      <w:r w:rsidRPr="003E1E87">
        <w:t xml:space="preserve"> </w:t>
      </w:r>
      <w:r w:rsidRPr="003E1E87">
        <w:rPr>
          <w:i/>
          <w:iCs/>
        </w:rPr>
        <w:t xml:space="preserve">Ibid </w:t>
      </w:r>
      <w:r w:rsidRPr="003E1E87">
        <w:t>at para 81.</w:t>
      </w:r>
    </w:p>
  </w:footnote>
  <w:footnote w:id="109">
    <w:p w14:paraId="741D05DB" w14:textId="5DC9C853" w:rsidR="0045438C" w:rsidRPr="003E1E87" w:rsidRDefault="0045438C">
      <w:pPr>
        <w:pStyle w:val="FootnoteText"/>
      </w:pPr>
      <w:r w:rsidRPr="003E1E87">
        <w:rPr>
          <w:rStyle w:val="FootnoteReference"/>
        </w:rPr>
        <w:footnoteRef/>
      </w:r>
      <w:r w:rsidRPr="003E1E87">
        <w:t xml:space="preserve"> J Berryman, “</w:t>
      </w:r>
      <w:r w:rsidRPr="003E1E87">
        <w:rPr>
          <w:rStyle w:val="apa"/>
        </w:rPr>
        <w:t xml:space="preserve">Breach of Privacy in Canada” in </w:t>
      </w:r>
      <w:r w:rsidRPr="003E1E87">
        <w:t xml:space="preserve">Jason N E </w:t>
      </w:r>
      <w:proofErr w:type="spellStart"/>
      <w:r w:rsidRPr="003E1E87">
        <w:t>Varuhas</w:t>
      </w:r>
      <w:proofErr w:type="spellEnd"/>
      <w:r w:rsidRPr="003E1E87">
        <w:t xml:space="preserve"> and N A </w:t>
      </w:r>
      <w:proofErr w:type="spellStart"/>
      <w:r w:rsidRPr="003E1E87">
        <w:t>Moreham</w:t>
      </w:r>
      <w:proofErr w:type="spellEnd"/>
      <w:r w:rsidRPr="003E1E87">
        <w:t xml:space="preserve">, </w:t>
      </w:r>
      <w:proofErr w:type="spellStart"/>
      <w:r w:rsidRPr="003E1E87">
        <w:t>eds</w:t>
      </w:r>
      <w:proofErr w:type="spellEnd"/>
      <w:r w:rsidRPr="003E1E87">
        <w:t xml:space="preserve">, </w:t>
      </w:r>
      <w:r w:rsidRPr="003E1E87">
        <w:rPr>
          <w:i/>
          <w:iCs/>
        </w:rPr>
        <w:t>Remedies for Breach of Privacy</w:t>
      </w:r>
      <w:r w:rsidRPr="003E1E87">
        <w:t xml:space="preserve"> (London: Hart, 2018)</w:t>
      </w:r>
      <w:r w:rsidRPr="003E1E87">
        <w:rPr>
          <w:rStyle w:val="apa"/>
        </w:rPr>
        <w:t>, 323 at 327.</w:t>
      </w:r>
    </w:p>
  </w:footnote>
  <w:footnote w:id="110">
    <w:p w14:paraId="65732E0C" w14:textId="4AEE2C9E" w:rsidR="0045438C" w:rsidRPr="003E1E87" w:rsidRDefault="0045438C" w:rsidP="00471BA9">
      <w:pPr>
        <w:pStyle w:val="FootnoteText"/>
      </w:pPr>
      <w:r w:rsidRPr="003E1E87">
        <w:rPr>
          <w:rStyle w:val="FootnoteReference"/>
        </w:rPr>
        <w:footnoteRef/>
      </w:r>
      <w:r w:rsidRPr="003E1E87">
        <w:t xml:space="preserve"> </w:t>
      </w:r>
      <w:r w:rsidRPr="003E1E87">
        <w:rPr>
          <w:i/>
          <w:iCs/>
        </w:rPr>
        <w:t xml:space="preserve">Supra </w:t>
      </w:r>
      <w:r w:rsidRPr="003E1E87">
        <w:t xml:space="preserve">note </w:t>
      </w:r>
      <w:r>
        <w:fldChar w:fldCharType="begin"/>
      </w:r>
      <w:r>
        <w:instrText xml:space="preserve"> NOTEREF _Ref78192521 \h </w:instrText>
      </w:r>
      <w:r>
        <w:fldChar w:fldCharType="separate"/>
      </w:r>
      <w:r>
        <w:t>72</w:t>
      </w:r>
      <w:r>
        <w:fldChar w:fldCharType="end"/>
      </w:r>
      <w:r w:rsidRPr="003E1E87">
        <w:t>.</w:t>
      </w:r>
    </w:p>
  </w:footnote>
  <w:footnote w:id="111">
    <w:p w14:paraId="5758A53E" w14:textId="0CA0A0CA" w:rsidR="0045438C" w:rsidRPr="003E1E87" w:rsidRDefault="0045438C">
      <w:pPr>
        <w:pStyle w:val="FootnoteText"/>
      </w:pPr>
      <w:r w:rsidRPr="003E1E87">
        <w:rPr>
          <w:rStyle w:val="FootnoteReference"/>
        </w:rPr>
        <w:footnoteRef/>
      </w:r>
      <w:r w:rsidRPr="003E1E87">
        <w:t xml:space="preserve"> </w:t>
      </w:r>
      <w:r w:rsidRPr="003E1E87">
        <w:rPr>
          <w:i/>
          <w:iCs/>
        </w:rPr>
        <w:t xml:space="preserve">Randall v </w:t>
      </w:r>
      <w:proofErr w:type="spellStart"/>
      <w:r w:rsidRPr="003E1E87">
        <w:rPr>
          <w:i/>
          <w:iCs/>
        </w:rPr>
        <w:t>Nubody</w:t>
      </w:r>
      <w:r>
        <w:rPr>
          <w:i/>
          <w:iCs/>
        </w:rPr>
        <w:t>’</w:t>
      </w:r>
      <w:r w:rsidRPr="003E1E87">
        <w:rPr>
          <w:i/>
          <w:iCs/>
        </w:rPr>
        <w:t>s</w:t>
      </w:r>
      <w:proofErr w:type="spellEnd"/>
      <w:r w:rsidRPr="003E1E87">
        <w:rPr>
          <w:i/>
          <w:iCs/>
        </w:rPr>
        <w:t xml:space="preserve"> Fitness Centres</w:t>
      </w:r>
      <w:r w:rsidRPr="003E1E87">
        <w:t xml:space="preserve">, 2010 FC 681 at </w:t>
      </w:r>
      <w:r>
        <w:t>para 6</w:t>
      </w:r>
      <w:r w:rsidRPr="003E1E87">
        <w:t xml:space="preserve"> [</w:t>
      </w:r>
      <w:r w:rsidRPr="003E1E87">
        <w:rPr>
          <w:i/>
          <w:iCs/>
        </w:rPr>
        <w:t>Randall</w:t>
      </w:r>
      <w:r w:rsidRPr="003E1E87">
        <w:t>].</w:t>
      </w:r>
    </w:p>
  </w:footnote>
  <w:footnote w:id="112">
    <w:p w14:paraId="2524722F" w14:textId="4EC46FE6"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36.</w:t>
      </w:r>
    </w:p>
  </w:footnote>
  <w:footnote w:id="113">
    <w:p w14:paraId="2C82DCFE" w14:textId="630227B3"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18.</w:t>
      </w:r>
    </w:p>
  </w:footnote>
  <w:footnote w:id="114">
    <w:p w14:paraId="05B3F4EE" w14:textId="4EAA176B"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36.</w:t>
      </w:r>
    </w:p>
  </w:footnote>
  <w:footnote w:id="115">
    <w:p w14:paraId="3B0A5C2B" w14:textId="2B84B920" w:rsidR="0045438C" w:rsidRPr="003E1E87" w:rsidRDefault="0045438C" w:rsidP="00383B17">
      <w:pPr>
        <w:pStyle w:val="FootnoteText"/>
      </w:pPr>
      <w:r w:rsidRPr="003E1E87">
        <w:rPr>
          <w:rStyle w:val="FootnoteReference"/>
        </w:rPr>
        <w:footnoteRef/>
      </w:r>
      <w:r w:rsidRPr="003E1E87">
        <w:t xml:space="preserve"> </w:t>
      </w:r>
      <w:r w:rsidRPr="003E1E87">
        <w:rPr>
          <w:i/>
          <w:iCs/>
        </w:rPr>
        <w:t xml:space="preserve">Ibid </w:t>
      </w:r>
      <w:r w:rsidRPr="003E1E87">
        <w:t>at para 46-47.</w:t>
      </w:r>
      <w:r>
        <w:t xml:space="preserve"> Note that </w:t>
      </w:r>
      <w:r w:rsidRPr="00383B17">
        <w:rPr>
          <w:i/>
          <w:iCs/>
        </w:rPr>
        <w:t>PIPEDA’s</w:t>
      </w:r>
      <w:r>
        <w:t xml:space="preserve"> s 16 (a) and (b) first provide the remedies of the court ordering organizations to correct their practices and to publicize such corrections. The remedy of damages appears only in s 16 (c), suggesting an (unintended?) hierarchy of remedies that </w:t>
      </w:r>
      <w:r>
        <w:rPr>
          <w:i/>
          <w:iCs/>
        </w:rPr>
        <w:t>Randall</w:t>
      </w:r>
      <w:r>
        <w:t xml:space="preserve"> and cases that followed it adopted as yet another reason to lower or limit damages.</w:t>
      </w:r>
    </w:p>
  </w:footnote>
  <w:footnote w:id="116">
    <w:p w14:paraId="5503480E" w14:textId="61841518" w:rsidR="0045438C" w:rsidRPr="003E1E87" w:rsidRDefault="0045438C" w:rsidP="007503CA">
      <w:pPr>
        <w:pStyle w:val="FootnoteText"/>
      </w:pPr>
      <w:r w:rsidRPr="003E1E87">
        <w:rPr>
          <w:rStyle w:val="FootnoteReference"/>
        </w:rPr>
        <w:footnoteRef/>
      </w:r>
      <w:r w:rsidRPr="003E1E87">
        <w:t xml:space="preserve"> </w:t>
      </w:r>
      <w:r w:rsidRPr="003E1E87">
        <w:rPr>
          <w:i/>
          <w:iCs/>
        </w:rPr>
        <w:t>Ibid a</w:t>
      </w:r>
      <w:r w:rsidRPr="003E1E87">
        <w:t>t para 55.</w:t>
      </w:r>
    </w:p>
  </w:footnote>
  <w:footnote w:id="117">
    <w:p w14:paraId="66DF768A" w14:textId="11B6CB08" w:rsidR="0045438C" w:rsidRPr="003E1E87" w:rsidRDefault="0045438C" w:rsidP="007503CA">
      <w:pPr>
        <w:pStyle w:val="FootnoteText"/>
      </w:pPr>
      <w:r w:rsidRPr="003E1E87">
        <w:rPr>
          <w:rStyle w:val="FootnoteReference"/>
        </w:rPr>
        <w:footnoteRef/>
      </w:r>
      <w:r w:rsidRPr="003E1E87">
        <w:t xml:space="preserve"> </w:t>
      </w:r>
      <w:r w:rsidRPr="003E1E87">
        <w:rPr>
          <w:i/>
          <w:iCs/>
        </w:rPr>
        <w:t xml:space="preserve">Ibid </w:t>
      </w:r>
      <w:r w:rsidRPr="003E1E87">
        <w:t>at para 55.</w:t>
      </w:r>
    </w:p>
  </w:footnote>
  <w:footnote w:id="118">
    <w:p w14:paraId="4895B61B" w14:textId="1BEA41A0"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56.</w:t>
      </w:r>
    </w:p>
  </w:footnote>
  <w:footnote w:id="119">
    <w:p w14:paraId="6322FE5B" w14:textId="1E1B0D11" w:rsidR="0045438C" w:rsidRPr="003E1E87" w:rsidRDefault="0045438C" w:rsidP="00622DD1">
      <w:pPr>
        <w:pStyle w:val="FootnoteText"/>
      </w:pPr>
      <w:r w:rsidRPr="003E1E87">
        <w:rPr>
          <w:rStyle w:val="FootnoteReference"/>
        </w:rPr>
        <w:footnoteRef/>
      </w:r>
      <w:r w:rsidRPr="003E1E87">
        <w:t xml:space="preserve"> </w:t>
      </w:r>
      <w:r w:rsidRPr="003E1E87">
        <w:rPr>
          <w:i/>
          <w:iCs/>
        </w:rPr>
        <w:t xml:space="preserve">Ibid </w:t>
      </w:r>
      <w:r w:rsidRPr="003E1E87">
        <w:t>at para 55.</w:t>
      </w:r>
    </w:p>
  </w:footnote>
  <w:footnote w:id="120">
    <w:p w14:paraId="4E31C285" w14:textId="61BA6928" w:rsidR="0045438C" w:rsidRPr="003E1E87" w:rsidRDefault="0045438C" w:rsidP="007503CA">
      <w:pPr>
        <w:pStyle w:val="FootnoteText"/>
      </w:pPr>
      <w:r w:rsidRPr="003E1E87">
        <w:rPr>
          <w:rStyle w:val="FootnoteReference"/>
        </w:rPr>
        <w:footnoteRef/>
      </w:r>
      <w:r w:rsidRPr="003E1E87">
        <w:t xml:space="preserve"> </w:t>
      </w:r>
      <w:r w:rsidRPr="003E1E87">
        <w:rPr>
          <w:i/>
          <w:iCs/>
        </w:rPr>
        <w:t>Ibid</w:t>
      </w:r>
      <w:r w:rsidRPr="003E1E87">
        <w:t xml:space="preserve"> at para 56.</w:t>
      </w:r>
    </w:p>
  </w:footnote>
  <w:footnote w:id="121">
    <w:p w14:paraId="07A5FE5C" w14:textId="7233CA40" w:rsidR="0045438C" w:rsidRPr="003E1E87" w:rsidRDefault="0045438C" w:rsidP="00D50558">
      <w:pPr>
        <w:pStyle w:val="FootnoteText"/>
      </w:pPr>
      <w:r w:rsidRPr="003E1E87">
        <w:rPr>
          <w:rStyle w:val="FootnoteReference"/>
        </w:rPr>
        <w:footnoteRef/>
      </w:r>
      <w:r w:rsidRPr="003E1E87">
        <w:t xml:space="preserve"> </w:t>
      </w:r>
      <w:r w:rsidRPr="003E1E87">
        <w:rPr>
          <w:i/>
          <w:iCs/>
        </w:rPr>
        <w:t>Ibid</w:t>
      </w:r>
      <w:r w:rsidRPr="003E1E87" w:rsidDel="0033698A">
        <w:rPr>
          <w:i/>
          <w:iCs/>
        </w:rPr>
        <w:t xml:space="preserve"> </w:t>
      </w:r>
      <w:r w:rsidRPr="003E1E87">
        <w:t>at para 49.</w:t>
      </w:r>
    </w:p>
  </w:footnote>
  <w:footnote w:id="122">
    <w:p w14:paraId="38D81A99" w14:textId="4B964C29" w:rsidR="0045438C" w:rsidRPr="003E1E87" w:rsidRDefault="0045438C">
      <w:pPr>
        <w:pStyle w:val="FootnoteText"/>
      </w:pPr>
      <w:r w:rsidRPr="003E1E87">
        <w:rPr>
          <w:rStyle w:val="FootnoteReference"/>
        </w:rPr>
        <w:footnoteRef/>
      </w:r>
      <w:r w:rsidRPr="003E1E87">
        <w:t xml:space="preserve"> </w:t>
      </w:r>
      <w:r w:rsidRPr="003E1E87">
        <w:rPr>
          <w:rFonts w:eastAsia="Times New Roman"/>
          <w:lang w:eastAsia="en-CA"/>
        </w:rPr>
        <w:t xml:space="preserve">Cory J in </w:t>
      </w:r>
      <w:r w:rsidRPr="003E1E87">
        <w:rPr>
          <w:i/>
          <w:iCs/>
        </w:rPr>
        <w:t>Hill v Church of Scientology of Toronto</w:t>
      </w:r>
      <w:r w:rsidRPr="003E1E87">
        <w:t>, 1995 CanLII 59 (SCC), [1995] 2 SCR 1130</w:t>
      </w:r>
      <w:r>
        <w:rPr>
          <w:rFonts w:eastAsia="Times New Roman"/>
          <w:lang w:eastAsia="en-CA"/>
        </w:rPr>
        <w:t xml:space="preserve"> at para 196</w:t>
      </w:r>
      <w:r w:rsidRPr="003E1E87">
        <w:rPr>
          <w:rFonts w:eastAsia="Times New Roman"/>
          <w:lang w:eastAsia="en-CA"/>
        </w:rPr>
        <w:t xml:space="preserve"> [</w:t>
      </w:r>
      <w:r w:rsidRPr="003E1E87">
        <w:rPr>
          <w:rFonts w:eastAsia="Times New Roman"/>
          <w:i/>
          <w:iCs/>
          <w:lang w:eastAsia="en-CA"/>
        </w:rPr>
        <w:t>Hill</w:t>
      </w:r>
      <w:r w:rsidRPr="003E1E87">
        <w:rPr>
          <w:rFonts w:eastAsia="Times New Roman"/>
          <w:lang w:eastAsia="en-CA"/>
        </w:rPr>
        <w:t xml:space="preserve">], states that punitive damages are “the means by which the jury or judge expresses its outrage at the </w:t>
      </w:r>
      <w:r w:rsidRPr="003E1E87">
        <w:rPr>
          <w:rFonts w:eastAsia="Times New Roman"/>
          <w:b/>
          <w:bCs/>
          <w:lang w:eastAsia="en-CA"/>
        </w:rPr>
        <w:t>egregious</w:t>
      </w:r>
      <w:r w:rsidRPr="003E1E87">
        <w:rPr>
          <w:rFonts w:eastAsia="Times New Roman"/>
          <w:lang w:eastAsia="en-CA"/>
        </w:rPr>
        <w:t xml:space="preserve"> conduct” [emphasis added].</w:t>
      </w:r>
    </w:p>
  </w:footnote>
  <w:footnote w:id="123">
    <w:p w14:paraId="550AC59D" w14:textId="5FF4A213" w:rsidR="0045438C" w:rsidRPr="00D31F9D" w:rsidRDefault="0045438C" w:rsidP="00252E00">
      <w:pPr>
        <w:pStyle w:val="FootnoteText"/>
      </w:pPr>
      <w:r w:rsidRPr="003E1E87">
        <w:rPr>
          <w:rStyle w:val="FootnoteReference"/>
        </w:rPr>
        <w:footnoteRef/>
      </w:r>
      <w:r w:rsidRPr="00D31F9D">
        <w:t xml:space="preserve"> </w:t>
      </w:r>
      <w:proofErr w:type="spellStart"/>
      <w:r w:rsidRPr="00D31F9D">
        <w:rPr>
          <w:i/>
          <w:iCs/>
        </w:rPr>
        <w:t>Chitrakar</w:t>
      </w:r>
      <w:proofErr w:type="spellEnd"/>
      <w:r w:rsidRPr="00D31F9D">
        <w:t xml:space="preserve">, </w:t>
      </w:r>
      <w:r w:rsidRPr="00D31F9D">
        <w:rPr>
          <w:i/>
          <w:iCs/>
        </w:rPr>
        <w:t xml:space="preserve">supra </w:t>
      </w:r>
      <w:r w:rsidRPr="00D31F9D">
        <w:t xml:space="preserve">note </w:t>
      </w:r>
      <w:r>
        <w:rPr>
          <w:lang w:val="es-ES"/>
        </w:rPr>
        <w:fldChar w:fldCharType="begin"/>
      </w:r>
      <w:r w:rsidRPr="00D31F9D">
        <w:instrText xml:space="preserve"> NOTEREF _Ref82551028 \h </w:instrText>
      </w:r>
      <w:r>
        <w:rPr>
          <w:lang w:val="es-ES"/>
        </w:rPr>
      </w:r>
      <w:r>
        <w:rPr>
          <w:lang w:val="es-ES"/>
        </w:rPr>
        <w:fldChar w:fldCharType="separate"/>
      </w:r>
      <w:r>
        <w:t>1</w:t>
      </w:r>
      <w:r>
        <w:rPr>
          <w:lang w:val="es-ES"/>
        </w:rPr>
        <w:fldChar w:fldCharType="end"/>
      </w:r>
      <w:r w:rsidRPr="00D31F9D">
        <w:t>, at para 24.</w:t>
      </w:r>
    </w:p>
  </w:footnote>
  <w:footnote w:id="124">
    <w:p w14:paraId="1C07640F" w14:textId="405AB858" w:rsidR="0045438C" w:rsidRPr="00D31F9D" w:rsidRDefault="0045438C">
      <w:pPr>
        <w:pStyle w:val="FootnoteText"/>
      </w:pPr>
      <w:r w:rsidRPr="003E1E87">
        <w:rPr>
          <w:rStyle w:val="FootnoteReference"/>
        </w:rPr>
        <w:footnoteRef/>
      </w:r>
      <w:r w:rsidRPr="00D31F9D">
        <w:t xml:space="preserve"> </w:t>
      </w:r>
      <w:r w:rsidRPr="009E3C53">
        <w:rPr>
          <w:i/>
          <w:iCs/>
        </w:rPr>
        <w:t>Poirier v Wal-Mart Canada</w:t>
      </w:r>
      <w:r>
        <w:rPr>
          <w:i/>
          <w:iCs/>
        </w:rPr>
        <w:t xml:space="preserve">, </w:t>
      </w:r>
      <w:r w:rsidRPr="003E1E87">
        <w:t>2006 BCSC 1138 [</w:t>
      </w:r>
      <w:r w:rsidRPr="003E1E87">
        <w:rPr>
          <w:i/>
          <w:iCs/>
        </w:rPr>
        <w:t>Poirier</w:t>
      </w:r>
      <w:r w:rsidRPr="003E1E87">
        <w:t>]</w:t>
      </w:r>
      <w:r w:rsidRPr="00D31F9D">
        <w:t>.</w:t>
      </w:r>
    </w:p>
  </w:footnote>
  <w:footnote w:id="125">
    <w:p w14:paraId="433DED35" w14:textId="1446A06F" w:rsidR="0045438C" w:rsidRPr="003E1E87" w:rsidRDefault="0045438C">
      <w:pPr>
        <w:pStyle w:val="FootnoteText"/>
      </w:pPr>
      <w:r w:rsidRPr="003E1E87">
        <w:rPr>
          <w:rStyle w:val="FootnoteReference"/>
        </w:rPr>
        <w:footnoteRef/>
      </w:r>
      <w:r w:rsidRPr="003E1E87">
        <w:t xml:space="preserve"> </w:t>
      </w:r>
      <w:r>
        <w:rPr>
          <w:i/>
          <w:iCs/>
        </w:rPr>
        <w:t>Ibid</w:t>
      </w:r>
      <w:r>
        <w:t xml:space="preserve"> </w:t>
      </w:r>
      <w:r w:rsidRPr="003E1E87">
        <w:t>at para 11.</w:t>
      </w:r>
    </w:p>
  </w:footnote>
  <w:footnote w:id="126">
    <w:p w14:paraId="3C656EEE" w14:textId="0FF3CE23"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at para 104.</w:t>
      </w:r>
    </w:p>
  </w:footnote>
  <w:footnote w:id="127">
    <w:p w14:paraId="79391D2F" w14:textId="77777777" w:rsidR="0045438C" w:rsidRPr="003E1E87" w:rsidRDefault="0045438C" w:rsidP="00871B6A">
      <w:pPr>
        <w:pStyle w:val="FootnoteText"/>
      </w:pPr>
      <w:r w:rsidRPr="003E1E87">
        <w:rPr>
          <w:rStyle w:val="FootnoteReference"/>
          <w:i/>
          <w:iCs/>
        </w:rPr>
        <w:footnoteRef/>
      </w:r>
      <w:r w:rsidRPr="003E1E87">
        <w:t xml:space="preserve"> </w:t>
      </w:r>
      <w:r w:rsidRPr="003E1E87">
        <w:rPr>
          <w:i/>
          <w:iCs/>
        </w:rPr>
        <w:t>Ibid</w:t>
      </w:r>
      <w:r w:rsidRPr="003E1E87">
        <w:t xml:space="preserve"> at para 95.</w:t>
      </w:r>
    </w:p>
  </w:footnote>
  <w:footnote w:id="128">
    <w:p w14:paraId="27537563" w14:textId="4243C5C5" w:rsidR="0045438C" w:rsidRPr="003E1E87" w:rsidRDefault="0045438C">
      <w:pPr>
        <w:pStyle w:val="FootnoteText"/>
      </w:pPr>
      <w:r w:rsidRPr="003E1E87">
        <w:rPr>
          <w:rStyle w:val="FootnoteReference"/>
        </w:rPr>
        <w:footnoteRef/>
      </w:r>
      <w:r w:rsidRPr="003E1E87">
        <w:t xml:space="preserve"> </w:t>
      </w:r>
      <w:r w:rsidRPr="003E1E87">
        <w:rPr>
          <w:i/>
          <w:iCs/>
        </w:rPr>
        <w:t xml:space="preserve">Ward, supra </w:t>
      </w:r>
      <w:r w:rsidRPr="003E1E87">
        <w:t>note</w:t>
      </w:r>
      <w:r>
        <w:t xml:space="preserve"> </w:t>
      </w:r>
      <w:r>
        <w:fldChar w:fldCharType="begin"/>
      </w:r>
      <w:r>
        <w:instrText xml:space="preserve"> NOTEREF _Ref82598349 \h </w:instrText>
      </w:r>
      <w:r>
        <w:fldChar w:fldCharType="separate"/>
      </w:r>
      <w:r>
        <w:t>11</w:t>
      </w:r>
      <w:r>
        <w:fldChar w:fldCharType="end"/>
      </w:r>
      <w:r w:rsidRPr="003E1E87">
        <w:t>, at para 52.</w:t>
      </w:r>
    </w:p>
  </w:footnote>
  <w:footnote w:id="129">
    <w:p w14:paraId="5D1457A6" w14:textId="0702B1B8" w:rsidR="0045438C" w:rsidRDefault="0045438C" w:rsidP="00704D02">
      <w:pPr>
        <w:pStyle w:val="FootnoteText"/>
      </w:pPr>
      <w:r>
        <w:rPr>
          <w:rStyle w:val="FootnoteReference"/>
        </w:rPr>
        <w:footnoteRef/>
      </w:r>
      <w:r>
        <w:t xml:space="preserve"> Though it is beyond the scope of this article to discuss, note that s 106(2) also provides a personal cause of action as follows: </w:t>
      </w:r>
    </w:p>
    <w:p w14:paraId="707363E7" w14:textId="77777777" w:rsidR="0045438C" w:rsidRPr="00117DF6" w:rsidRDefault="0045438C" w:rsidP="00704D02">
      <w:pPr>
        <w:pStyle w:val="FootnoteText"/>
        <w:ind w:left="720"/>
      </w:pPr>
      <w:r>
        <w:t>If an organization has been convicted of an offence under section 125, an individual affected by the act or omission that gave rise to the offence has a cause of action against the organization for damages for loss or injury that the individual has suffered as a result of the act or omission.</w:t>
      </w:r>
    </w:p>
  </w:footnote>
  <w:footnote w:id="130">
    <w:p w14:paraId="131F1DFB" w14:textId="69289CD8" w:rsidR="0045438C" w:rsidRPr="007E2ECB" w:rsidRDefault="0045438C" w:rsidP="00E60C35">
      <w:pPr>
        <w:pStyle w:val="FootnoteText"/>
      </w:pPr>
      <w:r>
        <w:rPr>
          <w:rStyle w:val="FootnoteReference"/>
        </w:rPr>
        <w:footnoteRef/>
      </w:r>
      <w:r>
        <w:t xml:space="preserve"> See </w:t>
      </w:r>
      <w:r>
        <w:rPr>
          <w:i/>
          <w:iCs/>
        </w:rPr>
        <w:t xml:space="preserve">supra </w:t>
      </w:r>
      <w:r>
        <w:rPr>
          <w:lang w:val="en-US"/>
        </w:rPr>
        <w:t>Section I(A)(1)</w:t>
      </w:r>
      <w:r>
        <w:t xml:space="preserve">. </w:t>
      </w:r>
    </w:p>
  </w:footnote>
  <w:footnote w:id="131">
    <w:p w14:paraId="5043FD36" w14:textId="322ECA2A" w:rsidR="0045438C" w:rsidRPr="00115DCC" w:rsidRDefault="0045438C">
      <w:pPr>
        <w:pStyle w:val="FootnoteText"/>
      </w:pPr>
      <w:r>
        <w:rPr>
          <w:rStyle w:val="FootnoteReference"/>
        </w:rPr>
        <w:footnoteRef/>
      </w:r>
      <w:r>
        <w:t xml:space="preserve"> As Kirsten Thompson et al observe,</w:t>
      </w:r>
      <w:r w:rsidRPr="00AA4108">
        <w:t xml:space="preserve"> </w:t>
      </w:r>
      <w:r w:rsidRPr="00E64595">
        <w:rPr>
          <w:i/>
          <w:iCs/>
        </w:rPr>
        <w:t>CPPA</w:t>
      </w:r>
      <w:r w:rsidRPr="00AA4108">
        <w:t xml:space="preserve"> provided no guidance “on the type or quantum of damages that an individual may seek from an organization for a breach of the CPPA</w:t>
      </w:r>
      <w:r>
        <w:t>…”</w:t>
      </w:r>
      <w:r w:rsidRPr="00AA4108">
        <w:t xml:space="preserve"> </w:t>
      </w:r>
      <w:r>
        <w:t xml:space="preserve">See </w:t>
      </w:r>
      <w:r>
        <w:rPr>
          <w:i/>
          <w:iCs/>
        </w:rPr>
        <w:t xml:space="preserve">Dentons Data </w:t>
      </w:r>
      <w:r w:rsidRPr="003061DB">
        <w:rPr>
          <w:i/>
          <w:iCs/>
        </w:rPr>
        <w:t>CPPA</w:t>
      </w:r>
      <w:r>
        <w:rPr>
          <w:i/>
          <w:iCs/>
        </w:rPr>
        <w:t xml:space="preserve"> In-Depth Guide</w:t>
      </w:r>
      <w:r>
        <w:t xml:space="preserve">, 2021 at 41, online: </w:t>
      </w:r>
      <w:hyperlink r:id="rId7" w:history="1">
        <w:r w:rsidRPr="00504892">
          <w:rPr>
            <w:rStyle w:val="Hyperlink"/>
          </w:rPr>
          <w:t>https://www.dentons.com/en/insights/guides-reports-and-whitepapers/2021/january/28/dentons-</w:t>
        </w:r>
        <w:r w:rsidRPr="003061DB">
          <w:rPr>
            <w:rStyle w:val="Hyperlink"/>
            <w:i/>
            <w:iCs/>
          </w:rPr>
          <w:t>CPPA</w:t>
        </w:r>
        <w:r w:rsidRPr="00504892">
          <w:rPr>
            <w:rStyle w:val="Hyperlink"/>
          </w:rPr>
          <w:t>-in-depth-guide-a-detailed-review-of-key-provisions-in-canadas-proposed-new-privacy-law?utm_source=email&amp;utm_medium=email&amp;utm_campaign=vuture</w:t>
        </w:r>
      </w:hyperlink>
    </w:p>
  </w:footnote>
  <w:footnote w:id="132">
    <w:p w14:paraId="305300A5" w14:textId="6E5525E2" w:rsidR="0045438C" w:rsidRDefault="0045438C" w:rsidP="00D02757">
      <w:pPr>
        <w:pStyle w:val="FootnoteText"/>
      </w:pPr>
      <w:r>
        <w:rPr>
          <w:rStyle w:val="FootnoteReference"/>
        </w:rPr>
        <w:footnoteRef/>
      </w:r>
      <w:r>
        <w:t xml:space="preserve"> </w:t>
      </w:r>
      <w:r w:rsidR="00D02757" w:rsidRPr="00D02757">
        <w:t>Although we did not discuss Quebec’s legislation in this article, we should note that in 2021 Quebec passed </w:t>
      </w:r>
      <w:proofErr w:type="gramStart"/>
      <w:r w:rsidR="00D02757" w:rsidRPr="00D02757">
        <w:rPr>
          <w:i/>
          <w:iCs/>
        </w:rPr>
        <w:t>An</w:t>
      </w:r>
      <w:proofErr w:type="gramEnd"/>
      <w:r w:rsidR="00D02757" w:rsidRPr="00D02757">
        <w:rPr>
          <w:i/>
          <w:iCs/>
        </w:rPr>
        <w:t xml:space="preserve"> Act to modernize legislative provisions as regards the protection of personal information.</w:t>
      </w:r>
      <w:r w:rsidR="00D02757" w:rsidRPr="00D02757">
        <w:t> The Act amended Quebec’s existing legislation, and in particular, created a new right of action. A new s. 93.1 was created to provide as follows: “Where the unlawful infringement of a right conferred by this Act or by articles 35 to 40 of the Civil Code causes an injury and the infringement is intentional or results from a gross fault, the court shall award punitive damages of not less than $1,000." While the Act does not define ‘injury’ it would seem that nonpecuniary losses would be covered, especially since both the Act and the relevant articles of the Civil Code refer to privacy and reputation together. Note that the damages are punitive. See Bill 64, An Act to modernize legislative provisions as regards the protection of personal informat</w:t>
      </w:r>
      <w:r w:rsidR="00D02757">
        <w:t>ion, 1st Sess., 42nd Leg., 2020. Online:</w:t>
      </w:r>
      <w:r w:rsidR="00D02757" w:rsidRPr="00D02757">
        <w:t> </w:t>
      </w:r>
      <w:hyperlink r:id="rId8" w:tgtFrame="_blank" w:history="1">
        <w:r w:rsidR="00D02757" w:rsidRPr="00D02757">
          <w:rPr>
            <w:rStyle w:val="Hyperlink"/>
          </w:rPr>
          <w:t>http://m.assnat.qc.ca/en/travauxparlementaires/projets-loi/projet-loi-64-42-1.html</w:t>
        </w:r>
      </w:hyperlink>
      <w:r w:rsidR="00D02757" w:rsidRPr="00D02757">
        <w:t>.</w:t>
      </w:r>
    </w:p>
  </w:footnote>
  <w:footnote w:id="133">
    <w:p w14:paraId="5C75C92A" w14:textId="3964854D" w:rsidR="0045438C" w:rsidRPr="003946AF" w:rsidRDefault="0045438C" w:rsidP="0045438C">
      <w:pPr>
        <w:pStyle w:val="FootnoteText"/>
      </w:pPr>
      <w:r>
        <w:rPr>
          <w:rStyle w:val="FootnoteReference"/>
        </w:rPr>
        <w:footnoteRef/>
      </w:r>
      <w:r>
        <w:t xml:space="preserve"> See Thomson et al, </w:t>
      </w:r>
      <w:r>
        <w:rPr>
          <w:i/>
          <w:iCs/>
        </w:rPr>
        <w:t>supra</w:t>
      </w:r>
      <w:r>
        <w:t xml:space="preserve"> note </w:t>
      </w:r>
      <w:r>
        <w:fldChar w:fldCharType="begin"/>
      </w:r>
      <w:r>
        <w:instrText xml:space="preserve"> NOTEREF _Ref82602583 \h </w:instrText>
      </w:r>
      <w:r>
        <w:fldChar w:fldCharType="separate"/>
      </w:r>
      <w:r>
        <w:t>128</w:t>
      </w:r>
      <w:r>
        <w:fldChar w:fldCharType="end"/>
      </w:r>
      <w:r>
        <w:t xml:space="preserve"> at 41, </w:t>
      </w:r>
      <w:r w:rsidRPr="00C057E8">
        <w:t>who observe that the meaning of ‘loss or injury’ under CPPA “[was] a topic of much debate.”</w:t>
      </w:r>
      <w:r>
        <w:t xml:space="preserve"> </w:t>
      </w:r>
      <w:r w:rsidRPr="00C057E8">
        <w:t xml:space="preserve">But note too our discussion, in </w:t>
      </w:r>
      <w:r>
        <w:t xml:space="preserve">Part One, Section </w:t>
      </w:r>
      <w:r w:rsidRPr="00C057E8">
        <w:t>I(C)</w:t>
      </w:r>
      <w:r>
        <w:t xml:space="preserve">, </w:t>
      </w:r>
      <w:r w:rsidRPr="0045438C">
        <w:t xml:space="preserve">published in </w:t>
      </w:r>
      <w:r>
        <w:rPr>
          <w:color w:val="222222"/>
          <w:shd w:val="clear" w:color="auto" w:fill="FFFFFF"/>
        </w:rPr>
        <w:t xml:space="preserve">52 </w:t>
      </w:r>
      <w:proofErr w:type="spellStart"/>
      <w:r>
        <w:rPr>
          <w:color w:val="222222"/>
          <w:shd w:val="clear" w:color="auto" w:fill="FFFFFF"/>
        </w:rPr>
        <w:t>Adv</w:t>
      </w:r>
      <w:proofErr w:type="spellEnd"/>
      <w:r>
        <w:rPr>
          <w:color w:val="222222"/>
          <w:shd w:val="clear" w:color="auto" w:fill="FFFFFF"/>
        </w:rPr>
        <w:t xml:space="preserve"> Q 427 (2022)</w:t>
      </w:r>
      <w:r>
        <w:t>,</w:t>
      </w:r>
      <w:r w:rsidRPr="00C057E8">
        <w:t xml:space="preserve"> regarding the meaning of 'loss or injury' according to the case law.</w:t>
      </w:r>
    </w:p>
  </w:footnote>
  <w:footnote w:id="134">
    <w:p w14:paraId="62028B7B" w14:textId="5E6198C9" w:rsidR="0045438C" w:rsidRPr="00E64595" w:rsidRDefault="0045438C" w:rsidP="007A298F">
      <w:pPr>
        <w:pStyle w:val="FootnoteText"/>
        <w:rPr>
          <w:lang w:val="en-US"/>
        </w:rPr>
      </w:pPr>
      <w:r>
        <w:rPr>
          <w:rStyle w:val="FootnoteReference"/>
        </w:rPr>
        <w:footnoteRef/>
      </w:r>
      <w:r>
        <w:t xml:space="preserve"> </w:t>
      </w:r>
      <w:r>
        <w:rPr>
          <w:lang w:val="en-US"/>
        </w:rPr>
        <w:t xml:space="preserve">See discussion, </w:t>
      </w:r>
      <w:r>
        <w:rPr>
          <w:i/>
          <w:iCs/>
          <w:lang w:val="en-US"/>
        </w:rPr>
        <w:t>supra</w:t>
      </w:r>
      <w:r>
        <w:rPr>
          <w:lang w:val="en-US"/>
        </w:rPr>
        <w:t>, Section I(B).</w:t>
      </w:r>
    </w:p>
  </w:footnote>
  <w:footnote w:id="135">
    <w:p w14:paraId="1AD1D259" w14:textId="063F181D" w:rsidR="0045438C" w:rsidRPr="00E64595" w:rsidRDefault="0045438C">
      <w:pPr>
        <w:pStyle w:val="FootnoteText"/>
        <w:rPr>
          <w:lang w:val="en-US"/>
        </w:rPr>
      </w:pPr>
      <w:r>
        <w:rPr>
          <w:rStyle w:val="FootnoteReference"/>
        </w:rPr>
        <w:footnoteRef/>
      </w:r>
      <w:r>
        <w:t xml:space="preserve"> </w:t>
      </w:r>
      <w:r w:rsidRPr="00E64595">
        <w:rPr>
          <w:i/>
          <w:iCs/>
          <w:lang w:val="en-US"/>
        </w:rPr>
        <w:t>Supra</w:t>
      </w:r>
      <w:r>
        <w:rPr>
          <w:lang w:val="en-US"/>
        </w:rPr>
        <w:t xml:space="preserve"> note </w:t>
      </w:r>
      <w:r>
        <w:rPr>
          <w:lang w:val="en-US"/>
        </w:rPr>
        <w:fldChar w:fldCharType="begin"/>
      </w:r>
      <w:r>
        <w:rPr>
          <w:lang w:val="en-US"/>
        </w:rPr>
        <w:instrText xml:space="preserve"> NOTEREF _Ref81149533 \h </w:instrText>
      </w:r>
      <w:r>
        <w:rPr>
          <w:lang w:val="en-US"/>
        </w:rPr>
      </w:r>
      <w:r>
        <w:rPr>
          <w:lang w:val="en-US"/>
        </w:rPr>
        <w:fldChar w:fldCharType="separate"/>
      </w:r>
      <w:r>
        <w:rPr>
          <w:lang w:val="en-US"/>
        </w:rPr>
        <w:t>82</w:t>
      </w:r>
      <w:r>
        <w:rPr>
          <w:lang w:val="en-US"/>
        </w:rPr>
        <w:fldChar w:fldCharType="end"/>
      </w:r>
      <w:r>
        <w:rPr>
          <w:lang w:val="en-US"/>
        </w:rPr>
        <w:t>.</w:t>
      </w:r>
    </w:p>
  </w:footnote>
  <w:footnote w:id="136">
    <w:p w14:paraId="0533AAC8" w14:textId="4DF11B13" w:rsidR="0045438C" w:rsidRPr="003E1E87" w:rsidRDefault="0045438C">
      <w:pPr>
        <w:pStyle w:val="FootnoteText"/>
      </w:pPr>
      <w:r w:rsidRPr="003E1E87">
        <w:rPr>
          <w:rStyle w:val="FootnoteReference"/>
        </w:rPr>
        <w:footnoteRef/>
      </w:r>
      <w:r w:rsidRPr="003E1E87">
        <w:t xml:space="preserve"> Cromwell, </w:t>
      </w:r>
      <w:r w:rsidRPr="003E1E87">
        <w:rPr>
          <w:i/>
          <w:iCs/>
        </w:rPr>
        <w:t xml:space="preserve">supra </w:t>
      </w:r>
      <w:r w:rsidRPr="003E1E87">
        <w:t xml:space="preserve">note </w:t>
      </w:r>
      <w:r>
        <w:fldChar w:fldCharType="begin"/>
      </w:r>
      <w:r>
        <w:instrText xml:space="preserve"> NOTEREF _Ref78154037 \h </w:instrText>
      </w:r>
      <w:r>
        <w:fldChar w:fldCharType="separate"/>
      </w:r>
      <w:r>
        <w:t>13</w:t>
      </w:r>
      <w:r>
        <w:fldChar w:fldCharType="end"/>
      </w:r>
      <w:r w:rsidRPr="003E1E87">
        <w:t xml:space="preserve"> at I-26. </w:t>
      </w:r>
    </w:p>
  </w:footnote>
  <w:footnote w:id="137">
    <w:p w14:paraId="388A6599" w14:textId="10C0F77B" w:rsidR="0045438C" w:rsidRPr="003E1E87" w:rsidRDefault="0045438C">
      <w:pPr>
        <w:pStyle w:val="FootnoteText"/>
      </w:pPr>
      <w:r w:rsidRPr="003E1E87">
        <w:rPr>
          <w:rStyle w:val="FootnoteReference"/>
        </w:rPr>
        <w:footnoteRef/>
      </w:r>
      <w:r w:rsidRPr="003E1E87">
        <w:t xml:space="preserve"> </w:t>
      </w:r>
      <w:r w:rsidRPr="003E1E87">
        <w:rPr>
          <w:i/>
          <w:iCs/>
        </w:rPr>
        <w:t xml:space="preserve">Ibid </w:t>
      </w:r>
      <w:r w:rsidRPr="003E1E87">
        <w:t>I-17.</w:t>
      </w:r>
    </w:p>
  </w:footnote>
  <w:footnote w:id="138">
    <w:p w14:paraId="1FC044C2" w14:textId="16A3695B" w:rsidR="0045438C" w:rsidRPr="003E1E87" w:rsidRDefault="0045438C">
      <w:pPr>
        <w:pStyle w:val="FootnoteText"/>
      </w:pPr>
      <w:r w:rsidRPr="003E1E87">
        <w:rPr>
          <w:rStyle w:val="FootnoteReference"/>
        </w:rPr>
        <w:footnoteRef/>
      </w:r>
      <w:r w:rsidRPr="003E1E87">
        <w:t xml:space="preserve"> </w:t>
      </w:r>
      <w:r w:rsidRPr="003E1E87">
        <w:rPr>
          <w:i/>
          <w:iCs/>
        </w:rPr>
        <w:t>Ibid</w:t>
      </w:r>
      <w:r w:rsidRPr="003E1E87">
        <w:t xml:space="preserve"> at I-20.</w:t>
      </w:r>
    </w:p>
  </w:footnote>
  <w:footnote w:id="139">
    <w:p w14:paraId="20144005" w14:textId="58D593E8" w:rsidR="0045438C" w:rsidRPr="00D31F9D" w:rsidRDefault="0045438C">
      <w:pPr>
        <w:pStyle w:val="FootnoteText"/>
      </w:pPr>
      <w:r w:rsidRPr="003E1E87">
        <w:rPr>
          <w:rStyle w:val="FootnoteReference"/>
        </w:rPr>
        <w:footnoteRef/>
      </w:r>
      <w:r w:rsidRPr="00D31F9D">
        <w:t xml:space="preserve"> </w:t>
      </w:r>
      <w:proofErr w:type="spellStart"/>
      <w:r w:rsidRPr="003E1E87">
        <w:rPr>
          <w:i/>
          <w:iCs/>
        </w:rPr>
        <w:t>Somwar</w:t>
      </w:r>
      <w:proofErr w:type="spellEnd"/>
      <w:r w:rsidRPr="003E1E87">
        <w:rPr>
          <w:i/>
          <w:iCs/>
        </w:rPr>
        <w:t xml:space="preserve"> v McDonald’s Restaurants of Canada Ltd</w:t>
      </w:r>
      <w:r w:rsidRPr="003E1E87">
        <w:t>, 2006 CanLII 20</w:t>
      </w:r>
      <w:r>
        <w:t>2 (ON SC); 2006 79 OR (3d) 172 a</w:t>
      </w:r>
      <w:r w:rsidRPr="00D31F9D">
        <w:t xml:space="preserve">t para 27. </w:t>
      </w:r>
    </w:p>
  </w:footnote>
  <w:footnote w:id="140">
    <w:p w14:paraId="545E3A94" w14:textId="25FB1418" w:rsidR="0045438C" w:rsidRPr="00753425" w:rsidRDefault="0045438C" w:rsidP="00AB57E3">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Nammo</w:t>
      </w:r>
      <w:proofErr w:type="spellEnd"/>
      <w:r w:rsidRPr="00753425">
        <w:rPr>
          <w:i/>
          <w:iCs/>
          <w:lang w:val="es-ES"/>
        </w:rPr>
        <w:t xml:space="preserve">, </w:t>
      </w:r>
      <w:r w:rsidRPr="00753425">
        <w:rPr>
          <w:lang w:val="es-ES"/>
        </w:rPr>
        <w:t>supra note</w:t>
      </w:r>
      <w:r w:rsidRPr="00D31F9D">
        <w:rPr>
          <w:lang w:val="es-ES"/>
        </w:rPr>
        <w:t xml:space="preserve"> </w:t>
      </w:r>
      <w:r>
        <w:fldChar w:fldCharType="begin"/>
      </w:r>
      <w:r w:rsidRPr="00D31F9D">
        <w:rPr>
          <w:lang w:val="es-ES"/>
        </w:rPr>
        <w:instrText xml:space="preserve"> NOTEREF _Ref82597430 \h </w:instrText>
      </w:r>
      <w:r>
        <w:fldChar w:fldCharType="separate"/>
      </w:r>
      <w:r>
        <w:rPr>
          <w:lang w:val="es-ES"/>
        </w:rPr>
        <w:t>3</w:t>
      </w:r>
      <w:r>
        <w:fldChar w:fldCharType="end"/>
      </w:r>
      <w:r w:rsidRPr="00753425">
        <w:rPr>
          <w:lang w:val="es-ES"/>
        </w:rPr>
        <w:t>,</w:t>
      </w:r>
      <w:r w:rsidRPr="00753425">
        <w:rPr>
          <w:i/>
          <w:iCs/>
          <w:lang w:val="es-ES"/>
        </w:rPr>
        <w:t xml:space="preserve"> </w:t>
      </w:r>
      <w:r w:rsidRPr="00753425">
        <w:rPr>
          <w:lang w:val="es-ES"/>
        </w:rPr>
        <w:t>at para 74</w:t>
      </w:r>
    </w:p>
  </w:footnote>
  <w:footnote w:id="141">
    <w:p w14:paraId="5679A0DD" w14:textId="227D1446" w:rsidR="0045438C" w:rsidRPr="00753425" w:rsidRDefault="0045438C" w:rsidP="00E55ADD">
      <w:pPr>
        <w:pStyle w:val="FootnoteText"/>
        <w:rPr>
          <w:lang w:val="es-ES"/>
        </w:rPr>
      </w:pPr>
      <w:r w:rsidRPr="003E1E87">
        <w:rPr>
          <w:rStyle w:val="FootnoteReference"/>
        </w:rPr>
        <w:footnoteRef/>
      </w:r>
      <w:r w:rsidRPr="00753425">
        <w:rPr>
          <w:lang w:val="es-ES"/>
        </w:rPr>
        <w:t xml:space="preserve"> </w:t>
      </w:r>
      <w:proofErr w:type="spellStart"/>
      <w:r>
        <w:rPr>
          <w:i/>
          <w:iCs/>
          <w:lang w:val="es-ES"/>
        </w:rPr>
        <w:t>Miglialo</w:t>
      </w:r>
      <w:proofErr w:type="spellEnd"/>
      <w:r w:rsidRPr="00753425">
        <w:rPr>
          <w:i/>
          <w:iCs/>
          <w:lang w:val="es-ES"/>
        </w:rPr>
        <w:t>, supra note</w:t>
      </w:r>
      <w:r w:rsidRPr="00753425">
        <w:rPr>
          <w:lang w:val="es-ES"/>
        </w:rPr>
        <w:t xml:space="preserve"> </w:t>
      </w:r>
      <w:r>
        <w:fldChar w:fldCharType="begin"/>
      </w:r>
      <w:r w:rsidRPr="00753425">
        <w:rPr>
          <w:lang w:val="es-ES"/>
        </w:rPr>
        <w:instrText xml:space="preserve"> NOTEREF _Ref78154556 \h </w:instrText>
      </w:r>
      <w:r>
        <w:fldChar w:fldCharType="separate"/>
      </w:r>
      <w:r>
        <w:rPr>
          <w:lang w:val="es-ES"/>
        </w:rPr>
        <w:t>45</w:t>
      </w:r>
      <w:r>
        <w:fldChar w:fldCharType="end"/>
      </w:r>
      <w:r w:rsidRPr="00753425">
        <w:rPr>
          <w:lang w:val="es-ES"/>
        </w:rPr>
        <w:t>, at para 48.</w:t>
      </w:r>
    </w:p>
  </w:footnote>
  <w:footnote w:id="142">
    <w:p w14:paraId="131D1EB9" w14:textId="77AD1A24" w:rsidR="0045438C" w:rsidRPr="003E1E87" w:rsidRDefault="0045438C">
      <w:pPr>
        <w:pStyle w:val="FootnoteText"/>
      </w:pPr>
      <w:r w:rsidRPr="003E1E87">
        <w:rPr>
          <w:rStyle w:val="FootnoteReference"/>
        </w:rPr>
        <w:footnoteRef/>
      </w:r>
      <w:r w:rsidRPr="003E1E87">
        <w:t xml:space="preserve"> </w:t>
      </w:r>
      <w:r w:rsidRPr="003E1E87">
        <w:rPr>
          <w:i/>
          <w:iCs/>
        </w:rPr>
        <w:t xml:space="preserve">Ward, supra </w:t>
      </w:r>
      <w:r w:rsidRPr="003E1E87">
        <w:t>note</w:t>
      </w:r>
      <w:r>
        <w:t xml:space="preserve"> </w:t>
      </w:r>
      <w:r>
        <w:fldChar w:fldCharType="begin"/>
      </w:r>
      <w:r>
        <w:instrText xml:space="preserve"> NOTEREF _Ref82598349 \h </w:instrText>
      </w:r>
      <w:r>
        <w:fldChar w:fldCharType="separate"/>
      </w:r>
      <w:r>
        <w:t>11</w:t>
      </w:r>
      <w:r>
        <w:fldChar w:fldCharType="end"/>
      </w:r>
      <w:r w:rsidRPr="003E1E87">
        <w:t>, at para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68945"/>
      <w:docPartObj>
        <w:docPartGallery w:val="Page Numbers (Top of Page)"/>
        <w:docPartUnique/>
      </w:docPartObj>
    </w:sdtPr>
    <w:sdtEndPr>
      <w:rPr>
        <w:noProof/>
      </w:rPr>
    </w:sdtEndPr>
    <w:sdtContent>
      <w:p w14:paraId="70BFA300" w14:textId="231D6C1B" w:rsidR="0045438C" w:rsidRDefault="0045438C">
        <w:pPr>
          <w:pStyle w:val="Header"/>
          <w:jc w:val="right"/>
        </w:pPr>
        <w:r>
          <w:fldChar w:fldCharType="begin"/>
        </w:r>
        <w:r>
          <w:instrText xml:space="preserve"> PAGE   \* MERGEFORMAT </w:instrText>
        </w:r>
        <w:r>
          <w:fldChar w:fldCharType="separate"/>
        </w:r>
        <w:r w:rsidR="00E932DF">
          <w:rPr>
            <w:noProof/>
          </w:rPr>
          <w:t>33</w:t>
        </w:r>
        <w:r>
          <w:rPr>
            <w:noProof/>
          </w:rPr>
          <w:fldChar w:fldCharType="end"/>
        </w:r>
      </w:p>
    </w:sdtContent>
  </w:sdt>
  <w:p w14:paraId="131E0E6F" w14:textId="04349FD3" w:rsidR="000070C4" w:rsidRDefault="000070C4" w:rsidP="000070C4">
    <w:pPr>
      <w:pStyle w:val="Header"/>
      <w:jc w:val="center"/>
      <w:rPr>
        <w:sz w:val="20"/>
        <w:szCs w:val="20"/>
      </w:rPr>
    </w:pPr>
    <w:r w:rsidRPr="00047143">
      <w:rPr>
        <w:sz w:val="20"/>
        <w:szCs w:val="20"/>
      </w:rPr>
      <w:t xml:space="preserve">This is a pre-copy edited, post-peer reviewed version of the manuscript accepted for publication in </w:t>
    </w:r>
    <w:r>
      <w:rPr>
        <w:sz w:val="20"/>
        <w:szCs w:val="20"/>
      </w:rPr>
      <w:t>the June 2022 issue of The Advocates’ Quarterly.</w:t>
    </w:r>
  </w:p>
  <w:p w14:paraId="225033C1" w14:textId="4B4D5B70" w:rsidR="0045438C" w:rsidRDefault="000070C4" w:rsidP="000070C4">
    <w:pPr>
      <w:pStyle w:val="Header"/>
      <w:jc w:val="center"/>
      <w:rPr>
        <w:sz w:val="20"/>
        <w:szCs w:val="20"/>
      </w:rPr>
    </w:pPr>
    <w:r w:rsidRPr="00047143">
      <w:rPr>
        <w:sz w:val="20"/>
        <w:szCs w:val="20"/>
      </w:rPr>
      <w:t>Reproduced by permission of Thomson Reuters Canada Limited.</w:t>
    </w:r>
  </w:p>
  <w:p w14:paraId="71B9A4B6" w14:textId="77777777" w:rsidR="000070C4" w:rsidRDefault="000070C4" w:rsidP="000070C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4AB"/>
    <w:multiLevelType w:val="hybridMultilevel"/>
    <w:tmpl w:val="3C6EDCC2"/>
    <w:lvl w:ilvl="0" w:tplc="8422882E">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A560D6"/>
    <w:multiLevelType w:val="hybridMultilevel"/>
    <w:tmpl w:val="3CFE373E"/>
    <w:lvl w:ilvl="0" w:tplc="38B042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99D494A"/>
    <w:multiLevelType w:val="hybridMultilevel"/>
    <w:tmpl w:val="6C544A8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B5088"/>
    <w:multiLevelType w:val="hybridMultilevel"/>
    <w:tmpl w:val="BB96FEE0"/>
    <w:lvl w:ilvl="0" w:tplc="7F92781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A526F7"/>
    <w:multiLevelType w:val="hybridMultilevel"/>
    <w:tmpl w:val="436290BA"/>
    <w:lvl w:ilvl="0" w:tplc="40F2E994">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654BC7"/>
    <w:multiLevelType w:val="hybridMultilevel"/>
    <w:tmpl w:val="0102E20A"/>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B224A1"/>
    <w:multiLevelType w:val="hybridMultilevel"/>
    <w:tmpl w:val="7CF0A386"/>
    <w:lvl w:ilvl="0" w:tplc="C14E6AF6">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4E0662"/>
    <w:multiLevelType w:val="hybridMultilevel"/>
    <w:tmpl w:val="399A4EF8"/>
    <w:lvl w:ilvl="0" w:tplc="EEFA990E">
      <w:start w:val="2"/>
      <w:numFmt w:val="upp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AF7673"/>
    <w:multiLevelType w:val="hybridMultilevel"/>
    <w:tmpl w:val="83A6E760"/>
    <w:lvl w:ilvl="0" w:tplc="F78A28CC">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0328A7"/>
    <w:multiLevelType w:val="hybridMultilevel"/>
    <w:tmpl w:val="7AE884AC"/>
    <w:lvl w:ilvl="0" w:tplc="5D1EC120">
      <w:start w:val="1"/>
      <w:numFmt w:val="decimal"/>
      <w:lvlText w:val="%1."/>
      <w:lvlJc w:val="left"/>
      <w:pPr>
        <w:ind w:left="1080" w:hanging="360"/>
      </w:pPr>
      <w:rPr>
        <w:rFonts w:ascii="Arial" w:eastAsiaTheme="minorHAns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ADA0C20"/>
    <w:multiLevelType w:val="hybridMultilevel"/>
    <w:tmpl w:val="3676BC48"/>
    <w:lvl w:ilvl="0" w:tplc="0CE29B60">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FAA1BA7"/>
    <w:multiLevelType w:val="hybridMultilevel"/>
    <w:tmpl w:val="2738F12C"/>
    <w:lvl w:ilvl="0" w:tplc="6242FC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E45DDB"/>
    <w:multiLevelType w:val="hybridMultilevel"/>
    <w:tmpl w:val="721036D4"/>
    <w:lvl w:ilvl="0" w:tplc="8B9A086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04134F"/>
    <w:multiLevelType w:val="multilevel"/>
    <w:tmpl w:val="BF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27F99"/>
    <w:multiLevelType w:val="hybridMultilevel"/>
    <w:tmpl w:val="D7DA7898"/>
    <w:lvl w:ilvl="0" w:tplc="FA1A44A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DF7A62"/>
    <w:multiLevelType w:val="hybridMultilevel"/>
    <w:tmpl w:val="F702A99C"/>
    <w:lvl w:ilvl="0" w:tplc="E8801C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F46068"/>
    <w:multiLevelType w:val="hybridMultilevel"/>
    <w:tmpl w:val="A230932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084863"/>
    <w:multiLevelType w:val="hybridMultilevel"/>
    <w:tmpl w:val="8A8E00B0"/>
    <w:lvl w:ilvl="0" w:tplc="8E2E237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8A77B2"/>
    <w:multiLevelType w:val="hybridMultilevel"/>
    <w:tmpl w:val="189437A0"/>
    <w:lvl w:ilvl="0" w:tplc="C4C67D7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697A6E"/>
    <w:multiLevelType w:val="hybridMultilevel"/>
    <w:tmpl w:val="8574296C"/>
    <w:lvl w:ilvl="0" w:tplc="2188C732">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8AC5D6C"/>
    <w:multiLevelType w:val="hybridMultilevel"/>
    <w:tmpl w:val="E892D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792469"/>
    <w:multiLevelType w:val="hybridMultilevel"/>
    <w:tmpl w:val="AD4E0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9627CC"/>
    <w:multiLevelType w:val="hybridMultilevel"/>
    <w:tmpl w:val="6BC496C0"/>
    <w:lvl w:ilvl="0" w:tplc="FCBAEF7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9"/>
  </w:num>
  <w:num w:numId="3">
    <w:abstractNumId w:val="20"/>
  </w:num>
  <w:num w:numId="4">
    <w:abstractNumId w:val="5"/>
  </w:num>
  <w:num w:numId="5">
    <w:abstractNumId w:val="2"/>
  </w:num>
  <w:num w:numId="6">
    <w:abstractNumId w:val="1"/>
  </w:num>
  <w:num w:numId="7">
    <w:abstractNumId w:val="16"/>
  </w:num>
  <w:num w:numId="8">
    <w:abstractNumId w:val="10"/>
  </w:num>
  <w:num w:numId="9">
    <w:abstractNumId w:val="21"/>
  </w:num>
  <w:num w:numId="10">
    <w:abstractNumId w:val="18"/>
  </w:num>
  <w:num w:numId="11">
    <w:abstractNumId w:val="6"/>
  </w:num>
  <w:num w:numId="12">
    <w:abstractNumId w:val="14"/>
  </w:num>
  <w:num w:numId="13">
    <w:abstractNumId w:val="22"/>
  </w:num>
  <w:num w:numId="14">
    <w:abstractNumId w:val="15"/>
  </w:num>
  <w:num w:numId="15">
    <w:abstractNumId w:val="19"/>
  </w:num>
  <w:num w:numId="16">
    <w:abstractNumId w:val="17"/>
  </w:num>
  <w:num w:numId="17">
    <w:abstractNumId w:val="7"/>
  </w:num>
  <w:num w:numId="18">
    <w:abstractNumId w:val="3"/>
  </w:num>
  <w:num w:numId="19">
    <w:abstractNumId w:val="12"/>
  </w:num>
  <w:num w:numId="20">
    <w:abstractNumId w:val="8"/>
  </w:num>
  <w:num w:numId="21">
    <w:abstractNumId w:val="13"/>
  </w:num>
  <w:num w:numId="22">
    <w:abstractNumId w:val="4"/>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CA"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FA"/>
    <w:rsid w:val="000009F3"/>
    <w:rsid w:val="00001634"/>
    <w:rsid w:val="00001B6D"/>
    <w:rsid w:val="00002809"/>
    <w:rsid w:val="0000297C"/>
    <w:rsid w:val="000033A6"/>
    <w:rsid w:val="000047DA"/>
    <w:rsid w:val="00005204"/>
    <w:rsid w:val="00005C05"/>
    <w:rsid w:val="00006553"/>
    <w:rsid w:val="000068EE"/>
    <w:rsid w:val="000070C4"/>
    <w:rsid w:val="000077A6"/>
    <w:rsid w:val="00012569"/>
    <w:rsid w:val="00012757"/>
    <w:rsid w:val="00012783"/>
    <w:rsid w:val="00015204"/>
    <w:rsid w:val="0001611C"/>
    <w:rsid w:val="000164B3"/>
    <w:rsid w:val="000171A1"/>
    <w:rsid w:val="00020233"/>
    <w:rsid w:val="000208B8"/>
    <w:rsid w:val="00020AB3"/>
    <w:rsid w:val="000212BF"/>
    <w:rsid w:val="00021329"/>
    <w:rsid w:val="00021953"/>
    <w:rsid w:val="00024FCB"/>
    <w:rsid w:val="00025EF5"/>
    <w:rsid w:val="00027139"/>
    <w:rsid w:val="0002756A"/>
    <w:rsid w:val="00030101"/>
    <w:rsid w:val="0003029A"/>
    <w:rsid w:val="00031E4E"/>
    <w:rsid w:val="00031E8F"/>
    <w:rsid w:val="00031EA3"/>
    <w:rsid w:val="00032266"/>
    <w:rsid w:val="00033112"/>
    <w:rsid w:val="00034830"/>
    <w:rsid w:val="00036E74"/>
    <w:rsid w:val="000375FE"/>
    <w:rsid w:val="000400F3"/>
    <w:rsid w:val="00041220"/>
    <w:rsid w:val="00041346"/>
    <w:rsid w:val="00041539"/>
    <w:rsid w:val="00042689"/>
    <w:rsid w:val="00042734"/>
    <w:rsid w:val="000429BF"/>
    <w:rsid w:val="00044D8F"/>
    <w:rsid w:val="00044DCE"/>
    <w:rsid w:val="00045085"/>
    <w:rsid w:val="00045157"/>
    <w:rsid w:val="00050302"/>
    <w:rsid w:val="000507AA"/>
    <w:rsid w:val="000513E1"/>
    <w:rsid w:val="00052CCE"/>
    <w:rsid w:val="000538E6"/>
    <w:rsid w:val="00055A0C"/>
    <w:rsid w:val="00060A48"/>
    <w:rsid w:val="00060C7C"/>
    <w:rsid w:val="000618B2"/>
    <w:rsid w:val="00062AAA"/>
    <w:rsid w:val="00062C12"/>
    <w:rsid w:val="000638BC"/>
    <w:rsid w:val="00064EDA"/>
    <w:rsid w:val="000650FB"/>
    <w:rsid w:val="00066054"/>
    <w:rsid w:val="00066166"/>
    <w:rsid w:val="000662EA"/>
    <w:rsid w:val="00067652"/>
    <w:rsid w:val="00070067"/>
    <w:rsid w:val="00070B23"/>
    <w:rsid w:val="00072A9A"/>
    <w:rsid w:val="00073946"/>
    <w:rsid w:val="00073FCC"/>
    <w:rsid w:val="0007528D"/>
    <w:rsid w:val="00075D8B"/>
    <w:rsid w:val="000769E5"/>
    <w:rsid w:val="00077140"/>
    <w:rsid w:val="00077162"/>
    <w:rsid w:val="000800CD"/>
    <w:rsid w:val="00080EA7"/>
    <w:rsid w:val="000827C5"/>
    <w:rsid w:val="0008331A"/>
    <w:rsid w:val="00083AAD"/>
    <w:rsid w:val="00086353"/>
    <w:rsid w:val="000865D7"/>
    <w:rsid w:val="00086E72"/>
    <w:rsid w:val="0008777F"/>
    <w:rsid w:val="000877AA"/>
    <w:rsid w:val="00087F63"/>
    <w:rsid w:val="00090E6A"/>
    <w:rsid w:val="0009122E"/>
    <w:rsid w:val="00092D58"/>
    <w:rsid w:val="00093472"/>
    <w:rsid w:val="00094369"/>
    <w:rsid w:val="0009581F"/>
    <w:rsid w:val="0009623A"/>
    <w:rsid w:val="000A0AC5"/>
    <w:rsid w:val="000A14ED"/>
    <w:rsid w:val="000A20FE"/>
    <w:rsid w:val="000A2E4A"/>
    <w:rsid w:val="000A324F"/>
    <w:rsid w:val="000A4187"/>
    <w:rsid w:val="000A438B"/>
    <w:rsid w:val="000A4BAD"/>
    <w:rsid w:val="000A55EC"/>
    <w:rsid w:val="000B0A60"/>
    <w:rsid w:val="000B0B45"/>
    <w:rsid w:val="000B1C12"/>
    <w:rsid w:val="000B1D41"/>
    <w:rsid w:val="000B2193"/>
    <w:rsid w:val="000B3D70"/>
    <w:rsid w:val="000B5E04"/>
    <w:rsid w:val="000B668E"/>
    <w:rsid w:val="000B7DE6"/>
    <w:rsid w:val="000C12D8"/>
    <w:rsid w:val="000C1396"/>
    <w:rsid w:val="000C17A3"/>
    <w:rsid w:val="000C1847"/>
    <w:rsid w:val="000C37FC"/>
    <w:rsid w:val="000C4CA0"/>
    <w:rsid w:val="000C509D"/>
    <w:rsid w:val="000C51F9"/>
    <w:rsid w:val="000C5547"/>
    <w:rsid w:val="000C6634"/>
    <w:rsid w:val="000C78F6"/>
    <w:rsid w:val="000C7E60"/>
    <w:rsid w:val="000D05D6"/>
    <w:rsid w:val="000D208A"/>
    <w:rsid w:val="000D3C45"/>
    <w:rsid w:val="000D40CE"/>
    <w:rsid w:val="000D4605"/>
    <w:rsid w:val="000D4729"/>
    <w:rsid w:val="000D489E"/>
    <w:rsid w:val="000D62C2"/>
    <w:rsid w:val="000D6AB7"/>
    <w:rsid w:val="000D6D20"/>
    <w:rsid w:val="000D7C8B"/>
    <w:rsid w:val="000E130A"/>
    <w:rsid w:val="000E1C29"/>
    <w:rsid w:val="000E230D"/>
    <w:rsid w:val="000E31B1"/>
    <w:rsid w:val="000E31BD"/>
    <w:rsid w:val="000E3B73"/>
    <w:rsid w:val="000E43BE"/>
    <w:rsid w:val="000E44CD"/>
    <w:rsid w:val="000E59D7"/>
    <w:rsid w:val="000E6B07"/>
    <w:rsid w:val="000E7593"/>
    <w:rsid w:val="000E7A3F"/>
    <w:rsid w:val="000E7BB0"/>
    <w:rsid w:val="000F0219"/>
    <w:rsid w:val="000F1345"/>
    <w:rsid w:val="000F15A8"/>
    <w:rsid w:val="000F1651"/>
    <w:rsid w:val="000F2185"/>
    <w:rsid w:val="000F219D"/>
    <w:rsid w:val="000F234B"/>
    <w:rsid w:val="000F3143"/>
    <w:rsid w:val="000F4A23"/>
    <w:rsid w:val="000F5214"/>
    <w:rsid w:val="000F572C"/>
    <w:rsid w:val="00100A41"/>
    <w:rsid w:val="00100AE2"/>
    <w:rsid w:val="00102A5A"/>
    <w:rsid w:val="00102BB4"/>
    <w:rsid w:val="00102FDD"/>
    <w:rsid w:val="001032B8"/>
    <w:rsid w:val="001061B4"/>
    <w:rsid w:val="0011029B"/>
    <w:rsid w:val="0011110E"/>
    <w:rsid w:val="001112EF"/>
    <w:rsid w:val="00112207"/>
    <w:rsid w:val="00112D37"/>
    <w:rsid w:val="001132B3"/>
    <w:rsid w:val="0011408D"/>
    <w:rsid w:val="0011426F"/>
    <w:rsid w:val="00114745"/>
    <w:rsid w:val="00115DCC"/>
    <w:rsid w:val="00115E76"/>
    <w:rsid w:val="00116B0A"/>
    <w:rsid w:val="00117213"/>
    <w:rsid w:val="001172C5"/>
    <w:rsid w:val="00117DF6"/>
    <w:rsid w:val="001205E1"/>
    <w:rsid w:val="0012088E"/>
    <w:rsid w:val="00122198"/>
    <w:rsid w:val="001224D9"/>
    <w:rsid w:val="0012337B"/>
    <w:rsid w:val="00123A95"/>
    <w:rsid w:val="00123C97"/>
    <w:rsid w:val="00125BFF"/>
    <w:rsid w:val="0012678A"/>
    <w:rsid w:val="00126BA4"/>
    <w:rsid w:val="00127638"/>
    <w:rsid w:val="00130DE3"/>
    <w:rsid w:val="00131887"/>
    <w:rsid w:val="001331BE"/>
    <w:rsid w:val="001343C7"/>
    <w:rsid w:val="0013561F"/>
    <w:rsid w:val="001356D3"/>
    <w:rsid w:val="00136793"/>
    <w:rsid w:val="00136B55"/>
    <w:rsid w:val="00136D1B"/>
    <w:rsid w:val="0014052D"/>
    <w:rsid w:val="00140575"/>
    <w:rsid w:val="00141338"/>
    <w:rsid w:val="00143EBC"/>
    <w:rsid w:val="0014532A"/>
    <w:rsid w:val="00145340"/>
    <w:rsid w:val="00145752"/>
    <w:rsid w:val="00145A02"/>
    <w:rsid w:val="00145B24"/>
    <w:rsid w:val="001460AE"/>
    <w:rsid w:val="0014730D"/>
    <w:rsid w:val="00147BD5"/>
    <w:rsid w:val="00147D62"/>
    <w:rsid w:val="001504BA"/>
    <w:rsid w:val="00151025"/>
    <w:rsid w:val="00152365"/>
    <w:rsid w:val="0015555C"/>
    <w:rsid w:val="00160BA9"/>
    <w:rsid w:val="00161586"/>
    <w:rsid w:val="001618B4"/>
    <w:rsid w:val="00161BDC"/>
    <w:rsid w:val="00162109"/>
    <w:rsid w:val="001636E0"/>
    <w:rsid w:val="00163A2E"/>
    <w:rsid w:val="00164207"/>
    <w:rsid w:val="00164A5C"/>
    <w:rsid w:val="00164C96"/>
    <w:rsid w:val="00164EAE"/>
    <w:rsid w:val="001650CD"/>
    <w:rsid w:val="001669FB"/>
    <w:rsid w:val="001672D3"/>
    <w:rsid w:val="001676D1"/>
    <w:rsid w:val="001706BE"/>
    <w:rsid w:val="00170AC8"/>
    <w:rsid w:val="00172258"/>
    <w:rsid w:val="001753F4"/>
    <w:rsid w:val="00175973"/>
    <w:rsid w:val="0017703C"/>
    <w:rsid w:val="0017771D"/>
    <w:rsid w:val="00177C2F"/>
    <w:rsid w:val="001807F4"/>
    <w:rsid w:val="00180F38"/>
    <w:rsid w:val="0018154B"/>
    <w:rsid w:val="00181947"/>
    <w:rsid w:val="00184324"/>
    <w:rsid w:val="00185037"/>
    <w:rsid w:val="00185967"/>
    <w:rsid w:val="00186258"/>
    <w:rsid w:val="001865FB"/>
    <w:rsid w:val="00187380"/>
    <w:rsid w:val="00187922"/>
    <w:rsid w:val="00187AC9"/>
    <w:rsid w:val="00187BA4"/>
    <w:rsid w:val="0019084D"/>
    <w:rsid w:val="00191092"/>
    <w:rsid w:val="00192056"/>
    <w:rsid w:val="00192217"/>
    <w:rsid w:val="0019517B"/>
    <w:rsid w:val="00196955"/>
    <w:rsid w:val="001A0BF1"/>
    <w:rsid w:val="001A2373"/>
    <w:rsid w:val="001A2652"/>
    <w:rsid w:val="001A26E8"/>
    <w:rsid w:val="001A2EAC"/>
    <w:rsid w:val="001A61BD"/>
    <w:rsid w:val="001A681C"/>
    <w:rsid w:val="001A7291"/>
    <w:rsid w:val="001B0600"/>
    <w:rsid w:val="001B19CB"/>
    <w:rsid w:val="001B2465"/>
    <w:rsid w:val="001B3600"/>
    <w:rsid w:val="001B3A46"/>
    <w:rsid w:val="001B5C2F"/>
    <w:rsid w:val="001B5C3D"/>
    <w:rsid w:val="001B5D3D"/>
    <w:rsid w:val="001B5E0B"/>
    <w:rsid w:val="001B62FA"/>
    <w:rsid w:val="001B702F"/>
    <w:rsid w:val="001C136D"/>
    <w:rsid w:val="001C16DD"/>
    <w:rsid w:val="001C2BEB"/>
    <w:rsid w:val="001C4906"/>
    <w:rsid w:val="001C4F4E"/>
    <w:rsid w:val="001C6173"/>
    <w:rsid w:val="001C6A4D"/>
    <w:rsid w:val="001C6AF4"/>
    <w:rsid w:val="001C7DFF"/>
    <w:rsid w:val="001D00D1"/>
    <w:rsid w:val="001D03BA"/>
    <w:rsid w:val="001D09B2"/>
    <w:rsid w:val="001D176A"/>
    <w:rsid w:val="001D2606"/>
    <w:rsid w:val="001D26BA"/>
    <w:rsid w:val="001D3B68"/>
    <w:rsid w:val="001D40B9"/>
    <w:rsid w:val="001D420A"/>
    <w:rsid w:val="001D488B"/>
    <w:rsid w:val="001D4A73"/>
    <w:rsid w:val="001D4F06"/>
    <w:rsid w:val="001D592D"/>
    <w:rsid w:val="001E06AA"/>
    <w:rsid w:val="001E0A02"/>
    <w:rsid w:val="001E2876"/>
    <w:rsid w:val="001E2E7E"/>
    <w:rsid w:val="001E3D18"/>
    <w:rsid w:val="001E417A"/>
    <w:rsid w:val="001E50B4"/>
    <w:rsid w:val="001E6797"/>
    <w:rsid w:val="001E7C85"/>
    <w:rsid w:val="001F065B"/>
    <w:rsid w:val="001F1BA8"/>
    <w:rsid w:val="001F2419"/>
    <w:rsid w:val="001F257C"/>
    <w:rsid w:val="001F29F8"/>
    <w:rsid w:val="001F32EC"/>
    <w:rsid w:val="001F3857"/>
    <w:rsid w:val="001F5947"/>
    <w:rsid w:val="00200557"/>
    <w:rsid w:val="0020160B"/>
    <w:rsid w:val="00202CB6"/>
    <w:rsid w:val="00202CD1"/>
    <w:rsid w:val="002033B1"/>
    <w:rsid w:val="0020492B"/>
    <w:rsid w:val="00204C9D"/>
    <w:rsid w:val="002057BE"/>
    <w:rsid w:val="00205F34"/>
    <w:rsid w:val="002067C4"/>
    <w:rsid w:val="00206A19"/>
    <w:rsid w:val="00210228"/>
    <w:rsid w:val="002105C0"/>
    <w:rsid w:val="002118A3"/>
    <w:rsid w:val="00211A56"/>
    <w:rsid w:val="00211CCD"/>
    <w:rsid w:val="002121D1"/>
    <w:rsid w:val="00212808"/>
    <w:rsid w:val="00214F8C"/>
    <w:rsid w:val="00216887"/>
    <w:rsid w:val="002201D6"/>
    <w:rsid w:val="002208BE"/>
    <w:rsid w:val="00221E33"/>
    <w:rsid w:val="002227B0"/>
    <w:rsid w:val="00222F1E"/>
    <w:rsid w:val="002232C7"/>
    <w:rsid w:val="002243C8"/>
    <w:rsid w:val="00224DA6"/>
    <w:rsid w:val="00224E94"/>
    <w:rsid w:val="00225025"/>
    <w:rsid w:val="002254C5"/>
    <w:rsid w:val="0022555C"/>
    <w:rsid w:val="0023025D"/>
    <w:rsid w:val="002306BB"/>
    <w:rsid w:val="00231887"/>
    <w:rsid w:val="00231ABA"/>
    <w:rsid w:val="00231DBA"/>
    <w:rsid w:val="002346F6"/>
    <w:rsid w:val="0023548F"/>
    <w:rsid w:val="0024037B"/>
    <w:rsid w:val="00240CE6"/>
    <w:rsid w:val="002415BA"/>
    <w:rsid w:val="0024250B"/>
    <w:rsid w:val="0024306F"/>
    <w:rsid w:val="00243AD4"/>
    <w:rsid w:val="00243C7D"/>
    <w:rsid w:val="00244CA4"/>
    <w:rsid w:val="00244DB6"/>
    <w:rsid w:val="00246020"/>
    <w:rsid w:val="00246482"/>
    <w:rsid w:val="00247117"/>
    <w:rsid w:val="002476F5"/>
    <w:rsid w:val="00247722"/>
    <w:rsid w:val="00251F89"/>
    <w:rsid w:val="00252350"/>
    <w:rsid w:val="00252E00"/>
    <w:rsid w:val="0025458B"/>
    <w:rsid w:val="00254921"/>
    <w:rsid w:val="00255342"/>
    <w:rsid w:val="002562B6"/>
    <w:rsid w:val="00260EFD"/>
    <w:rsid w:val="00261416"/>
    <w:rsid w:val="0026257B"/>
    <w:rsid w:val="00264316"/>
    <w:rsid w:val="00265659"/>
    <w:rsid w:val="00265721"/>
    <w:rsid w:val="0026670A"/>
    <w:rsid w:val="00266FB9"/>
    <w:rsid w:val="00267A2E"/>
    <w:rsid w:val="00270210"/>
    <w:rsid w:val="00272216"/>
    <w:rsid w:val="00272885"/>
    <w:rsid w:val="00272C9C"/>
    <w:rsid w:val="002731F0"/>
    <w:rsid w:val="002737FE"/>
    <w:rsid w:val="002740D7"/>
    <w:rsid w:val="002758A6"/>
    <w:rsid w:val="00276237"/>
    <w:rsid w:val="002763E7"/>
    <w:rsid w:val="002775FE"/>
    <w:rsid w:val="002810D2"/>
    <w:rsid w:val="00281C96"/>
    <w:rsid w:val="002834F9"/>
    <w:rsid w:val="00283E3D"/>
    <w:rsid w:val="00283FB3"/>
    <w:rsid w:val="00286B92"/>
    <w:rsid w:val="00291290"/>
    <w:rsid w:val="002925AD"/>
    <w:rsid w:val="002928B9"/>
    <w:rsid w:val="002931A1"/>
    <w:rsid w:val="00294110"/>
    <w:rsid w:val="002942A1"/>
    <w:rsid w:val="002946CA"/>
    <w:rsid w:val="00295638"/>
    <w:rsid w:val="00295976"/>
    <w:rsid w:val="00295B22"/>
    <w:rsid w:val="00295B85"/>
    <w:rsid w:val="00296F40"/>
    <w:rsid w:val="002A0272"/>
    <w:rsid w:val="002A0471"/>
    <w:rsid w:val="002A04C0"/>
    <w:rsid w:val="002A2413"/>
    <w:rsid w:val="002A325A"/>
    <w:rsid w:val="002A3721"/>
    <w:rsid w:val="002A3903"/>
    <w:rsid w:val="002A5636"/>
    <w:rsid w:val="002A760D"/>
    <w:rsid w:val="002A7C6E"/>
    <w:rsid w:val="002B04E5"/>
    <w:rsid w:val="002B0617"/>
    <w:rsid w:val="002B15B4"/>
    <w:rsid w:val="002B245D"/>
    <w:rsid w:val="002B26D4"/>
    <w:rsid w:val="002B2851"/>
    <w:rsid w:val="002B4CB2"/>
    <w:rsid w:val="002B7208"/>
    <w:rsid w:val="002B79DC"/>
    <w:rsid w:val="002C017E"/>
    <w:rsid w:val="002C0D67"/>
    <w:rsid w:val="002C0F85"/>
    <w:rsid w:val="002C1876"/>
    <w:rsid w:val="002C1BA6"/>
    <w:rsid w:val="002C1ECE"/>
    <w:rsid w:val="002C215A"/>
    <w:rsid w:val="002C23F1"/>
    <w:rsid w:val="002C2AC6"/>
    <w:rsid w:val="002C44FA"/>
    <w:rsid w:val="002C4E5F"/>
    <w:rsid w:val="002C4EF2"/>
    <w:rsid w:val="002C56FE"/>
    <w:rsid w:val="002C60C0"/>
    <w:rsid w:val="002D166C"/>
    <w:rsid w:val="002D1FFF"/>
    <w:rsid w:val="002D22DB"/>
    <w:rsid w:val="002D29F0"/>
    <w:rsid w:val="002D400D"/>
    <w:rsid w:val="002D4D6D"/>
    <w:rsid w:val="002D4DDE"/>
    <w:rsid w:val="002D5768"/>
    <w:rsid w:val="002D6056"/>
    <w:rsid w:val="002D724F"/>
    <w:rsid w:val="002D72E5"/>
    <w:rsid w:val="002E0D08"/>
    <w:rsid w:val="002E0E4F"/>
    <w:rsid w:val="002E0F01"/>
    <w:rsid w:val="002E1AA8"/>
    <w:rsid w:val="002E1DDE"/>
    <w:rsid w:val="002E1E85"/>
    <w:rsid w:val="002E226D"/>
    <w:rsid w:val="002E2413"/>
    <w:rsid w:val="002E2E41"/>
    <w:rsid w:val="002E402B"/>
    <w:rsid w:val="002E5413"/>
    <w:rsid w:val="002E54F4"/>
    <w:rsid w:val="002E5993"/>
    <w:rsid w:val="002E5AE1"/>
    <w:rsid w:val="002E61F5"/>
    <w:rsid w:val="002E66E6"/>
    <w:rsid w:val="002E6E98"/>
    <w:rsid w:val="002E6FEF"/>
    <w:rsid w:val="002F0B86"/>
    <w:rsid w:val="002F0BF1"/>
    <w:rsid w:val="002F29B4"/>
    <w:rsid w:val="002F3D77"/>
    <w:rsid w:val="002F3F0A"/>
    <w:rsid w:val="002F4387"/>
    <w:rsid w:val="0030061D"/>
    <w:rsid w:val="003017DE"/>
    <w:rsid w:val="00301D73"/>
    <w:rsid w:val="0030331C"/>
    <w:rsid w:val="00303EA5"/>
    <w:rsid w:val="0030459C"/>
    <w:rsid w:val="003051CC"/>
    <w:rsid w:val="003052B4"/>
    <w:rsid w:val="00305D9F"/>
    <w:rsid w:val="003061DB"/>
    <w:rsid w:val="00306CD1"/>
    <w:rsid w:val="00306EBC"/>
    <w:rsid w:val="00310479"/>
    <w:rsid w:val="00310C53"/>
    <w:rsid w:val="003120D4"/>
    <w:rsid w:val="00312AA0"/>
    <w:rsid w:val="00315048"/>
    <w:rsid w:val="0031544F"/>
    <w:rsid w:val="00315EEE"/>
    <w:rsid w:val="00316D9B"/>
    <w:rsid w:val="00320E61"/>
    <w:rsid w:val="00321FC4"/>
    <w:rsid w:val="00322F8F"/>
    <w:rsid w:val="00323083"/>
    <w:rsid w:val="00323EE6"/>
    <w:rsid w:val="003240CD"/>
    <w:rsid w:val="0032428E"/>
    <w:rsid w:val="00324768"/>
    <w:rsid w:val="003250BF"/>
    <w:rsid w:val="00325345"/>
    <w:rsid w:val="00325C7F"/>
    <w:rsid w:val="00326007"/>
    <w:rsid w:val="003263CF"/>
    <w:rsid w:val="003270FC"/>
    <w:rsid w:val="00327136"/>
    <w:rsid w:val="00327256"/>
    <w:rsid w:val="00327B2D"/>
    <w:rsid w:val="00330F62"/>
    <w:rsid w:val="003316CA"/>
    <w:rsid w:val="00331CD9"/>
    <w:rsid w:val="00332EAB"/>
    <w:rsid w:val="00333ABD"/>
    <w:rsid w:val="003351C5"/>
    <w:rsid w:val="00335404"/>
    <w:rsid w:val="00335D7D"/>
    <w:rsid w:val="0033698A"/>
    <w:rsid w:val="00336E88"/>
    <w:rsid w:val="003372F6"/>
    <w:rsid w:val="00337D4F"/>
    <w:rsid w:val="00340322"/>
    <w:rsid w:val="00340CED"/>
    <w:rsid w:val="00341D76"/>
    <w:rsid w:val="0034299F"/>
    <w:rsid w:val="00342FAA"/>
    <w:rsid w:val="00343728"/>
    <w:rsid w:val="0034400E"/>
    <w:rsid w:val="00344D7C"/>
    <w:rsid w:val="00345731"/>
    <w:rsid w:val="0034608B"/>
    <w:rsid w:val="00346651"/>
    <w:rsid w:val="00346EA4"/>
    <w:rsid w:val="003476C2"/>
    <w:rsid w:val="00350A10"/>
    <w:rsid w:val="003516CB"/>
    <w:rsid w:val="00351C38"/>
    <w:rsid w:val="00351C5B"/>
    <w:rsid w:val="00351FE7"/>
    <w:rsid w:val="0035263F"/>
    <w:rsid w:val="00353BFB"/>
    <w:rsid w:val="0035470E"/>
    <w:rsid w:val="003547B2"/>
    <w:rsid w:val="003560FE"/>
    <w:rsid w:val="00357704"/>
    <w:rsid w:val="00357A85"/>
    <w:rsid w:val="00357D64"/>
    <w:rsid w:val="00360A22"/>
    <w:rsid w:val="00360F16"/>
    <w:rsid w:val="00361399"/>
    <w:rsid w:val="00364324"/>
    <w:rsid w:val="00364891"/>
    <w:rsid w:val="00366988"/>
    <w:rsid w:val="00366C42"/>
    <w:rsid w:val="00366CB0"/>
    <w:rsid w:val="00367704"/>
    <w:rsid w:val="00367A38"/>
    <w:rsid w:val="00370766"/>
    <w:rsid w:val="00371F2B"/>
    <w:rsid w:val="00372AF8"/>
    <w:rsid w:val="0037320F"/>
    <w:rsid w:val="003738E9"/>
    <w:rsid w:val="003747F6"/>
    <w:rsid w:val="00374F8F"/>
    <w:rsid w:val="00375571"/>
    <w:rsid w:val="00375685"/>
    <w:rsid w:val="00382887"/>
    <w:rsid w:val="00382BB3"/>
    <w:rsid w:val="00382FFC"/>
    <w:rsid w:val="003830BA"/>
    <w:rsid w:val="00383579"/>
    <w:rsid w:val="003838E6"/>
    <w:rsid w:val="00383B17"/>
    <w:rsid w:val="00384DC2"/>
    <w:rsid w:val="003863E4"/>
    <w:rsid w:val="0038680E"/>
    <w:rsid w:val="00386FA5"/>
    <w:rsid w:val="00390B91"/>
    <w:rsid w:val="00392AFF"/>
    <w:rsid w:val="00392BC9"/>
    <w:rsid w:val="003946AF"/>
    <w:rsid w:val="00395C6E"/>
    <w:rsid w:val="003963EF"/>
    <w:rsid w:val="003964B2"/>
    <w:rsid w:val="00396AEA"/>
    <w:rsid w:val="0039795F"/>
    <w:rsid w:val="00397A38"/>
    <w:rsid w:val="00397DC0"/>
    <w:rsid w:val="003A1BCF"/>
    <w:rsid w:val="003A2A7F"/>
    <w:rsid w:val="003A2C88"/>
    <w:rsid w:val="003A37FB"/>
    <w:rsid w:val="003A3DE0"/>
    <w:rsid w:val="003A42A3"/>
    <w:rsid w:val="003A596F"/>
    <w:rsid w:val="003A62E9"/>
    <w:rsid w:val="003A63BC"/>
    <w:rsid w:val="003A769E"/>
    <w:rsid w:val="003B050B"/>
    <w:rsid w:val="003B1579"/>
    <w:rsid w:val="003B2320"/>
    <w:rsid w:val="003B2580"/>
    <w:rsid w:val="003B3121"/>
    <w:rsid w:val="003B3806"/>
    <w:rsid w:val="003B38B6"/>
    <w:rsid w:val="003B416D"/>
    <w:rsid w:val="003B6F56"/>
    <w:rsid w:val="003B71BC"/>
    <w:rsid w:val="003C07AE"/>
    <w:rsid w:val="003C0A2F"/>
    <w:rsid w:val="003C0BD8"/>
    <w:rsid w:val="003C0F01"/>
    <w:rsid w:val="003C1242"/>
    <w:rsid w:val="003C3BF5"/>
    <w:rsid w:val="003C3C6F"/>
    <w:rsid w:val="003C4752"/>
    <w:rsid w:val="003C5703"/>
    <w:rsid w:val="003C74DD"/>
    <w:rsid w:val="003D130A"/>
    <w:rsid w:val="003D2ABD"/>
    <w:rsid w:val="003D3156"/>
    <w:rsid w:val="003D318F"/>
    <w:rsid w:val="003D3F0F"/>
    <w:rsid w:val="003D4CE3"/>
    <w:rsid w:val="003D4D48"/>
    <w:rsid w:val="003D5834"/>
    <w:rsid w:val="003D5A37"/>
    <w:rsid w:val="003D717D"/>
    <w:rsid w:val="003E05EC"/>
    <w:rsid w:val="003E098D"/>
    <w:rsid w:val="003E0A92"/>
    <w:rsid w:val="003E0D5B"/>
    <w:rsid w:val="003E1035"/>
    <w:rsid w:val="003E1981"/>
    <w:rsid w:val="003E1E87"/>
    <w:rsid w:val="003E285B"/>
    <w:rsid w:val="003E3EDA"/>
    <w:rsid w:val="003E46C5"/>
    <w:rsid w:val="003E6483"/>
    <w:rsid w:val="003E6564"/>
    <w:rsid w:val="003E755D"/>
    <w:rsid w:val="003F02C7"/>
    <w:rsid w:val="003F11D6"/>
    <w:rsid w:val="003F21E0"/>
    <w:rsid w:val="003F2896"/>
    <w:rsid w:val="003F2C94"/>
    <w:rsid w:val="003F32ED"/>
    <w:rsid w:val="003F455A"/>
    <w:rsid w:val="003F490D"/>
    <w:rsid w:val="003F52AB"/>
    <w:rsid w:val="003F698E"/>
    <w:rsid w:val="00400554"/>
    <w:rsid w:val="004013FE"/>
    <w:rsid w:val="004015F1"/>
    <w:rsid w:val="0040193A"/>
    <w:rsid w:val="00401B53"/>
    <w:rsid w:val="004037E9"/>
    <w:rsid w:val="0040477D"/>
    <w:rsid w:val="00404C07"/>
    <w:rsid w:val="00404DD9"/>
    <w:rsid w:val="004110A9"/>
    <w:rsid w:val="0041195A"/>
    <w:rsid w:val="00412708"/>
    <w:rsid w:val="00416AA5"/>
    <w:rsid w:val="0041700A"/>
    <w:rsid w:val="0041762D"/>
    <w:rsid w:val="004200E9"/>
    <w:rsid w:val="004208CC"/>
    <w:rsid w:val="00420FA4"/>
    <w:rsid w:val="00421302"/>
    <w:rsid w:val="004223FB"/>
    <w:rsid w:val="0042284F"/>
    <w:rsid w:val="00424331"/>
    <w:rsid w:val="004249B4"/>
    <w:rsid w:val="00427741"/>
    <w:rsid w:val="00430A53"/>
    <w:rsid w:val="00431F9C"/>
    <w:rsid w:val="00432886"/>
    <w:rsid w:val="00433A66"/>
    <w:rsid w:val="00433BEA"/>
    <w:rsid w:val="00435ABB"/>
    <w:rsid w:val="004360D8"/>
    <w:rsid w:val="00436752"/>
    <w:rsid w:val="00436F8D"/>
    <w:rsid w:val="00437AD3"/>
    <w:rsid w:val="00441C4A"/>
    <w:rsid w:val="00442234"/>
    <w:rsid w:val="004432D6"/>
    <w:rsid w:val="0044368F"/>
    <w:rsid w:val="00443C92"/>
    <w:rsid w:val="004455EC"/>
    <w:rsid w:val="004475C6"/>
    <w:rsid w:val="0044791C"/>
    <w:rsid w:val="00450A19"/>
    <w:rsid w:val="00452411"/>
    <w:rsid w:val="00452873"/>
    <w:rsid w:val="00452DB8"/>
    <w:rsid w:val="00453C78"/>
    <w:rsid w:val="0045438C"/>
    <w:rsid w:val="004547C0"/>
    <w:rsid w:val="00454A66"/>
    <w:rsid w:val="00454B69"/>
    <w:rsid w:val="00456250"/>
    <w:rsid w:val="00456507"/>
    <w:rsid w:val="00456E40"/>
    <w:rsid w:val="00457320"/>
    <w:rsid w:val="004622EE"/>
    <w:rsid w:val="0046435F"/>
    <w:rsid w:val="00464C81"/>
    <w:rsid w:val="004659EE"/>
    <w:rsid w:val="0046678F"/>
    <w:rsid w:val="00467188"/>
    <w:rsid w:val="00467A7C"/>
    <w:rsid w:val="00470B14"/>
    <w:rsid w:val="00470E2B"/>
    <w:rsid w:val="004713BE"/>
    <w:rsid w:val="00471BA9"/>
    <w:rsid w:val="00472F88"/>
    <w:rsid w:val="00473D09"/>
    <w:rsid w:val="00474F8E"/>
    <w:rsid w:val="0047789B"/>
    <w:rsid w:val="00480611"/>
    <w:rsid w:val="004807BD"/>
    <w:rsid w:val="00480E8E"/>
    <w:rsid w:val="00481ACC"/>
    <w:rsid w:val="00482B3F"/>
    <w:rsid w:val="00482D3A"/>
    <w:rsid w:val="0048485D"/>
    <w:rsid w:val="00485A8D"/>
    <w:rsid w:val="00490109"/>
    <w:rsid w:val="00491156"/>
    <w:rsid w:val="00491C4B"/>
    <w:rsid w:val="00492397"/>
    <w:rsid w:val="00492C90"/>
    <w:rsid w:val="004945F6"/>
    <w:rsid w:val="004947C8"/>
    <w:rsid w:val="00494828"/>
    <w:rsid w:val="00494A11"/>
    <w:rsid w:val="00495125"/>
    <w:rsid w:val="00495229"/>
    <w:rsid w:val="00495632"/>
    <w:rsid w:val="00495842"/>
    <w:rsid w:val="00496209"/>
    <w:rsid w:val="00497295"/>
    <w:rsid w:val="004A0121"/>
    <w:rsid w:val="004A0510"/>
    <w:rsid w:val="004A13EE"/>
    <w:rsid w:val="004A1A9F"/>
    <w:rsid w:val="004A1C82"/>
    <w:rsid w:val="004A21B4"/>
    <w:rsid w:val="004A25F8"/>
    <w:rsid w:val="004A28DC"/>
    <w:rsid w:val="004A4BF5"/>
    <w:rsid w:val="004A7039"/>
    <w:rsid w:val="004A7523"/>
    <w:rsid w:val="004A7CA0"/>
    <w:rsid w:val="004B0027"/>
    <w:rsid w:val="004B050C"/>
    <w:rsid w:val="004B1FF8"/>
    <w:rsid w:val="004B24E1"/>
    <w:rsid w:val="004B2673"/>
    <w:rsid w:val="004B30DE"/>
    <w:rsid w:val="004B3585"/>
    <w:rsid w:val="004B35A3"/>
    <w:rsid w:val="004B4338"/>
    <w:rsid w:val="004B4D92"/>
    <w:rsid w:val="004B604B"/>
    <w:rsid w:val="004B639C"/>
    <w:rsid w:val="004B7A5E"/>
    <w:rsid w:val="004B7BF4"/>
    <w:rsid w:val="004C0304"/>
    <w:rsid w:val="004C04F5"/>
    <w:rsid w:val="004C06DA"/>
    <w:rsid w:val="004C14A0"/>
    <w:rsid w:val="004C3601"/>
    <w:rsid w:val="004C3E65"/>
    <w:rsid w:val="004C3EA8"/>
    <w:rsid w:val="004C4B8A"/>
    <w:rsid w:val="004D1173"/>
    <w:rsid w:val="004D1B0A"/>
    <w:rsid w:val="004D2E2A"/>
    <w:rsid w:val="004D5634"/>
    <w:rsid w:val="004D6D74"/>
    <w:rsid w:val="004E12F0"/>
    <w:rsid w:val="004E13BC"/>
    <w:rsid w:val="004E1F22"/>
    <w:rsid w:val="004E2569"/>
    <w:rsid w:val="004E25C9"/>
    <w:rsid w:val="004E2715"/>
    <w:rsid w:val="004E4A00"/>
    <w:rsid w:val="004E5E6D"/>
    <w:rsid w:val="004E782A"/>
    <w:rsid w:val="004F0A99"/>
    <w:rsid w:val="004F180A"/>
    <w:rsid w:val="004F292B"/>
    <w:rsid w:val="004F2E72"/>
    <w:rsid w:val="004F5184"/>
    <w:rsid w:val="004F6BD9"/>
    <w:rsid w:val="005020D2"/>
    <w:rsid w:val="00502C8D"/>
    <w:rsid w:val="00503E10"/>
    <w:rsid w:val="00504502"/>
    <w:rsid w:val="005065CC"/>
    <w:rsid w:val="00506730"/>
    <w:rsid w:val="0051037E"/>
    <w:rsid w:val="005116A5"/>
    <w:rsid w:val="00511B4D"/>
    <w:rsid w:val="005128CE"/>
    <w:rsid w:val="0051498F"/>
    <w:rsid w:val="00515A1D"/>
    <w:rsid w:val="005171A0"/>
    <w:rsid w:val="005213EE"/>
    <w:rsid w:val="00521CAC"/>
    <w:rsid w:val="00522526"/>
    <w:rsid w:val="00523690"/>
    <w:rsid w:val="00524063"/>
    <w:rsid w:val="005258C9"/>
    <w:rsid w:val="00525D0C"/>
    <w:rsid w:val="0053103F"/>
    <w:rsid w:val="00531CAB"/>
    <w:rsid w:val="0053223E"/>
    <w:rsid w:val="00532C7E"/>
    <w:rsid w:val="005345FF"/>
    <w:rsid w:val="00535816"/>
    <w:rsid w:val="00535A91"/>
    <w:rsid w:val="00537739"/>
    <w:rsid w:val="00540587"/>
    <w:rsid w:val="00540BD6"/>
    <w:rsid w:val="0054104C"/>
    <w:rsid w:val="0054153B"/>
    <w:rsid w:val="00542C0D"/>
    <w:rsid w:val="00542D6E"/>
    <w:rsid w:val="00542DE7"/>
    <w:rsid w:val="00543688"/>
    <w:rsid w:val="00543780"/>
    <w:rsid w:val="005440FB"/>
    <w:rsid w:val="005446DA"/>
    <w:rsid w:val="005447EA"/>
    <w:rsid w:val="00544B15"/>
    <w:rsid w:val="005450DC"/>
    <w:rsid w:val="00545AFD"/>
    <w:rsid w:val="00551551"/>
    <w:rsid w:val="005521A9"/>
    <w:rsid w:val="00552B75"/>
    <w:rsid w:val="005546D7"/>
    <w:rsid w:val="0055491E"/>
    <w:rsid w:val="0055548B"/>
    <w:rsid w:val="0055549E"/>
    <w:rsid w:val="005566F7"/>
    <w:rsid w:val="005608D7"/>
    <w:rsid w:val="005611B5"/>
    <w:rsid w:val="00561A27"/>
    <w:rsid w:val="00562520"/>
    <w:rsid w:val="00562B42"/>
    <w:rsid w:val="00563DF9"/>
    <w:rsid w:val="005646AB"/>
    <w:rsid w:val="0056511C"/>
    <w:rsid w:val="005655BF"/>
    <w:rsid w:val="00565A73"/>
    <w:rsid w:val="00566547"/>
    <w:rsid w:val="00567965"/>
    <w:rsid w:val="00567A37"/>
    <w:rsid w:val="0057019E"/>
    <w:rsid w:val="00570472"/>
    <w:rsid w:val="005704CC"/>
    <w:rsid w:val="005714A9"/>
    <w:rsid w:val="0057332D"/>
    <w:rsid w:val="0057407E"/>
    <w:rsid w:val="005748AF"/>
    <w:rsid w:val="00575635"/>
    <w:rsid w:val="00576100"/>
    <w:rsid w:val="00577771"/>
    <w:rsid w:val="0057790D"/>
    <w:rsid w:val="00577AD7"/>
    <w:rsid w:val="00577FAD"/>
    <w:rsid w:val="00580293"/>
    <w:rsid w:val="005804F5"/>
    <w:rsid w:val="00580C06"/>
    <w:rsid w:val="005811CC"/>
    <w:rsid w:val="005817DF"/>
    <w:rsid w:val="005820F5"/>
    <w:rsid w:val="0058243C"/>
    <w:rsid w:val="00582886"/>
    <w:rsid w:val="00583BE4"/>
    <w:rsid w:val="005842CF"/>
    <w:rsid w:val="00584CE3"/>
    <w:rsid w:val="005873E2"/>
    <w:rsid w:val="0059112F"/>
    <w:rsid w:val="00591208"/>
    <w:rsid w:val="00591C1E"/>
    <w:rsid w:val="00592C20"/>
    <w:rsid w:val="00594BC7"/>
    <w:rsid w:val="005959C2"/>
    <w:rsid w:val="00595E8A"/>
    <w:rsid w:val="0059628A"/>
    <w:rsid w:val="0059694E"/>
    <w:rsid w:val="00596B34"/>
    <w:rsid w:val="005972E5"/>
    <w:rsid w:val="00597A9E"/>
    <w:rsid w:val="005A0BD0"/>
    <w:rsid w:val="005A0C94"/>
    <w:rsid w:val="005A123C"/>
    <w:rsid w:val="005A4FD0"/>
    <w:rsid w:val="005A57A5"/>
    <w:rsid w:val="005A59F6"/>
    <w:rsid w:val="005A5CF8"/>
    <w:rsid w:val="005A6536"/>
    <w:rsid w:val="005A65DB"/>
    <w:rsid w:val="005A6930"/>
    <w:rsid w:val="005A6CB7"/>
    <w:rsid w:val="005A72B9"/>
    <w:rsid w:val="005A7F4E"/>
    <w:rsid w:val="005B0479"/>
    <w:rsid w:val="005B0F68"/>
    <w:rsid w:val="005B184A"/>
    <w:rsid w:val="005B18AF"/>
    <w:rsid w:val="005B3ADC"/>
    <w:rsid w:val="005B4BFE"/>
    <w:rsid w:val="005B5898"/>
    <w:rsid w:val="005B5A20"/>
    <w:rsid w:val="005B7B9C"/>
    <w:rsid w:val="005B7E35"/>
    <w:rsid w:val="005C38B2"/>
    <w:rsid w:val="005C418B"/>
    <w:rsid w:val="005C53D4"/>
    <w:rsid w:val="005C6564"/>
    <w:rsid w:val="005C75C2"/>
    <w:rsid w:val="005D03FD"/>
    <w:rsid w:val="005D0DE3"/>
    <w:rsid w:val="005D1667"/>
    <w:rsid w:val="005D2995"/>
    <w:rsid w:val="005D55E0"/>
    <w:rsid w:val="005D5831"/>
    <w:rsid w:val="005D5B91"/>
    <w:rsid w:val="005D5BCC"/>
    <w:rsid w:val="005D6945"/>
    <w:rsid w:val="005D7A8D"/>
    <w:rsid w:val="005D7B4E"/>
    <w:rsid w:val="005D7BB4"/>
    <w:rsid w:val="005E0F4B"/>
    <w:rsid w:val="005E3CA2"/>
    <w:rsid w:val="005E4EFE"/>
    <w:rsid w:val="005E54CB"/>
    <w:rsid w:val="005E60B7"/>
    <w:rsid w:val="005E66EC"/>
    <w:rsid w:val="005E71B6"/>
    <w:rsid w:val="005F1194"/>
    <w:rsid w:val="005F249A"/>
    <w:rsid w:val="005F3521"/>
    <w:rsid w:val="005F3A1A"/>
    <w:rsid w:val="005F3EF5"/>
    <w:rsid w:val="005F4DC3"/>
    <w:rsid w:val="005F52CC"/>
    <w:rsid w:val="005F59C7"/>
    <w:rsid w:val="005F651A"/>
    <w:rsid w:val="005F6A89"/>
    <w:rsid w:val="005F6ED1"/>
    <w:rsid w:val="005F715E"/>
    <w:rsid w:val="005F75C4"/>
    <w:rsid w:val="00600CF5"/>
    <w:rsid w:val="006045F3"/>
    <w:rsid w:val="00605A71"/>
    <w:rsid w:val="00605CAE"/>
    <w:rsid w:val="00605D10"/>
    <w:rsid w:val="006067DF"/>
    <w:rsid w:val="00606897"/>
    <w:rsid w:val="006069EE"/>
    <w:rsid w:val="00610190"/>
    <w:rsid w:val="0061057F"/>
    <w:rsid w:val="00610C4B"/>
    <w:rsid w:val="00610D6C"/>
    <w:rsid w:val="00610D9F"/>
    <w:rsid w:val="00611824"/>
    <w:rsid w:val="00614317"/>
    <w:rsid w:val="00615D53"/>
    <w:rsid w:val="00615FA5"/>
    <w:rsid w:val="006160D2"/>
    <w:rsid w:val="00617A7B"/>
    <w:rsid w:val="00617BA1"/>
    <w:rsid w:val="00617EFD"/>
    <w:rsid w:val="00621246"/>
    <w:rsid w:val="00622177"/>
    <w:rsid w:val="00622A99"/>
    <w:rsid w:val="00622DD1"/>
    <w:rsid w:val="00623007"/>
    <w:rsid w:val="006241D9"/>
    <w:rsid w:val="006247B5"/>
    <w:rsid w:val="00626C55"/>
    <w:rsid w:val="00627215"/>
    <w:rsid w:val="00627288"/>
    <w:rsid w:val="00627928"/>
    <w:rsid w:val="00627FB1"/>
    <w:rsid w:val="00630D1F"/>
    <w:rsid w:val="00631998"/>
    <w:rsid w:val="00632355"/>
    <w:rsid w:val="006336E5"/>
    <w:rsid w:val="006406B1"/>
    <w:rsid w:val="006414AF"/>
    <w:rsid w:val="00641CF9"/>
    <w:rsid w:val="00643265"/>
    <w:rsid w:val="00643C85"/>
    <w:rsid w:val="00643FB6"/>
    <w:rsid w:val="00644A06"/>
    <w:rsid w:val="00645436"/>
    <w:rsid w:val="006455FF"/>
    <w:rsid w:val="0064585E"/>
    <w:rsid w:val="00645AB6"/>
    <w:rsid w:val="006500DD"/>
    <w:rsid w:val="00650665"/>
    <w:rsid w:val="006522BB"/>
    <w:rsid w:val="0065469E"/>
    <w:rsid w:val="00655044"/>
    <w:rsid w:val="00656085"/>
    <w:rsid w:val="006560D9"/>
    <w:rsid w:val="0065707A"/>
    <w:rsid w:val="00660012"/>
    <w:rsid w:val="0066105F"/>
    <w:rsid w:val="00662A49"/>
    <w:rsid w:val="00662E86"/>
    <w:rsid w:val="00666D1C"/>
    <w:rsid w:val="00666E67"/>
    <w:rsid w:val="00667535"/>
    <w:rsid w:val="006679A5"/>
    <w:rsid w:val="00671943"/>
    <w:rsid w:val="0067250F"/>
    <w:rsid w:val="00672B2B"/>
    <w:rsid w:val="006747A1"/>
    <w:rsid w:val="00674F7C"/>
    <w:rsid w:val="00675290"/>
    <w:rsid w:val="00675FE9"/>
    <w:rsid w:val="00676182"/>
    <w:rsid w:val="006765E0"/>
    <w:rsid w:val="00677182"/>
    <w:rsid w:val="006773FA"/>
    <w:rsid w:val="00677E6B"/>
    <w:rsid w:val="006801A5"/>
    <w:rsid w:val="006803F6"/>
    <w:rsid w:val="00681ED6"/>
    <w:rsid w:val="006830BE"/>
    <w:rsid w:val="0068483B"/>
    <w:rsid w:val="00684A91"/>
    <w:rsid w:val="00684D97"/>
    <w:rsid w:val="006853CE"/>
    <w:rsid w:val="006860AF"/>
    <w:rsid w:val="0068623D"/>
    <w:rsid w:val="0068690C"/>
    <w:rsid w:val="00687ADA"/>
    <w:rsid w:val="00690345"/>
    <w:rsid w:val="00690363"/>
    <w:rsid w:val="0069088C"/>
    <w:rsid w:val="0069091E"/>
    <w:rsid w:val="0069145D"/>
    <w:rsid w:val="00692D23"/>
    <w:rsid w:val="00697672"/>
    <w:rsid w:val="006A1B47"/>
    <w:rsid w:val="006A43EA"/>
    <w:rsid w:val="006A5DF3"/>
    <w:rsid w:val="006A5EFE"/>
    <w:rsid w:val="006A7601"/>
    <w:rsid w:val="006B024C"/>
    <w:rsid w:val="006B151E"/>
    <w:rsid w:val="006B178F"/>
    <w:rsid w:val="006B2035"/>
    <w:rsid w:val="006B2434"/>
    <w:rsid w:val="006B3ABB"/>
    <w:rsid w:val="006B4EF2"/>
    <w:rsid w:val="006B5BB1"/>
    <w:rsid w:val="006B6CA2"/>
    <w:rsid w:val="006B7586"/>
    <w:rsid w:val="006B7C2E"/>
    <w:rsid w:val="006C1956"/>
    <w:rsid w:val="006C2DAF"/>
    <w:rsid w:val="006C353C"/>
    <w:rsid w:val="006C3954"/>
    <w:rsid w:val="006C4096"/>
    <w:rsid w:val="006C55B7"/>
    <w:rsid w:val="006C5C0C"/>
    <w:rsid w:val="006C6615"/>
    <w:rsid w:val="006C761C"/>
    <w:rsid w:val="006C7ECD"/>
    <w:rsid w:val="006D0346"/>
    <w:rsid w:val="006D1D5F"/>
    <w:rsid w:val="006D2435"/>
    <w:rsid w:val="006D2D70"/>
    <w:rsid w:val="006D2DC0"/>
    <w:rsid w:val="006D311C"/>
    <w:rsid w:val="006D3F80"/>
    <w:rsid w:val="006D428C"/>
    <w:rsid w:val="006D44F5"/>
    <w:rsid w:val="006E05EB"/>
    <w:rsid w:val="006E08E7"/>
    <w:rsid w:val="006E1674"/>
    <w:rsid w:val="006E19DF"/>
    <w:rsid w:val="006E1D74"/>
    <w:rsid w:val="006E29AF"/>
    <w:rsid w:val="006E2D70"/>
    <w:rsid w:val="006E331E"/>
    <w:rsid w:val="006E458C"/>
    <w:rsid w:val="006E57C5"/>
    <w:rsid w:val="006F1D9C"/>
    <w:rsid w:val="006F20AA"/>
    <w:rsid w:val="006F21B5"/>
    <w:rsid w:val="006F34CA"/>
    <w:rsid w:val="006F39F6"/>
    <w:rsid w:val="006F6728"/>
    <w:rsid w:val="006F76DF"/>
    <w:rsid w:val="007000A5"/>
    <w:rsid w:val="00700687"/>
    <w:rsid w:val="00702BD5"/>
    <w:rsid w:val="00704D02"/>
    <w:rsid w:val="00705545"/>
    <w:rsid w:val="0070668C"/>
    <w:rsid w:val="00706E87"/>
    <w:rsid w:val="00707631"/>
    <w:rsid w:val="00707A8D"/>
    <w:rsid w:val="00710380"/>
    <w:rsid w:val="007115E7"/>
    <w:rsid w:val="00712A82"/>
    <w:rsid w:val="00713882"/>
    <w:rsid w:val="0071403A"/>
    <w:rsid w:val="007142D2"/>
    <w:rsid w:val="00714731"/>
    <w:rsid w:val="007152F6"/>
    <w:rsid w:val="00715D34"/>
    <w:rsid w:val="007168A6"/>
    <w:rsid w:val="0071760A"/>
    <w:rsid w:val="00717AA8"/>
    <w:rsid w:val="00720035"/>
    <w:rsid w:val="007210FA"/>
    <w:rsid w:val="007213D9"/>
    <w:rsid w:val="00722847"/>
    <w:rsid w:val="007233C7"/>
    <w:rsid w:val="00725A6B"/>
    <w:rsid w:val="00726B20"/>
    <w:rsid w:val="00726C65"/>
    <w:rsid w:val="00726D42"/>
    <w:rsid w:val="00727C21"/>
    <w:rsid w:val="00727FFB"/>
    <w:rsid w:val="00730A38"/>
    <w:rsid w:val="00731BA4"/>
    <w:rsid w:val="00731DF7"/>
    <w:rsid w:val="0073366B"/>
    <w:rsid w:val="00734620"/>
    <w:rsid w:val="007348B6"/>
    <w:rsid w:val="00734A2C"/>
    <w:rsid w:val="00735EF4"/>
    <w:rsid w:val="007367E6"/>
    <w:rsid w:val="00736804"/>
    <w:rsid w:val="00736E72"/>
    <w:rsid w:val="00737427"/>
    <w:rsid w:val="007405A9"/>
    <w:rsid w:val="00740E03"/>
    <w:rsid w:val="0074243C"/>
    <w:rsid w:val="00743122"/>
    <w:rsid w:val="00743A1F"/>
    <w:rsid w:val="00744656"/>
    <w:rsid w:val="007459E7"/>
    <w:rsid w:val="0074717E"/>
    <w:rsid w:val="00747F97"/>
    <w:rsid w:val="007503CA"/>
    <w:rsid w:val="007515D3"/>
    <w:rsid w:val="00751C8E"/>
    <w:rsid w:val="00753425"/>
    <w:rsid w:val="00753A87"/>
    <w:rsid w:val="007546CA"/>
    <w:rsid w:val="007554E8"/>
    <w:rsid w:val="00756390"/>
    <w:rsid w:val="00757799"/>
    <w:rsid w:val="00757B0C"/>
    <w:rsid w:val="00763110"/>
    <w:rsid w:val="007639F7"/>
    <w:rsid w:val="00764343"/>
    <w:rsid w:val="00764495"/>
    <w:rsid w:val="00764ADF"/>
    <w:rsid w:val="0076518F"/>
    <w:rsid w:val="007666CF"/>
    <w:rsid w:val="007667A1"/>
    <w:rsid w:val="00770CBE"/>
    <w:rsid w:val="0077188C"/>
    <w:rsid w:val="00771A79"/>
    <w:rsid w:val="0077287A"/>
    <w:rsid w:val="007735A7"/>
    <w:rsid w:val="00774227"/>
    <w:rsid w:val="00774F87"/>
    <w:rsid w:val="007750A5"/>
    <w:rsid w:val="00775E40"/>
    <w:rsid w:val="00776BBE"/>
    <w:rsid w:val="00776D7B"/>
    <w:rsid w:val="00776D97"/>
    <w:rsid w:val="00780228"/>
    <w:rsid w:val="00781CD7"/>
    <w:rsid w:val="0078225C"/>
    <w:rsid w:val="007828AA"/>
    <w:rsid w:val="00783889"/>
    <w:rsid w:val="00784EB1"/>
    <w:rsid w:val="00786C07"/>
    <w:rsid w:val="007873EE"/>
    <w:rsid w:val="00787642"/>
    <w:rsid w:val="00787F5D"/>
    <w:rsid w:val="00790023"/>
    <w:rsid w:val="00790248"/>
    <w:rsid w:val="0079030E"/>
    <w:rsid w:val="0079538A"/>
    <w:rsid w:val="0079569F"/>
    <w:rsid w:val="00795CCE"/>
    <w:rsid w:val="00795F17"/>
    <w:rsid w:val="0079638C"/>
    <w:rsid w:val="00796390"/>
    <w:rsid w:val="00796E38"/>
    <w:rsid w:val="0079705D"/>
    <w:rsid w:val="007A043E"/>
    <w:rsid w:val="007A069D"/>
    <w:rsid w:val="007A0CC0"/>
    <w:rsid w:val="007A0D30"/>
    <w:rsid w:val="007A19CC"/>
    <w:rsid w:val="007A248D"/>
    <w:rsid w:val="007A298F"/>
    <w:rsid w:val="007A316A"/>
    <w:rsid w:val="007A3195"/>
    <w:rsid w:val="007A38C4"/>
    <w:rsid w:val="007A4601"/>
    <w:rsid w:val="007A47D1"/>
    <w:rsid w:val="007A5B65"/>
    <w:rsid w:val="007A65EF"/>
    <w:rsid w:val="007A719F"/>
    <w:rsid w:val="007A7820"/>
    <w:rsid w:val="007B177E"/>
    <w:rsid w:val="007B1D5F"/>
    <w:rsid w:val="007B2F9D"/>
    <w:rsid w:val="007B3073"/>
    <w:rsid w:val="007B3156"/>
    <w:rsid w:val="007B4F1F"/>
    <w:rsid w:val="007B7B6B"/>
    <w:rsid w:val="007B7BDA"/>
    <w:rsid w:val="007B7BF7"/>
    <w:rsid w:val="007C0078"/>
    <w:rsid w:val="007C07C0"/>
    <w:rsid w:val="007C08EF"/>
    <w:rsid w:val="007C11AB"/>
    <w:rsid w:val="007C1750"/>
    <w:rsid w:val="007C2DF9"/>
    <w:rsid w:val="007C3403"/>
    <w:rsid w:val="007C3AFE"/>
    <w:rsid w:val="007C42F9"/>
    <w:rsid w:val="007C4795"/>
    <w:rsid w:val="007C4BC3"/>
    <w:rsid w:val="007C58C7"/>
    <w:rsid w:val="007C5E97"/>
    <w:rsid w:val="007C7950"/>
    <w:rsid w:val="007D0805"/>
    <w:rsid w:val="007D133C"/>
    <w:rsid w:val="007D1765"/>
    <w:rsid w:val="007D1EAB"/>
    <w:rsid w:val="007D29A6"/>
    <w:rsid w:val="007D370E"/>
    <w:rsid w:val="007D6197"/>
    <w:rsid w:val="007D692E"/>
    <w:rsid w:val="007E0AAB"/>
    <w:rsid w:val="007E1320"/>
    <w:rsid w:val="007E15C2"/>
    <w:rsid w:val="007E22E9"/>
    <w:rsid w:val="007E257A"/>
    <w:rsid w:val="007E2ECB"/>
    <w:rsid w:val="007E36DC"/>
    <w:rsid w:val="007E37D8"/>
    <w:rsid w:val="007E3BF8"/>
    <w:rsid w:val="007E52E3"/>
    <w:rsid w:val="007E5C6F"/>
    <w:rsid w:val="007E5F7B"/>
    <w:rsid w:val="007E6374"/>
    <w:rsid w:val="007E6657"/>
    <w:rsid w:val="007E6DE2"/>
    <w:rsid w:val="007E7025"/>
    <w:rsid w:val="007E7636"/>
    <w:rsid w:val="007E7B1A"/>
    <w:rsid w:val="007F04EB"/>
    <w:rsid w:val="007F1AEC"/>
    <w:rsid w:val="007F2586"/>
    <w:rsid w:val="007F2AD9"/>
    <w:rsid w:val="007F4521"/>
    <w:rsid w:val="007F4BA9"/>
    <w:rsid w:val="007F5819"/>
    <w:rsid w:val="007F65AA"/>
    <w:rsid w:val="007F65AD"/>
    <w:rsid w:val="00800EC8"/>
    <w:rsid w:val="0080142D"/>
    <w:rsid w:val="008020DF"/>
    <w:rsid w:val="00802433"/>
    <w:rsid w:val="00802F8B"/>
    <w:rsid w:val="008031AA"/>
    <w:rsid w:val="00804E23"/>
    <w:rsid w:val="00805229"/>
    <w:rsid w:val="008052E2"/>
    <w:rsid w:val="0080693A"/>
    <w:rsid w:val="00812B52"/>
    <w:rsid w:val="00814188"/>
    <w:rsid w:val="00814910"/>
    <w:rsid w:val="00814BC2"/>
    <w:rsid w:val="008151A3"/>
    <w:rsid w:val="0081524D"/>
    <w:rsid w:val="00821016"/>
    <w:rsid w:val="00822AD6"/>
    <w:rsid w:val="00823170"/>
    <w:rsid w:val="0082460B"/>
    <w:rsid w:val="00825473"/>
    <w:rsid w:val="00826225"/>
    <w:rsid w:val="0082642B"/>
    <w:rsid w:val="00827AB2"/>
    <w:rsid w:val="008314A1"/>
    <w:rsid w:val="008319F2"/>
    <w:rsid w:val="00831A8A"/>
    <w:rsid w:val="00831DFA"/>
    <w:rsid w:val="0083221A"/>
    <w:rsid w:val="0083321A"/>
    <w:rsid w:val="008333F5"/>
    <w:rsid w:val="00833404"/>
    <w:rsid w:val="00834BC1"/>
    <w:rsid w:val="008360FB"/>
    <w:rsid w:val="00837325"/>
    <w:rsid w:val="0084044C"/>
    <w:rsid w:val="008408FA"/>
    <w:rsid w:val="00840CE5"/>
    <w:rsid w:val="00840F85"/>
    <w:rsid w:val="00841EC2"/>
    <w:rsid w:val="0084220D"/>
    <w:rsid w:val="00842B19"/>
    <w:rsid w:val="008432D1"/>
    <w:rsid w:val="008435A9"/>
    <w:rsid w:val="00844C79"/>
    <w:rsid w:val="00845018"/>
    <w:rsid w:val="0084576B"/>
    <w:rsid w:val="00845AF0"/>
    <w:rsid w:val="00845ECB"/>
    <w:rsid w:val="0084753F"/>
    <w:rsid w:val="00847A4B"/>
    <w:rsid w:val="00850A4A"/>
    <w:rsid w:val="00851324"/>
    <w:rsid w:val="00851498"/>
    <w:rsid w:val="00851CCB"/>
    <w:rsid w:val="00852151"/>
    <w:rsid w:val="008526E6"/>
    <w:rsid w:val="00852B9A"/>
    <w:rsid w:val="008532ED"/>
    <w:rsid w:val="008536EC"/>
    <w:rsid w:val="0085387E"/>
    <w:rsid w:val="008553CA"/>
    <w:rsid w:val="008556D8"/>
    <w:rsid w:val="0085670A"/>
    <w:rsid w:val="00856A86"/>
    <w:rsid w:val="00856CE3"/>
    <w:rsid w:val="0086027D"/>
    <w:rsid w:val="00860348"/>
    <w:rsid w:val="00860905"/>
    <w:rsid w:val="0086257D"/>
    <w:rsid w:val="00862D7F"/>
    <w:rsid w:val="00862F2E"/>
    <w:rsid w:val="00864DD7"/>
    <w:rsid w:val="00866166"/>
    <w:rsid w:val="00866595"/>
    <w:rsid w:val="00866F3D"/>
    <w:rsid w:val="00867D4A"/>
    <w:rsid w:val="00870C72"/>
    <w:rsid w:val="00870DF0"/>
    <w:rsid w:val="0087157A"/>
    <w:rsid w:val="00871B6A"/>
    <w:rsid w:val="00872ADF"/>
    <w:rsid w:val="008731C1"/>
    <w:rsid w:val="00874C29"/>
    <w:rsid w:val="00874F2B"/>
    <w:rsid w:val="00875F48"/>
    <w:rsid w:val="008801A1"/>
    <w:rsid w:val="00883BF2"/>
    <w:rsid w:val="00883E92"/>
    <w:rsid w:val="00884284"/>
    <w:rsid w:val="00884DE7"/>
    <w:rsid w:val="00886D0D"/>
    <w:rsid w:val="00887E4D"/>
    <w:rsid w:val="00887F9C"/>
    <w:rsid w:val="00890C36"/>
    <w:rsid w:val="00890FE6"/>
    <w:rsid w:val="00892BC6"/>
    <w:rsid w:val="00892D2E"/>
    <w:rsid w:val="00892F23"/>
    <w:rsid w:val="008941A5"/>
    <w:rsid w:val="00894795"/>
    <w:rsid w:val="0089599C"/>
    <w:rsid w:val="0089794C"/>
    <w:rsid w:val="008A030B"/>
    <w:rsid w:val="008A199C"/>
    <w:rsid w:val="008A19E2"/>
    <w:rsid w:val="008A30A9"/>
    <w:rsid w:val="008A36BF"/>
    <w:rsid w:val="008A3CE7"/>
    <w:rsid w:val="008A4123"/>
    <w:rsid w:val="008A4B27"/>
    <w:rsid w:val="008A52EA"/>
    <w:rsid w:val="008A5C43"/>
    <w:rsid w:val="008A6614"/>
    <w:rsid w:val="008A6D99"/>
    <w:rsid w:val="008A756C"/>
    <w:rsid w:val="008A7C15"/>
    <w:rsid w:val="008B2771"/>
    <w:rsid w:val="008B2CCE"/>
    <w:rsid w:val="008B32E0"/>
    <w:rsid w:val="008B45B3"/>
    <w:rsid w:val="008B4650"/>
    <w:rsid w:val="008B4D2C"/>
    <w:rsid w:val="008B5FC8"/>
    <w:rsid w:val="008B620A"/>
    <w:rsid w:val="008B7861"/>
    <w:rsid w:val="008B7891"/>
    <w:rsid w:val="008C0250"/>
    <w:rsid w:val="008C1D2F"/>
    <w:rsid w:val="008C25BC"/>
    <w:rsid w:val="008C3D36"/>
    <w:rsid w:val="008C528D"/>
    <w:rsid w:val="008C58F5"/>
    <w:rsid w:val="008C75A6"/>
    <w:rsid w:val="008D04B8"/>
    <w:rsid w:val="008D0893"/>
    <w:rsid w:val="008D156D"/>
    <w:rsid w:val="008D23CE"/>
    <w:rsid w:val="008D384B"/>
    <w:rsid w:val="008D47A6"/>
    <w:rsid w:val="008D47F2"/>
    <w:rsid w:val="008D4C79"/>
    <w:rsid w:val="008D4E22"/>
    <w:rsid w:val="008D53BA"/>
    <w:rsid w:val="008D7FD6"/>
    <w:rsid w:val="008E2DE9"/>
    <w:rsid w:val="008E3060"/>
    <w:rsid w:val="008E44F1"/>
    <w:rsid w:val="008E5CAA"/>
    <w:rsid w:val="008E6966"/>
    <w:rsid w:val="008E762D"/>
    <w:rsid w:val="008E794E"/>
    <w:rsid w:val="008F13D2"/>
    <w:rsid w:val="008F13E5"/>
    <w:rsid w:val="008F163D"/>
    <w:rsid w:val="008F1F8E"/>
    <w:rsid w:val="008F2167"/>
    <w:rsid w:val="008F2437"/>
    <w:rsid w:val="008F301C"/>
    <w:rsid w:val="008F3518"/>
    <w:rsid w:val="008F5C76"/>
    <w:rsid w:val="008F6D4F"/>
    <w:rsid w:val="008F768D"/>
    <w:rsid w:val="009006E5"/>
    <w:rsid w:val="00901F6A"/>
    <w:rsid w:val="00901FBD"/>
    <w:rsid w:val="00903518"/>
    <w:rsid w:val="00903695"/>
    <w:rsid w:val="0090480D"/>
    <w:rsid w:val="009054C9"/>
    <w:rsid w:val="00905852"/>
    <w:rsid w:val="00906249"/>
    <w:rsid w:val="009075B5"/>
    <w:rsid w:val="00911040"/>
    <w:rsid w:val="0091608C"/>
    <w:rsid w:val="009161C3"/>
    <w:rsid w:val="00916A3F"/>
    <w:rsid w:val="00917132"/>
    <w:rsid w:val="00917247"/>
    <w:rsid w:val="009173EB"/>
    <w:rsid w:val="009208D7"/>
    <w:rsid w:val="009211F1"/>
    <w:rsid w:val="00922AB6"/>
    <w:rsid w:val="00923302"/>
    <w:rsid w:val="0092446E"/>
    <w:rsid w:val="00924524"/>
    <w:rsid w:val="00927DB4"/>
    <w:rsid w:val="0093175A"/>
    <w:rsid w:val="0093421A"/>
    <w:rsid w:val="009343F5"/>
    <w:rsid w:val="009346AD"/>
    <w:rsid w:val="00934E4C"/>
    <w:rsid w:val="0093579C"/>
    <w:rsid w:val="00936549"/>
    <w:rsid w:val="0093690B"/>
    <w:rsid w:val="00936EE8"/>
    <w:rsid w:val="0093740C"/>
    <w:rsid w:val="00937A5E"/>
    <w:rsid w:val="00937E1E"/>
    <w:rsid w:val="00940C92"/>
    <w:rsid w:val="009410E3"/>
    <w:rsid w:val="00941275"/>
    <w:rsid w:val="00941EAD"/>
    <w:rsid w:val="0094274A"/>
    <w:rsid w:val="00942A6F"/>
    <w:rsid w:val="00944B0B"/>
    <w:rsid w:val="00945A08"/>
    <w:rsid w:val="00945CC0"/>
    <w:rsid w:val="00947612"/>
    <w:rsid w:val="009502B2"/>
    <w:rsid w:val="0095065B"/>
    <w:rsid w:val="00950CDF"/>
    <w:rsid w:val="00951262"/>
    <w:rsid w:val="00954251"/>
    <w:rsid w:val="009548C5"/>
    <w:rsid w:val="00955F6E"/>
    <w:rsid w:val="00956B19"/>
    <w:rsid w:val="00957540"/>
    <w:rsid w:val="00957BBE"/>
    <w:rsid w:val="009600B9"/>
    <w:rsid w:val="00960101"/>
    <w:rsid w:val="00961780"/>
    <w:rsid w:val="009627F6"/>
    <w:rsid w:val="00962B22"/>
    <w:rsid w:val="009638CC"/>
    <w:rsid w:val="00963EEB"/>
    <w:rsid w:val="009644AB"/>
    <w:rsid w:val="00965948"/>
    <w:rsid w:val="009664B4"/>
    <w:rsid w:val="0097041C"/>
    <w:rsid w:val="00970BFD"/>
    <w:rsid w:val="009719C9"/>
    <w:rsid w:val="009719DD"/>
    <w:rsid w:val="00973A4C"/>
    <w:rsid w:val="00975C3D"/>
    <w:rsid w:val="00975EC4"/>
    <w:rsid w:val="0098190F"/>
    <w:rsid w:val="009829E0"/>
    <w:rsid w:val="00982B2D"/>
    <w:rsid w:val="00983B17"/>
    <w:rsid w:val="00984293"/>
    <w:rsid w:val="00985408"/>
    <w:rsid w:val="00985C8E"/>
    <w:rsid w:val="00986138"/>
    <w:rsid w:val="00986C1E"/>
    <w:rsid w:val="00987FB9"/>
    <w:rsid w:val="00992187"/>
    <w:rsid w:val="0099279C"/>
    <w:rsid w:val="009929FE"/>
    <w:rsid w:val="00992DB2"/>
    <w:rsid w:val="00992DD4"/>
    <w:rsid w:val="00992DE1"/>
    <w:rsid w:val="009930D6"/>
    <w:rsid w:val="00993E24"/>
    <w:rsid w:val="00993F35"/>
    <w:rsid w:val="00996694"/>
    <w:rsid w:val="009A00AF"/>
    <w:rsid w:val="009A08FF"/>
    <w:rsid w:val="009A0D4D"/>
    <w:rsid w:val="009A1B36"/>
    <w:rsid w:val="009A2BED"/>
    <w:rsid w:val="009A3168"/>
    <w:rsid w:val="009A371F"/>
    <w:rsid w:val="009A3879"/>
    <w:rsid w:val="009A4367"/>
    <w:rsid w:val="009A4880"/>
    <w:rsid w:val="009A51ED"/>
    <w:rsid w:val="009A5221"/>
    <w:rsid w:val="009A791B"/>
    <w:rsid w:val="009A7BD9"/>
    <w:rsid w:val="009A7EF5"/>
    <w:rsid w:val="009A7FA7"/>
    <w:rsid w:val="009B07C9"/>
    <w:rsid w:val="009B07EA"/>
    <w:rsid w:val="009B1E1D"/>
    <w:rsid w:val="009B1ED7"/>
    <w:rsid w:val="009B2710"/>
    <w:rsid w:val="009B32C5"/>
    <w:rsid w:val="009B3791"/>
    <w:rsid w:val="009B3B51"/>
    <w:rsid w:val="009B509D"/>
    <w:rsid w:val="009B56D2"/>
    <w:rsid w:val="009B68E3"/>
    <w:rsid w:val="009B6B5E"/>
    <w:rsid w:val="009C03E3"/>
    <w:rsid w:val="009C0FE0"/>
    <w:rsid w:val="009C1911"/>
    <w:rsid w:val="009C5176"/>
    <w:rsid w:val="009C6ADA"/>
    <w:rsid w:val="009D0300"/>
    <w:rsid w:val="009D1976"/>
    <w:rsid w:val="009D199C"/>
    <w:rsid w:val="009D1ECD"/>
    <w:rsid w:val="009D3436"/>
    <w:rsid w:val="009D42FB"/>
    <w:rsid w:val="009D49D4"/>
    <w:rsid w:val="009E1097"/>
    <w:rsid w:val="009E1130"/>
    <w:rsid w:val="009E2714"/>
    <w:rsid w:val="009E310C"/>
    <w:rsid w:val="009E47CB"/>
    <w:rsid w:val="009E4905"/>
    <w:rsid w:val="009E4BE1"/>
    <w:rsid w:val="009E531B"/>
    <w:rsid w:val="009E6E58"/>
    <w:rsid w:val="009F0561"/>
    <w:rsid w:val="009F1E41"/>
    <w:rsid w:val="009F3EA6"/>
    <w:rsid w:val="009F4759"/>
    <w:rsid w:val="009F4F7C"/>
    <w:rsid w:val="009F7D84"/>
    <w:rsid w:val="00A0306A"/>
    <w:rsid w:val="00A03ED8"/>
    <w:rsid w:val="00A049C2"/>
    <w:rsid w:val="00A04BDF"/>
    <w:rsid w:val="00A04C8D"/>
    <w:rsid w:val="00A04F3E"/>
    <w:rsid w:val="00A053C3"/>
    <w:rsid w:val="00A053D9"/>
    <w:rsid w:val="00A05716"/>
    <w:rsid w:val="00A07689"/>
    <w:rsid w:val="00A07814"/>
    <w:rsid w:val="00A07953"/>
    <w:rsid w:val="00A07AFA"/>
    <w:rsid w:val="00A10456"/>
    <w:rsid w:val="00A11A51"/>
    <w:rsid w:val="00A11AE9"/>
    <w:rsid w:val="00A125C6"/>
    <w:rsid w:val="00A1266C"/>
    <w:rsid w:val="00A13EAF"/>
    <w:rsid w:val="00A14460"/>
    <w:rsid w:val="00A14966"/>
    <w:rsid w:val="00A15FBA"/>
    <w:rsid w:val="00A16745"/>
    <w:rsid w:val="00A16C25"/>
    <w:rsid w:val="00A17429"/>
    <w:rsid w:val="00A20144"/>
    <w:rsid w:val="00A20368"/>
    <w:rsid w:val="00A2038F"/>
    <w:rsid w:val="00A227EB"/>
    <w:rsid w:val="00A22FE9"/>
    <w:rsid w:val="00A243B5"/>
    <w:rsid w:val="00A243F2"/>
    <w:rsid w:val="00A246BB"/>
    <w:rsid w:val="00A27FD6"/>
    <w:rsid w:val="00A30B18"/>
    <w:rsid w:val="00A30CFA"/>
    <w:rsid w:val="00A32A3F"/>
    <w:rsid w:val="00A33CBC"/>
    <w:rsid w:val="00A34083"/>
    <w:rsid w:val="00A345F1"/>
    <w:rsid w:val="00A34795"/>
    <w:rsid w:val="00A361BA"/>
    <w:rsid w:val="00A37522"/>
    <w:rsid w:val="00A37D9A"/>
    <w:rsid w:val="00A40DEF"/>
    <w:rsid w:val="00A428E1"/>
    <w:rsid w:val="00A446F8"/>
    <w:rsid w:val="00A45B18"/>
    <w:rsid w:val="00A4617C"/>
    <w:rsid w:val="00A46370"/>
    <w:rsid w:val="00A471F2"/>
    <w:rsid w:val="00A4777E"/>
    <w:rsid w:val="00A50334"/>
    <w:rsid w:val="00A503E7"/>
    <w:rsid w:val="00A504F4"/>
    <w:rsid w:val="00A508C6"/>
    <w:rsid w:val="00A51475"/>
    <w:rsid w:val="00A51551"/>
    <w:rsid w:val="00A529B1"/>
    <w:rsid w:val="00A53C78"/>
    <w:rsid w:val="00A546EE"/>
    <w:rsid w:val="00A54B7C"/>
    <w:rsid w:val="00A55602"/>
    <w:rsid w:val="00A56BA9"/>
    <w:rsid w:val="00A57B3D"/>
    <w:rsid w:val="00A604D6"/>
    <w:rsid w:val="00A614D5"/>
    <w:rsid w:val="00A62969"/>
    <w:rsid w:val="00A63866"/>
    <w:rsid w:val="00A638AB"/>
    <w:rsid w:val="00A63D3E"/>
    <w:rsid w:val="00A63F22"/>
    <w:rsid w:val="00A64A34"/>
    <w:rsid w:val="00A653A2"/>
    <w:rsid w:val="00A65B56"/>
    <w:rsid w:val="00A664D5"/>
    <w:rsid w:val="00A66B5B"/>
    <w:rsid w:val="00A67169"/>
    <w:rsid w:val="00A7166A"/>
    <w:rsid w:val="00A73B6C"/>
    <w:rsid w:val="00A744D7"/>
    <w:rsid w:val="00A76299"/>
    <w:rsid w:val="00A76CD4"/>
    <w:rsid w:val="00A77D70"/>
    <w:rsid w:val="00A81B02"/>
    <w:rsid w:val="00A829CC"/>
    <w:rsid w:val="00A82A92"/>
    <w:rsid w:val="00A84E1D"/>
    <w:rsid w:val="00A8649C"/>
    <w:rsid w:val="00A911C9"/>
    <w:rsid w:val="00A912E7"/>
    <w:rsid w:val="00A918D5"/>
    <w:rsid w:val="00A93941"/>
    <w:rsid w:val="00A946A2"/>
    <w:rsid w:val="00A95A11"/>
    <w:rsid w:val="00A972E2"/>
    <w:rsid w:val="00A97F99"/>
    <w:rsid w:val="00AA010C"/>
    <w:rsid w:val="00AA139E"/>
    <w:rsid w:val="00AA177D"/>
    <w:rsid w:val="00AA2850"/>
    <w:rsid w:val="00AA2A95"/>
    <w:rsid w:val="00AA369A"/>
    <w:rsid w:val="00AA396B"/>
    <w:rsid w:val="00AA4108"/>
    <w:rsid w:val="00AA62FC"/>
    <w:rsid w:val="00AA65BB"/>
    <w:rsid w:val="00AA66C6"/>
    <w:rsid w:val="00AB08A9"/>
    <w:rsid w:val="00AB0B52"/>
    <w:rsid w:val="00AB1295"/>
    <w:rsid w:val="00AB19C4"/>
    <w:rsid w:val="00AB24FD"/>
    <w:rsid w:val="00AB282D"/>
    <w:rsid w:val="00AB321A"/>
    <w:rsid w:val="00AB5357"/>
    <w:rsid w:val="00AB5581"/>
    <w:rsid w:val="00AB57E3"/>
    <w:rsid w:val="00AB57E5"/>
    <w:rsid w:val="00AB685D"/>
    <w:rsid w:val="00AB7AFD"/>
    <w:rsid w:val="00AB7BB2"/>
    <w:rsid w:val="00AC0AA9"/>
    <w:rsid w:val="00AC1810"/>
    <w:rsid w:val="00AC1A4A"/>
    <w:rsid w:val="00AC1EBA"/>
    <w:rsid w:val="00AC2910"/>
    <w:rsid w:val="00AC5877"/>
    <w:rsid w:val="00AC65DB"/>
    <w:rsid w:val="00AC66D5"/>
    <w:rsid w:val="00AC6B2D"/>
    <w:rsid w:val="00AC6D77"/>
    <w:rsid w:val="00AD06A2"/>
    <w:rsid w:val="00AD1331"/>
    <w:rsid w:val="00AD1EEA"/>
    <w:rsid w:val="00AD5AB9"/>
    <w:rsid w:val="00AD5EC9"/>
    <w:rsid w:val="00AD64ED"/>
    <w:rsid w:val="00AD6C03"/>
    <w:rsid w:val="00AE10A9"/>
    <w:rsid w:val="00AE246C"/>
    <w:rsid w:val="00AE2D43"/>
    <w:rsid w:val="00AF03A9"/>
    <w:rsid w:val="00AF0946"/>
    <w:rsid w:val="00AF0C3D"/>
    <w:rsid w:val="00AF14AC"/>
    <w:rsid w:val="00AF274F"/>
    <w:rsid w:val="00AF3982"/>
    <w:rsid w:val="00AF61EA"/>
    <w:rsid w:val="00AF6D24"/>
    <w:rsid w:val="00AF6DFD"/>
    <w:rsid w:val="00AF7AB8"/>
    <w:rsid w:val="00B00508"/>
    <w:rsid w:val="00B008A7"/>
    <w:rsid w:val="00B0155A"/>
    <w:rsid w:val="00B02945"/>
    <w:rsid w:val="00B0395F"/>
    <w:rsid w:val="00B04952"/>
    <w:rsid w:val="00B050DD"/>
    <w:rsid w:val="00B05BE7"/>
    <w:rsid w:val="00B05D5B"/>
    <w:rsid w:val="00B06DA6"/>
    <w:rsid w:val="00B0722A"/>
    <w:rsid w:val="00B07408"/>
    <w:rsid w:val="00B10490"/>
    <w:rsid w:val="00B11899"/>
    <w:rsid w:val="00B1199F"/>
    <w:rsid w:val="00B1200B"/>
    <w:rsid w:val="00B1225A"/>
    <w:rsid w:val="00B12552"/>
    <w:rsid w:val="00B13F00"/>
    <w:rsid w:val="00B145AA"/>
    <w:rsid w:val="00B14A2B"/>
    <w:rsid w:val="00B14A9D"/>
    <w:rsid w:val="00B16F08"/>
    <w:rsid w:val="00B1723F"/>
    <w:rsid w:val="00B207FF"/>
    <w:rsid w:val="00B20F89"/>
    <w:rsid w:val="00B210F5"/>
    <w:rsid w:val="00B22147"/>
    <w:rsid w:val="00B236CF"/>
    <w:rsid w:val="00B23766"/>
    <w:rsid w:val="00B23797"/>
    <w:rsid w:val="00B25959"/>
    <w:rsid w:val="00B267BF"/>
    <w:rsid w:val="00B26E91"/>
    <w:rsid w:val="00B31481"/>
    <w:rsid w:val="00B318AD"/>
    <w:rsid w:val="00B33B6D"/>
    <w:rsid w:val="00B342A0"/>
    <w:rsid w:val="00B41503"/>
    <w:rsid w:val="00B41A3B"/>
    <w:rsid w:val="00B41CAA"/>
    <w:rsid w:val="00B433AA"/>
    <w:rsid w:val="00B43479"/>
    <w:rsid w:val="00B43481"/>
    <w:rsid w:val="00B43ADA"/>
    <w:rsid w:val="00B44620"/>
    <w:rsid w:val="00B45929"/>
    <w:rsid w:val="00B474A4"/>
    <w:rsid w:val="00B47821"/>
    <w:rsid w:val="00B479B9"/>
    <w:rsid w:val="00B5081A"/>
    <w:rsid w:val="00B5105C"/>
    <w:rsid w:val="00B5106E"/>
    <w:rsid w:val="00B52D71"/>
    <w:rsid w:val="00B55855"/>
    <w:rsid w:val="00B55B2C"/>
    <w:rsid w:val="00B55D3A"/>
    <w:rsid w:val="00B57247"/>
    <w:rsid w:val="00B57A64"/>
    <w:rsid w:val="00B57C45"/>
    <w:rsid w:val="00B60D8A"/>
    <w:rsid w:val="00B62109"/>
    <w:rsid w:val="00B624AC"/>
    <w:rsid w:val="00B635DD"/>
    <w:rsid w:val="00B6418C"/>
    <w:rsid w:val="00B64B9D"/>
    <w:rsid w:val="00B65964"/>
    <w:rsid w:val="00B6613E"/>
    <w:rsid w:val="00B661B9"/>
    <w:rsid w:val="00B661F6"/>
    <w:rsid w:val="00B6625D"/>
    <w:rsid w:val="00B66BFE"/>
    <w:rsid w:val="00B67C36"/>
    <w:rsid w:val="00B67CA6"/>
    <w:rsid w:val="00B70621"/>
    <w:rsid w:val="00B7068A"/>
    <w:rsid w:val="00B7100A"/>
    <w:rsid w:val="00B71A78"/>
    <w:rsid w:val="00B71AAD"/>
    <w:rsid w:val="00B71B8B"/>
    <w:rsid w:val="00B72C81"/>
    <w:rsid w:val="00B74379"/>
    <w:rsid w:val="00B7516C"/>
    <w:rsid w:val="00B761EC"/>
    <w:rsid w:val="00B774D1"/>
    <w:rsid w:val="00B81A41"/>
    <w:rsid w:val="00B81EC6"/>
    <w:rsid w:val="00B83B33"/>
    <w:rsid w:val="00B8403F"/>
    <w:rsid w:val="00B84B87"/>
    <w:rsid w:val="00B85295"/>
    <w:rsid w:val="00B85C03"/>
    <w:rsid w:val="00B8699D"/>
    <w:rsid w:val="00B87CD2"/>
    <w:rsid w:val="00B9099A"/>
    <w:rsid w:val="00B90ADB"/>
    <w:rsid w:val="00B91A0C"/>
    <w:rsid w:val="00B9317E"/>
    <w:rsid w:val="00B934B5"/>
    <w:rsid w:val="00B94CED"/>
    <w:rsid w:val="00B95662"/>
    <w:rsid w:val="00B9578B"/>
    <w:rsid w:val="00B95FB0"/>
    <w:rsid w:val="00B9702F"/>
    <w:rsid w:val="00B97629"/>
    <w:rsid w:val="00B97791"/>
    <w:rsid w:val="00B97BD5"/>
    <w:rsid w:val="00BA0788"/>
    <w:rsid w:val="00BA0B87"/>
    <w:rsid w:val="00BA2144"/>
    <w:rsid w:val="00BA3F95"/>
    <w:rsid w:val="00BA4682"/>
    <w:rsid w:val="00BA5AA4"/>
    <w:rsid w:val="00BA6369"/>
    <w:rsid w:val="00BA69A4"/>
    <w:rsid w:val="00BA6DA1"/>
    <w:rsid w:val="00BA6E91"/>
    <w:rsid w:val="00BA7A29"/>
    <w:rsid w:val="00BB1016"/>
    <w:rsid w:val="00BB14D1"/>
    <w:rsid w:val="00BB4246"/>
    <w:rsid w:val="00BB617B"/>
    <w:rsid w:val="00BB76A8"/>
    <w:rsid w:val="00BB7D36"/>
    <w:rsid w:val="00BC0788"/>
    <w:rsid w:val="00BC0AEC"/>
    <w:rsid w:val="00BC2346"/>
    <w:rsid w:val="00BC3D25"/>
    <w:rsid w:val="00BC7AE6"/>
    <w:rsid w:val="00BC7D6B"/>
    <w:rsid w:val="00BD0552"/>
    <w:rsid w:val="00BD152A"/>
    <w:rsid w:val="00BD152E"/>
    <w:rsid w:val="00BD3029"/>
    <w:rsid w:val="00BD38B3"/>
    <w:rsid w:val="00BD38F9"/>
    <w:rsid w:val="00BD5039"/>
    <w:rsid w:val="00BD534A"/>
    <w:rsid w:val="00BD5969"/>
    <w:rsid w:val="00BD6787"/>
    <w:rsid w:val="00BD68FC"/>
    <w:rsid w:val="00BD76EC"/>
    <w:rsid w:val="00BE03E0"/>
    <w:rsid w:val="00BE06F9"/>
    <w:rsid w:val="00BE07B4"/>
    <w:rsid w:val="00BE1B6B"/>
    <w:rsid w:val="00BE1C45"/>
    <w:rsid w:val="00BE3BEF"/>
    <w:rsid w:val="00BE3DCD"/>
    <w:rsid w:val="00BE536A"/>
    <w:rsid w:val="00BE53AB"/>
    <w:rsid w:val="00BE61CF"/>
    <w:rsid w:val="00BE63D6"/>
    <w:rsid w:val="00BE6D9B"/>
    <w:rsid w:val="00BE7060"/>
    <w:rsid w:val="00BE71AE"/>
    <w:rsid w:val="00BF04D0"/>
    <w:rsid w:val="00BF09A5"/>
    <w:rsid w:val="00BF0BA5"/>
    <w:rsid w:val="00BF0F39"/>
    <w:rsid w:val="00BF173A"/>
    <w:rsid w:val="00BF203C"/>
    <w:rsid w:val="00BF3F68"/>
    <w:rsid w:val="00BF5E48"/>
    <w:rsid w:val="00BF5F34"/>
    <w:rsid w:val="00BF66F4"/>
    <w:rsid w:val="00BF6F2A"/>
    <w:rsid w:val="00BF7205"/>
    <w:rsid w:val="00C0031F"/>
    <w:rsid w:val="00C005C7"/>
    <w:rsid w:val="00C00632"/>
    <w:rsid w:val="00C009C8"/>
    <w:rsid w:val="00C01E88"/>
    <w:rsid w:val="00C0261B"/>
    <w:rsid w:val="00C028CF"/>
    <w:rsid w:val="00C03A1D"/>
    <w:rsid w:val="00C051A3"/>
    <w:rsid w:val="00C055F0"/>
    <w:rsid w:val="00C057E8"/>
    <w:rsid w:val="00C05D28"/>
    <w:rsid w:val="00C06B8B"/>
    <w:rsid w:val="00C06E75"/>
    <w:rsid w:val="00C07558"/>
    <w:rsid w:val="00C115E0"/>
    <w:rsid w:val="00C11ABA"/>
    <w:rsid w:val="00C12310"/>
    <w:rsid w:val="00C1369C"/>
    <w:rsid w:val="00C14A7D"/>
    <w:rsid w:val="00C15A4C"/>
    <w:rsid w:val="00C15E6E"/>
    <w:rsid w:val="00C1765F"/>
    <w:rsid w:val="00C17EAD"/>
    <w:rsid w:val="00C203B4"/>
    <w:rsid w:val="00C203EC"/>
    <w:rsid w:val="00C22CB0"/>
    <w:rsid w:val="00C22DF5"/>
    <w:rsid w:val="00C23F8A"/>
    <w:rsid w:val="00C24289"/>
    <w:rsid w:val="00C25E62"/>
    <w:rsid w:val="00C269EB"/>
    <w:rsid w:val="00C2706D"/>
    <w:rsid w:val="00C27209"/>
    <w:rsid w:val="00C30CE2"/>
    <w:rsid w:val="00C3136E"/>
    <w:rsid w:val="00C31912"/>
    <w:rsid w:val="00C32362"/>
    <w:rsid w:val="00C33740"/>
    <w:rsid w:val="00C33D8F"/>
    <w:rsid w:val="00C34259"/>
    <w:rsid w:val="00C34C08"/>
    <w:rsid w:val="00C35622"/>
    <w:rsid w:val="00C35EBA"/>
    <w:rsid w:val="00C37E61"/>
    <w:rsid w:val="00C40875"/>
    <w:rsid w:val="00C40A84"/>
    <w:rsid w:val="00C4168D"/>
    <w:rsid w:val="00C416FA"/>
    <w:rsid w:val="00C42879"/>
    <w:rsid w:val="00C43A30"/>
    <w:rsid w:val="00C43C27"/>
    <w:rsid w:val="00C45F07"/>
    <w:rsid w:val="00C46DE1"/>
    <w:rsid w:val="00C4753E"/>
    <w:rsid w:val="00C506F4"/>
    <w:rsid w:val="00C50EE3"/>
    <w:rsid w:val="00C516F6"/>
    <w:rsid w:val="00C525F3"/>
    <w:rsid w:val="00C5703E"/>
    <w:rsid w:val="00C609E0"/>
    <w:rsid w:val="00C6304B"/>
    <w:rsid w:val="00C641D1"/>
    <w:rsid w:val="00C66091"/>
    <w:rsid w:val="00C66145"/>
    <w:rsid w:val="00C667BB"/>
    <w:rsid w:val="00C66F3A"/>
    <w:rsid w:val="00C670D2"/>
    <w:rsid w:val="00C673EE"/>
    <w:rsid w:val="00C70B2F"/>
    <w:rsid w:val="00C70C45"/>
    <w:rsid w:val="00C72071"/>
    <w:rsid w:val="00C73073"/>
    <w:rsid w:val="00C74931"/>
    <w:rsid w:val="00C75138"/>
    <w:rsid w:val="00C759BD"/>
    <w:rsid w:val="00C75D36"/>
    <w:rsid w:val="00C761FD"/>
    <w:rsid w:val="00C76A02"/>
    <w:rsid w:val="00C77789"/>
    <w:rsid w:val="00C827EA"/>
    <w:rsid w:val="00C82D87"/>
    <w:rsid w:val="00C82E39"/>
    <w:rsid w:val="00C84008"/>
    <w:rsid w:val="00C85060"/>
    <w:rsid w:val="00C85740"/>
    <w:rsid w:val="00C8655A"/>
    <w:rsid w:val="00C86DDB"/>
    <w:rsid w:val="00C90693"/>
    <w:rsid w:val="00C90B80"/>
    <w:rsid w:val="00C91A09"/>
    <w:rsid w:val="00C91ABE"/>
    <w:rsid w:val="00C91E97"/>
    <w:rsid w:val="00C94E2C"/>
    <w:rsid w:val="00C959F7"/>
    <w:rsid w:val="00C968E0"/>
    <w:rsid w:val="00C96BDF"/>
    <w:rsid w:val="00C9713B"/>
    <w:rsid w:val="00C97C00"/>
    <w:rsid w:val="00CA13A4"/>
    <w:rsid w:val="00CA13F0"/>
    <w:rsid w:val="00CA1F36"/>
    <w:rsid w:val="00CA28DE"/>
    <w:rsid w:val="00CA3404"/>
    <w:rsid w:val="00CA3D5B"/>
    <w:rsid w:val="00CA443D"/>
    <w:rsid w:val="00CA57DD"/>
    <w:rsid w:val="00CA79F0"/>
    <w:rsid w:val="00CA7BFD"/>
    <w:rsid w:val="00CB15E9"/>
    <w:rsid w:val="00CB2317"/>
    <w:rsid w:val="00CB32CE"/>
    <w:rsid w:val="00CB363D"/>
    <w:rsid w:val="00CB4358"/>
    <w:rsid w:val="00CB4EA7"/>
    <w:rsid w:val="00CB5E38"/>
    <w:rsid w:val="00CB66AB"/>
    <w:rsid w:val="00CB744A"/>
    <w:rsid w:val="00CB75D7"/>
    <w:rsid w:val="00CC1122"/>
    <w:rsid w:val="00CC12BF"/>
    <w:rsid w:val="00CC1D71"/>
    <w:rsid w:val="00CC248A"/>
    <w:rsid w:val="00CC2AA0"/>
    <w:rsid w:val="00CC42F6"/>
    <w:rsid w:val="00CC4BD4"/>
    <w:rsid w:val="00CC5139"/>
    <w:rsid w:val="00CD05FE"/>
    <w:rsid w:val="00CD11EC"/>
    <w:rsid w:val="00CD17A2"/>
    <w:rsid w:val="00CD406F"/>
    <w:rsid w:val="00CD4316"/>
    <w:rsid w:val="00CD44BE"/>
    <w:rsid w:val="00CD45A2"/>
    <w:rsid w:val="00CD4C66"/>
    <w:rsid w:val="00CD7E69"/>
    <w:rsid w:val="00CD7FA0"/>
    <w:rsid w:val="00CE0A4B"/>
    <w:rsid w:val="00CE0F94"/>
    <w:rsid w:val="00CE2ABB"/>
    <w:rsid w:val="00CE3091"/>
    <w:rsid w:val="00CE31D0"/>
    <w:rsid w:val="00CE37B0"/>
    <w:rsid w:val="00CE3F61"/>
    <w:rsid w:val="00CE69C1"/>
    <w:rsid w:val="00CE6B92"/>
    <w:rsid w:val="00CE77CD"/>
    <w:rsid w:val="00CF4D91"/>
    <w:rsid w:val="00CF4ECE"/>
    <w:rsid w:val="00CF73F1"/>
    <w:rsid w:val="00D01D16"/>
    <w:rsid w:val="00D02757"/>
    <w:rsid w:val="00D03264"/>
    <w:rsid w:val="00D03CFD"/>
    <w:rsid w:val="00D042D9"/>
    <w:rsid w:val="00D044BC"/>
    <w:rsid w:val="00D04B4F"/>
    <w:rsid w:val="00D05292"/>
    <w:rsid w:val="00D056EA"/>
    <w:rsid w:val="00D07D48"/>
    <w:rsid w:val="00D1008D"/>
    <w:rsid w:val="00D100E4"/>
    <w:rsid w:val="00D102F1"/>
    <w:rsid w:val="00D10912"/>
    <w:rsid w:val="00D10E30"/>
    <w:rsid w:val="00D12487"/>
    <w:rsid w:val="00D13BE5"/>
    <w:rsid w:val="00D147B8"/>
    <w:rsid w:val="00D152D5"/>
    <w:rsid w:val="00D15957"/>
    <w:rsid w:val="00D17995"/>
    <w:rsid w:val="00D21EE0"/>
    <w:rsid w:val="00D238F7"/>
    <w:rsid w:val="00D24326"/>
    <w:rsid w:val="00D246AD"/>
    <w:rsid w:val="00D255E0"/>
    <w:rsid w:val="00D25719"/>
    <w:rsid w:val="00D25B79"/>
    <w:rsid w:val="00D25DD8"/>
    <w:rsid w:val="00D2669C"/>
    <w:rsid w:val="00D26767"/>
    <w:rsid w:val="00D273D7"/>
    <w:rsid w:val="00D279D5"/>
    <w:rsid w:val="00D27BDB"/>
    <w:rsid w:val="00D27DC6"/>
    <w:rsid w:val="00D312B2"/>
    <w:rsid w:val="00D3164E"/>
    <w:rsid w:val="00D31688"/>
    <w:rsid w:val="00D316C1"/>
    <w:rsid w:val="00D31F9D"/>
    <w:rsid w:val="00D3308C"/>
    <w:rsid w:val="00D33107"/>
    <w:rsid w:val="00D335A9"/>
    <w:rsid w:val="00D335F4"/>
    <w:rsid w:val="00D3492B"/>
    <w:rsid w:val="00D34B83"/>
    <w:rsid w:val="00D36D81"/>
    <w:rsid w:val="00D40EBE"/>
    <w:rsid w:val="00D42BCA"/>
    <w:rsid w:val="00D43F78"/>
    <w:rsid w:val="00D44027"/>
    <w:rsid w:val="00D4430F"/>
    <w:rsid w:val="00D4446B"/>
    <w:rsid w:val="00D45236"/>
    <w:rsid w:val="00D46F4A"/>
    <w:rsid w:val="00D47072"/>
    <w:rsid w:val="00D50558"/>
    <w:rsid w:val="00D50C63"/>
    <w:rsid w:val="00D51F45"/>
    <w:rsid w:val="00D52356"/>
    <w:rsid w:val="00D5279B"/>
    <w:rsid w:val="00D528D2"/>
    <w:rsid w:val="00D52C32"/>
    <w:rsid w:val="00D535DB"/>
    <w:rsid w:val="00D54918"/>
    <w:rsid w:val="00D55060"/>
    <w:rsid w:val="00D55081"/>
    <w:rsid w:val="00D565D9"/>
    <w:rsid w:val="00D610E4"/>
    <w:rsid w:val="00D63DDD"/>
    <w:rsid w:val="00D64B1A"/>
    <w:rsid w:val="00D6532C"/>
    <w:rsid w:val="00D65501"/>
    <w:rsid w:val="00D656BF"/>
    <w:rsid w:val="00D65B93"/>
    <w:rsid w:val="00D66BC5"/>
    <w:rsid w:val="00D67764"/>
    <w:rsid w:val="00D70728"/>
    <w:rsid w:val="00D711EA"/>
    <w:rsid w:val="00D71614"/>
    <w:rsid w:val="00D721FD"/>
    <w:rsid w:val="00D72800"/>
    <w:rsid w:val="00D7287E"/>
    <w:rsid w:val="00D72EC3"/>
    <w:rsid w:val="00D7300A"/>
    <w:rsid w:val="00D73177"/>
    <w:rsid w:val="00D7357A"/>
    <w:rsid w:val="00D73D38"/>
    <w:rsid w:val="00D74A33"/>
    <w:rsid w:val="00D753C4"/>
    <w:rsid w:val="00D75E67"/>
    <w:rsid w:val="00D75FAC"/>
    <w:rsid w:val="00D760D4"/>
    <w:rsid w:val="00D7686A"/>
    <w:rsid w:val="00D7706F"/>
    <w:rsid w:val="00D77AC9"/>
    <w:rsid w:val="00D80440"/>
    <w:rsid w:val="00D81AFB"/>
    <w:rsid w:val="00D81B52"/>
    <w:rsid w:val="00D82261"/>
    <w:rsid w:val="00D82CDE"/>
    <w:rsid w:val="00D83396"/>
    <w:rsid w:val="00D83EB4"/>
    <w:rsid w:val="00D85180"/>
    <w:rsid w:val="00D851A0"/>
    <w:rsid w:val="00D851B1"/>
    <w:rsid w:val="00D852AF"/>
    <w:rsid w:val="00D8612F"/>
    <w:rsid w:val="00D8683A"/>
    <w:rsid w:val="00D87A56"/>
    <w:rsid w:val="00D87A8F"/>
    <w:rsid w:val="00D87AA7"/>
    <w:rsid w:val="00D87EA8"/>
    <w:rsid w:val="00D91331"/>
    <w:rsid w:val="00D91C8E"/>
    <w:rsid w:val="00D921A9"/>
    <w:rsid w:val="00D92480"/>
    <w:rsid w:val="00D9259D"/>
    <w:rsid w:val="00D9410B"/>
    <w:rsid w:val="00D94387"/>
    <w:rsid w:val="00D947D1"/>
    <w:rsid w:val="00D94926"/>
    <w:rsid w:val="00D95E01"/>
    <w:rsid w:val="00D97BBA"/>
    <w:rsid w:val="00DA075D"/>
    <w:rsid w:val="00DA135A"/>
    <w:rsid w:val="00DA1660"/>
    <w:rsid w:val="00DA17D3"/>
    <w:rsid w:val="00DA1ACA"/>
    <w:rsid w:val="00DA1D25"/>
    <w:rsid w:val="00DA2075"/>
    <w:rsid w:val="00DA2D6D"/>
    <w:rsid w:val="00DA43D1"/>
    <w:rsid w:val="00DA52AF"/>
    <w:rsid w:val="00DA6750"/>
    <w:rsid w:val="00DA67E4"/>
    <w:rsid w:val="00DA7095"/>
    <w:rsid w:val="00DB021C"/>
    <w:rsid w:val="00DB0565"/>
    <w:rsid w:val="00DB0B65"/>
    <w:rsid w:val="00DB0BC5"/>
    <w:rsid w:val="00DB1D45"/>
    <w:rsid w:val="00DB31AC"/>
    <w:rsid w:val="00DB3D59"/>
    <w:rsid w:val="00DB43BB"/>
    <w:rsid w:val="00DB49BC"/>
    <w:rsid w:val="00DB6188"/>
    <w:rsid w:val="00DB62CF"/>
    <w:rsid w:val="00DB6662"/>
    <w:rsid w:val="00DB6665"/>
    <w:rsid w:val="00DB67B7"/>
    <w:rsid w:val="00DB6962"/>
    <w:rsid w:val="00DB6BBB"/>
    <w:rsid w:val="00DC06C4"/>
    <w:rsid w:val="00DC1712"/>
    <w:rsid w:val="00DC1C6B"/>
    <w:rsid w:val="00DC1CA1"/>
    <w:rsid w:val="00DC20DE"/>
    <w:rsid w:val="00DC4E9A"/>
    <w:rsid w:val="00DC76A3"/>
    <w:rsid w:val="00DD0939"/>
    <w:rsid w:val="00DD0944"/>
    <w:rsid w:val="00DD1912"/>
    <w:rsid w:val="00DD1F5B"/>
    <w:rsid w:val="00DD2F45"/>
    <w:rsid w:val="00DD2FE6"/>
    <w:rsid w:val="00DD3423"/>
    <w:rsid w:val="00DD373A"/>
    <w:rsid w:val="00DD3FFC"/>
    <w:rsid w:val="00DD401F"/>
    <w:rsid w:val="00DD45FE"/>
    <w:rsid w:val="00DD4C41"/>
    <w:rsid w:val="00DD6696"/>
    <w:rsid w:val="00DD7233"/>
    <w:rsid w:val="00DD7C74"/>
    <w:rsid w:val="00DE019C"/>
    <w:rsid w:val="00DE106E"/>
    <w:rsid w:val="00DE14D1"/>
    <w:rsid w:val="00DE24DD"/>
    <w:rsid w:val="00DE4253"/>
    <w:rsid w:val="00DE4C15"/>
    <w:rsid w:val="00DE5071"/>
    <w:rsid w:val="00DE5C23"/>
    <w:rsid w:val="00DF06F2"/>
    <w:rsid w:val="00DF1AE9"/>
    <w:rsid w:val="00DF1F37"/>
    <w:rsid w:val="00DF2012"/>
    <w:rsid w:val="00DF3BA6"/>
    <w:rsid w:val="00DF4078"/>
    <w:rsid w:val="00DF4FEE"/>
    <w:rsid w:val="00DF63F6"/>
    <w:rsid w:val="00DF686D"/>
    <w:rsid w:val="00DF6E64"/>
    <w:rsid w:val="00DF6F92"/>
    <w:rsid w:val="00DF6FDB"/>
    <w:rsid w:val="00E00954"/>
    <w:rsid w:val="00E00A8D"/>
    <w:rsid w:val="00E017C0"/>
    <w:rsid w:val="00E027C8"/>
    <w:rsid w:val="00E050ED"/>
    <w:rsid w:val="00E07215"/>
    <w:rsid w:val="00E1100F"/>
    <w:rsid w:val="00E13098"/>
    <w:rsid w:val="00E133C5"/>
    <w:rsid w:val="00E14593"/>
    <w:rsid w:val="00E146EE"/>
    <w:rsid w:val="00E15C47"/>
    <w:rsid w:val="00E160D4"/>
    <w:rsid w:val="00E168AF"/>
    <w:rsid w:val="00E1691F"/>
    <w:rsid w:val="00E16D57"/>
    <w:rsid w:val="00E202B4"/>
    <w:rsid w:val="00E203FF"/>
    <w:rsid w:val="00E20973"/>
    <w:rsid w:val="00E20F89"/>
    <w:rsid w:val="00E21C53"/>
    <w:rsid w:val="00E22565"/>
    <w:rsid w:val="00E23AD0"/>
    <w:rsid w:val="00E25E51"/>
    <w:rsid w:val="00E302E8"/>
    <w:rsid w:val="00E3034C"/>
    <w:rsid w:val="00E328CB"/>
    <w:rsid w:val="00E336BE"/>
    <w:rsid w:val="00E33908"/>
    <w:rsid w:val="00E35060"/>
    <w:rsid w:val="00E351CC"/>
    <w:rsid w:val="00E369E7"/>
    <w:rsid w:val="00E36A4D"/>
    <w:rsid w:val="00E4210E"/>
    <w:rsid w:val="00E42B05"/>
    <w:rsid w:val="00E42B57"/>
    <w:rsid w:val="00E47F19"/>
    <w:rsid w:val="00E507E5"/>
    <w:rsid w:val="00E517D8"/>
    <w:rsid w:val="00E55060"/>
    <w:rsid w:val="00E55A54"/>
    <w:rsid w:val="00E55A5C"/>
    <w:rsid w:val="00E55ADD"/>
    <w:rsid w:val="00E566E8"/>
    <w:rsid w:val="00E571C1"/>
    <w:rsid w:val="00E57F4C"/>
    <w:rsid w:val="00E606F0"/>
    <w:rsid w:val="00E60C35"/>
    <w:rsid w:val="00E61E9A"/>
    <w:rsid w:val="00E6203A"/>
    <w:rsid w:val="00E63D0C"/>
    <w:rsid w:val="00E6442A"/>
    <w:rsid w:val="00E64595"/>
    <w:rsid w:val="00E64787"/>
    <w:rsid w:val="00E6566E"/>
    <w:rsid w:val="00E66189"/>
    <w:rsid w:val="00E66804"/>
    <w:rsid w:val="00E66FDA"/>
    <w:rsid w:val="00E67F22"/>
    <w:rsid w:val="00E701D5"/>
    <w:rsid w:val="00E70A60"/>
    <w:rsid w:val="00E71B04"/>
    <w:rsid w:val="00E71C53"/>
    <w:rsid w:val="00E71E89"/>
    <w:rsid w:val="00E73F2C"/>
    <w:rsid w:val="00E7453F"/>
    <w:rsid w:val="00E75A0A"/>
    <w:rsid w:val="00E75F70"/>
    <w:rsid w:val="00E7793C"/>
    <w:rsid w:val="00E803FB"/>
    <w:rsid w:val="00E810D7"/>
    <w:rsid w:val="00E816FC"/>
    <w:rsid w:val="00E820F4"/>
    <w:rsid w:val="00E83213"/>
    <w:rsid w:val="00E84770"/>
    <w:rsid w:val="00E85649"/>
    <w:rsid w:val="00E90E92"/>
    <w:rsid w:val="00E916B7"/>
    <w:rsid w:val="00E91F7E"/>
    <w:rsid w:val="00E92087"/>
    <w:rsid w:val="00E92F08"/>
    <w:rsid w:val="00E932A1"/>
    <w:rsid w:val="00E932DF"/>
    <w:rsid w:val="00E932F7"/>
    <w:rsid w:val="00E963E4"/>
    <w:rsid w:val="00E96A5B"/>
    <w:rsid w:val="00E96C66"/>
    <w:rsid w:val="00E974C8"/>
    <w:rsid w:val="00E974F2"/>
    <w:rsid w:val="00E9792D"/>
    <w:rsid w:val="00EA1392"/>
    <w:rsid w:val="00EA246D"/>
    <w:rsid w:val="00EA2534"/>
    <w:rsid w:val="00EA275F"/>
    <w:rsid w:val="00EA2AC5"/>
    <w:rsid w:val="00EA3E6A"/>
    <w:rsid w:val="00EA4DED"/>
    <w:rsid w:val="00EA583C"/>
    <w:rsid w:val="00EA79BA"/>
    <w:rsid w:val="00EA7C00"/>
    <w:rsid w:val="00EB12F2"/>
    <w:rsid w:val="00EB17E9"/>
    <w:rsid w:val="00EB1C48"/>
    <w:rsid w:val="00EB2478"/>
    <w:rsid w:val="00EB2C80"/>
    <w:rsid w:val="00EB34AB"/>
    <w:rsid w:val="00EB396F"/>
    <w:rsid w:val="00EB5ED2"/>
    <w:rsid w:val="00EB7DDE"/>
    <w:rsid w:val="00EC0254"/>
    <w:rsid w:val="00EC0AEB"/>
    <w:rsid w:val="00EC393A"/>
    <w:rsid w:val="00EC50FC"/>
    <w:rsid w:val="00EC539E"/>
    <w:rsid w:val="00EC6BE7"/>
    <w:rsid w:val="00EC6CFA"/>
    <w:rsid w:val="00EC7024"/>
    <w:rsid w:val="00EC77E8"/>
    <w:rsid w:val="00ED0501"/>
    <w:rsid w:val="00ED084D"/>
    <w:rsid w:val="00ED0B01"/>
    <w:rsid w:val="00ED175A"/>
    <w:rsid w:val="00ED3A6E"/>
    <w:rsid w:val="00ED3FAD"/>
    <w:rsid w:val="00ED40BC"/>
    <w:rsid w:val="00ED45A0"/>
    <w:rsid w:val="00ED67F1"/>
    <w:rsid w:val="00ED7B9A"/>
    <w:rsid w:val="00ED7D67"/>
    <w:rsid w:val="00EE0859"/>
    <w:rsid w:val="00EE0864"/>
    <w:rsid w:val="00EE0E59"/>
    <w:rsid w:val="00EE1FE6"/>
    <w:rsid w:val="00EE2D4C"/>
    <w:rsid w:val="00EE3451"/>
    <w:rsid w:val="00EE3CF7"/>
    <w:rsid w:val="00EE480D"/>
    <w:rsid w:val="00EE6BED"/>
    <w:rsid w:val="00EE74BB"/>
    <w:rsid w:val="00EE787C"/>
    <w:rsid w:val="00EE7B66"/>
    <w:rsid w:val="00EE7DF1"/>
    <w:rsid w:val="00EF0917"/>
    <w:rsid w:val="00EF0A81"/>
    <w:rsid w:val="00EF1773"/>
    <w:rsid w:val="00EF1964"/>
    <w:rsid w:val="00EF21D7"/>
    <w:rsid w:val="00EF2B62"/>
    <w:rsid w:val="00EF30C7"/>
    <w:rsid w:val="00EF32B5"/>
    <w:rsid w:val="00EF3A0A"/>
    <w:rsid w:val="00EF4ABD"/>
    <w:rsid w:val="00EF54BF"/>
    <w:rsid w:val="00EF5892"/>
    <w:rsid w:val="00EF5EDF"/>
    <w:rsid w:val="00EF67A3"/>
    <w:rsid w:val="00F00832"/>
    <w:rsid w:val="00F00A25"/>
    <w:rsid w:val="00F00DEE"/>
    <w:rsid w:val="00F01A9A"/>
    <w:rsid w:val="00F02164"/>
    <w:rsid w:val="00F02F6F"/>
    <w:rsid w:val="00F03818"/>
    <w:rsid w:val="00F03E57"/>
    <w:rsid w:val="00F03F44"/>
    <w:rsid w:val="00F042D0"/>
    <w:rsid w:val="00F04531"/>
    <w:rsid w:val="00F0458E"/>
    <w:rsid w:val="00F04F9E"/>
    <w:rsid w:val="00F051C7"/>
    <w:rsid w:val="00F0596B"/>
    <w:rsid w:val="00F06C43"/>
    <w:rsid w:val="00F06E22"/>
    <w:rsid w:val="00F10C87"/>
    <w:rsid w:val="00F11072"/>
    <w:rsid w:val="00F113CC"/>
    <w:rsid w:val="00F127F0"/>
    <w:rsid w:val="00F12FEE"/>
    <w:rsid w:val="00F1397B"/>
    <w:rsid w:val="00F13DC4"/>
    <w:rsid w:val="00F14B63"/>
    <w:rsid w:val="00F16C8C"/>
    <w:rsid w:val="00F16DFF"/>
    <w:rsid w:val="00F17576"/>
    <w:rsid w:val="00F2069F"/>
    <w:rsid w:val="00F21009"/>
    <w:rsid w:val="00F241DB"/>
    <w:rsid w:val="00F24DC3"/>
    <w:rsid w:val="00F25893"/>
    <w:rsid w:val="00F318DC"/>
    <w:rsid w:val="00F31DCD"/>
    <w:rsid w:val="00F328E4"/>
    <w:rsid w:val="00F32DCD"/>
    <w:rsid w:val="00F335B1"/>
    <w:rsid w:val="00F3430D"/>
    <w:rsid w:val="00F36222"/>
    <w:rsid w:val="00F3730B"/>
    <w:rsid w:val="00F37D5F"/>
    <w:rsid w:val="00F4022F"/>
    <w:rsid w:val="00F41FD6"/>
    <w:rsid w:val="00F42170"/>
    <w:rsid w:val="00F44739"/>
    <w:rsid w:val="00F45711"/>
    <w:rsid w:val="00F46EF3"/>
    <w:rsid w:val="00F47847"/>
    <w:rsid w:val="00F47CF0"/>
    <w:rsid w:val="00F50364"/>
    <w:rsid w:val="00F504B8"/>
    <w:rsid w:val="00F50F62"/>
    <w:rsid w:val="00F50FA5"/>
    <w:rsid w:val="00F51266"/>
    <w:rsid w:val="00F52914"/>
    <w:rsid w:val="00F54CB6"/>
    <w:rsid w:val="00F5537E"/>
    <w:rsid w:val="00F55A2F"/>
    <w:rsid w:val="00F609F5"/>
    <w:rsid w:val="00F61281"/>
    <w:rsid w:val="00F63231"/>
    <w:rsid w:val="00F633CD"/>
    <w:rsid w:val="00F63A6C"/>
    <w:rsid w:val="00F63FD1"/>
    <w:rsid w:val="00F64411"/>
    <w:rsid w:val="00F653D6"/>
    <w:rsid w:val="00F657A9"/>
    <w:rsid w:val="00F659BC"/>
    <w:rsid w:val="00F65CFF"/>
    <w:rsid w:val="00F70364"/>
    <w:rsid w:val="00F704AD"/>
    <w:rsid w:val="00F705BB"/>
    <w:rsid w:val="00F70AE0"/>
    <w:rsid w:val="00F71861"/>
    <w:rsid w:val="00F732DC"/>
    <w:rsid w:val="00F75837"/>
    <w:rsid w:val="00F75904"/>
    <w:rsid w:val="00F76ABE"/>
    <w:rsid w:val="00F81146"/>
    <w:rsid w:val="00F813AD"/>
    <w:rsid w:val="00F833A8"/>
    <w:rsid w:val="00F83C9B"/>
    <w:rsid w:val="00F83F84"/>
    <w:rsid w:val="00F8492D"/>
    <w:rsid w:val="00F85572"/>
    <w:rsid w:val="00F873C8"/>
    <w:rsid w:val="00F907A2"/>
    <w:rsid w:val="00F90C78"/>
    <w:rsid w:val="00F9144D"/>
    <w:rsid w:val="00F92191"/>
    <w:rsid w:val="00F9273E"/>
    <w:rsid w:val="00F92CA7"/>
    <w:rsid w:val="00F93D25"/>
    <w:rsid w:val="00F95197"/>
    <w:rsid w:val="00F9531D"/>
    <w:rsid w:val="00F95905"/>
    <w:rsid w:val="00F96125"/>
    <w:rsid w:val="00FA034B"/>
    <w:rsid w:val="00FA0DC1"/>
    <w:rsid w:val="00FA1545"/>
    <w:rsid w:val="00FA154F"/>
    <w:rsid w:val="00FA198C"/>
    <w:rsid w:val="00FA2584"/>
    <w:rsid w:val="00FA2F59"/>
    <w:rsid w:val="00FA3BA4"/>
    <w:rsid w:val="00FA3CE2"/>
    <w:rsid w:val="00FA434B"/>
    <w:rsid w:val="00FA4752"/>
    <w:rsid w:val="00FA6A8B"/>
    <w:rsid w:val="00FA7185"/>
    <w:rsid w:val="00FB034E"/>
    <w:rsid w:val="00FB0C9B"/>
    <w:rsid w:val="00FB1DAE"/>
    <w:rsid w:val="00FB1F11"/>
    <w:rsid w:val="00FB24A4"/>
    <w:rsid w:val="00FB386D"/>
    <w:rsid w:val="00FB420E"/>
    <w:rsid w:val="00FB45F3"/>
    <w:rsid w:val="00FB56E7"/>
    <w:rsid w:val="00FB5B53"/>
    <w:rsid w:val="00FB6780"/>
    <w:rsid w:val="00FB6A23"/>
    <w:rsid w:val="00FB6CEF"/>
    <w:rsid w:val="00FB704B"/>
    <w:rsid w:val="00FC1303"/>
    <w:rsid w:val="00FC30E9"/>
    <w:rsid w:val="00FC313D"/>
    <w:rsid w:val="00FC3FFB"/>
    <w:rsid w:val="00FC4C37"/>
    <w:rsid w:val="00FC6FB2"/>
    <w:rsid w:val="00FC7181"/>
    <w:rsid w:val="00FD1E7B"/>
    <w:rsid w:val="00FD2082"/>
    <w:rsid w:val="00FD233F"/>
    <w:rsid w:val="00FD29BD"/>
    <w:rsid w:val="00FD3307"/>
    <w:rsid w:val="00FD33B7"/>
    <w:rsid w:val="00FD3602"/>
    <w:rsid w:val="00FD47FE"/>
    <w:rsid w:val="00FD49B4"/>
    <w:rsid w:val="00FD5296"/>
    <w:rsid w:val="00FD6962"/>
    <w:rsid w:val="00FD7132"/>
    <w:rsid w:val="00FD716D"/>
    <w:rsid w:val="00FD7941"/>
    <w:rsid w:val="00FE09B3"/>
    <w:rsid w:val="00FE1447"/>
    <w:rsid w:val="00FE4AC1"/>
    <w:rsid w:val="00FE4EBD"/>
    <w:rsid w:val="00FE5960"/>
    <w:rsid w:val="00FE5B1F"/>
    <w:rsid w:val="00FF0523"/>
    <w:rsid w:val="00FF1A04"/>
    <w:rsid w:val="00FF3A02"/>
    <w:rsid w:val="00FF3A8A"/>
    <w:rsid w:val="00FF56B1"/>
    <w:rsid w:val="00FF5E76"/>
    <w:rsid w:val="00FF629A"/>
    <w:rsid w:val="00FF7FF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27F6"/>
  <w15:chartTrackingRefBased/>
  <w15:docId w15:val="{A2E73A92-0ADF-40B2-A67B-594DFD1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D84"/>
    <w:pPr>
      <w:spacing w:before="100" w:beforeAutospacing="1" w:after="100" w:afterAutospacing="1"/>
      <w:outlineLvl w:val="0"/>
    </w:pPr>
    <w:rPr>
      <w:rFonts w:ascii="Times New Roman" w:eastAsia="Times New Roman" w:hAnsi="Times New Roman" w:cs="Times New Roman"/>
      <w:b/>
      <w:kern w:val="36"/>
      <w:sz w:val="48"/>
      <w:szCs w:val="48"/>
      <w:lang w:eastAsia="en-CA"/>
    </w:rPr>
  </w:style>
  <w:style w:type="paragraph" w:styleId="Heading2">
    <w:name w:val="heading 2"/>
    <w:basedOn w:val="Normal"/>
    <w:next w:val="Normal"/>
    <w:link w:val="Heading2Char"/>
    <w:uiPriority w:val="9"/>
    <w:unhideWhenUsed/>
    <w:qFormat/>
    <w:rsid w:val="00D655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501"/>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34B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1D9"/>
    <w:pPr>
      <w:spacing w:after="0"/>
    </w:pPr>
    <w:rPr>
      <w:sz w:val="20"/>
      <w:szCs w:val="20"/>
    </w:rPr>
  </w:style>
  <w:style w:type="character" w:customStyle="1" w:styleId="FootnoteTextChar">
    <w:name w:val="Footnote Text Char"/>
    <w:basedOn w:val="DefaultParagraphFont"/>
    <w:link w:val="FootnoteText"/>
    <w:uiPriority w:val="99"/>
    <w:rsid w:val="006241D9"/>
    <w:rPr>
      <w:sz w:val="20"/>
      <w:szCs w:val="20"/>
    </w:rPr>
  </w:style>
  <w:style w:type="character" w:styleId="FootnoteReference">
    <w:name w:val="footnote reference"/>
    <w:basedOn w:val="DefaultParagraphFont"/>
    <w:uiPriority w:val="99"/>
    <w:semiHidden/>
    <w:unhideWhenUsed/>
    <w:rsid w:val="006241D9"/>
    <w:rPr>
      <w:vertAlign w:val="superscript"/>
    </w:rPr>
  </w:style>
  <w:style w:type="paragraph" w:styleId="Header">
    <w:name w:val="header"/>
    <w:basedOn w:val="Normal"/>
    <w:link w:val="HeaderChar"/>
    <w:uiPriority w:val="99"/>
    <w:unhideWhenUsed/>
    <w:rsid w:val="00316D9B"/>
    <w:pPr>
      <w:tabs>
        <w:tab w:val="center" w:pos="4680"/>
        <w:tab w:val="right" w:pos="9360"/>
      </w:tabs>
      <w:spacing w:after="0"/>
    </w:pPr>
  </w:style>
  <w:style w:type="character" w:customStyle="1" w:styleId="HeaderChar">
    <w:name w:val="Header Char"/>
    <w:basedOn w:val="DefaultParagraphFont"/>
    <w:link w:val="Header"/>
    <w:uiPriority w:val="99"/>
    <w:rsid w:val="00316D9B"/>
  </w:style>
  <w:style w:type="paragraph" w:styleId="Footer">
    <w:name w:val="footer"/>
    <w:basedOn w:val="Normal"/>
    <w:link w:val="FooterChar"/>
    <w:uiPriority w:val="99"/>
    <w:unhideWhenUsed/>
    <w:rsid w:val="00316D9B"/>
    <w:pPr>
      <w:tabs>
        <w:tab w:val="center" w:pos="4680"/>
        <w:tab w:val="right" w:pos="9360"/>
      </w:tabs>
      <w:spacing w:after="0"/>
    </w:pPr>
  </w:style>
  <w:style w:type="character" w:customStyle="1" w:styleId="FooterChar">
    <w:name w:val="Footer Char"/>
    <w:basedOn w:val="DefaultParagraphFont"/>
    <w:link w:val="Footer"/>
    <w:uiPriority w:val="99"/>
    <w:rsid w:val="00316D9B"/>
  </w:style>
  <w:style w:type="character" w:customStyle="1" w:styleId="pdf-viewer-line">
    <w:name w:val="pdf-viewer-line"/>
    <w:basedOn w:val="DefaultParagraphFont"/>
    <w:rsid w:val="004A0121"/>
  </w:style>
  <w:style w:type="character" w:customStyle="1" w:styleId="pdf-viewer-word">
    <w:name w:val="pdf-viewer-word"/>
    <w:basedOn w:val="DefaultParagraphFont"/>
    <w:rsid w:val="004A0121"/>
  </w:style>
  <w:style w:type="character" w:styleId="Hyperlink">
    <w:name w:val="Hyperlink"/>
    <w:basedOn w:val="DefaultParagraphFont"/>
    <w:uiPriority w:val="99"/>
    <w:unhideWhenUsed/>
    <w:rsid w:val="00641CF9"/>
    <w:rPr>
      <w:color w:val="0563C1" w:themeColor="hyperlink"/>
      <w:u w:val="single"/>
    </w:rPr>
  </w:style>
  <w:style w:type="character" w:customStyle="1" w:styleId="UnresolvedMention1">
    <w:name w:val="Unresolved Mention1"/>
    <w:basedOn w:val="DefaultParagraphFont"/>
    <w:uiPriority w:val="99"/>
    <w:semiHidden/>
    <w:unhideWhenUsed/>
    <w:rsid w:val="00641CF9"/>
    <w:rPr>
      <w:color w:val="605E5C"/>
      <w:shd w:val="clear" w:color="auto" w:fill="E1DFDD"/>
    </w:rPr>
  </w:style>
  <w:style w:type="character" w:customStyle="1" w:styleId="reflex2-link">
    <w:name w:val="reflex2-link"/>
    <w:basedOn w:val="DefaultParagraphFont"/>
    <w:rsid w:val="007C0078"/>
  </w:style>
  <w:style w:type="character" w:customStyle="1" w:styleId="name">
    <w:name w:val="name"/>
    <w:basedOn w:val="DefaultParagraphFont"/>
    <w:rsid w:val="00C76A02"/>
  </w:style>
  <w:style w:type="character" w:customStyle="1" w:styleId="reference">
    <w:name w:val="reference"/>
    <w:basedOn w:val="DefaultParagraphFont"/>
    <w:rsid w:val="00C76A02"/>
  </w:style>
  <w:style w:type="paragraph" w:customStyle="1" w:styleId="paragnum">
    <w:name w:val="paragnum"/>
    <w:basedOn w:val="Normal"/>
    <w:rsid w:val="00F83C9B"/>
    <w:pPr>
      <w:spacing w:before="100" w:beforeAutospacing="1" w:after="100" w:afterAutospacing="1"/>
    </w:pPr>
    <w:rPr>
      <w:rFonts w:ascii="Times New Roman" w:eastAsia="Times New Roman" w:hAnsi="Times New Roman" w:cs="Times New Roman"/>
      <w:bCs/>
      <w:lang w:eastAsia="en-CA"/>
    </w:rPr>
  </w:style>
  <w:style w:type="character" w:customStyle="1" w:styleId="reflex">
    <w:name w:val="reflex"/>
    <w:basedOn w:val="DefaultParagraphFont"/>
    <w:rsid w:val="00F83C9B"/>
  </w:style>
  <w:style w:type="character" w:customStyle="1" w:styleId="citationcar">
    <w:name w:val="citationcar"/>
    <w:basedOn w:val="DefaultParagraphFont"/>
    <w:rsid w:val="00F83C9B"/>
  </w:style>
  <w:style w:type="character" w:customStyle="1" w:styleId="reflex3-block">
    <w:name w:val="reflex3-block"/>
    <w:basedOn w:val="DefaultParagraphFont"/>
    <w:rsid w:val="00F83C9B"/>
  </w:style>
  <w:style w:type="character" w:customStyle="1" w:styleId="solexhl">
    <w:name w:val="solexhl"/>
    <w:basedOn w:val="DefaultParagraphFont"/>
    <w:rsid w:val="00F83C9B"/>
  </w:style>
  <w:style w:type="paragraph" w:customStyle="1" w:styleId="sccnormaldoublespacing">
    <w:name w:val="sccnormaldoublespacing"/>
    <w:basedOn w:val="Normal"/>
    <w:rsid w:val="00025EF5"/>
    <w:pPr>
      <w:spacing w:before="100" w:beforeAutospacing="1" w:after="100" w:afterAutospacing="1"/>
    </w:pPr>
    <w:rPr>
      <w:rFonts w:ascii="Times New Roman" w:eastAsia="Times New Roman" w:hAnsi="Times New Roman" w:cs="Times New Roman"/>
      <w:bCs/>
      <w:lang w:eastAsia="en-CA"/>
    </w:rPr>
  </w:style>
  <w:style w:type="paragraph" w:styleId="NormalWeb">
    <w:name w:val="Normal (Web)"/>
    <w:basedOn w:val="Normal"/>
    <w:uiPriority w:val="99"/>
    <w:unhideWhenUsed/>
    <w:rsid w:val="005116A5"/>
    <w:pPr>
      <w:spacing w:before="100" w:beforeAutospacing="1" w:after="100" w:afterAutospacing="1"/>
    </w:pPr>
    <w:rPr>
      <w:rFonts w:ascii="Times New Roman" w:eastAsia="Times New Roman" w:hAnsi="Times New Roman" w:cs="Times New Roman"/>
      <w:bCs/>
      <w:lang w:eastAsia="en-CA"/>
    </w:rPr>
  </w:style>
  <w:style w:type="paragraph" w:styleId="ListParagraph">
    <w:name w:val="List Paragraph"/>
    <w:basedOn w:val="Normal"/>
    <w:uiPriority w:val="34"/>
    <w:qFormat/>
    <w:rsid w:val="005116A5"/>
    <w:pPr>
      <w:ind w:left="720"/>
      <w:contextualSpacing/>
    </w:pPr>
  </w:style>
  <w:style w:type="character" w:styleId="Emphasis">
    <w:name w:val="Emphasis"/>
    <w:basedOn w:val="DefaultParagraphFont"/>
    <w:uiPriority w:val="20"/>
    <w:qFormat/>
    <w:rsid w:val="000507AA"/>
    <w:rPr>
      <w:i/>
      <w:iCs/>
    </w:rPr>
  </w:style>
  <w:style w:type="character" w:customStyle="1" w:styleId="nowrap">
    <w:name w:val="nowrap"/>
    <w:basedOn w:val="DefaultParagraphFont"/>
    <w:rsid w:val="00B81EC6"/>
  </w:style>
  <w:style w:type="paragraph" w:styleId="Quote">
    <w:name w:val="Quote"/>
    <w:basedOn w:val="Normal"/>
    <w:link w:val="QuoteChar"/>
    <w:uiPriority w:val="29"/>
    <w:qFormat/>
    <w:rsid w:val="002476F5"/>
    <w:pPr>
      <w:spacing w:before="100" w:beforeAutospacing="1" w:after="100" w:afterAutospacing="1"/>
    </w:pPr>
    <w:rPr>
      <w:rFonts w:ascii="Times New Roman" w:eastAsia="Times New Roman" w:hAnsi="Times New Roman" w:cs="Times New Roman"/>
      <w:bCs/>
      <w:lang w:eastAsia="en-CA"/>
    </w:rPr>
  </w:style>
  <w:style w:type="character" w:customStyle="1" w:styleId="QuoteChar">
    <w:name w:val="Quote Char"/>
    <w:basedOn w:val="DefaultParagraphFont"/>
    <w:link w:val="Quote"/>
    <w:uiPriority w:val="29"/>
    <w:rsid w:val="002476F5"/>
    <w:rPr>
      <w:rFonts w:ascii="Times New Roman" w:eastAsia="Times New Roman" w:hAnsi="Times New Roman" w:cs="Times New Roman"/>
      <w:bCs/>
      <w:lang w:eastAsia="en-CA"/>
    </w:rPr>
  </w:style>
  <w:style w:type="paragraph" w:styleId="IntenseQuote">
    <w:name w:val="Intense Quote"/>
    <w:basedOn w:val="Normal"/>
    <w:link w:val="IntenseQuoteChar"/>
    <w:uiPriority w:val="30"/>
    <w:qFormat/>
    <w:rsid w:val="002476F5"/>
    <w:pPr>
      <w:spacing w:before="100" w:beforeAutospacing="1" w:after="100" w:afterAutospacing="1"/>
    </w:pPr>
    <w:rPr>
      <w:rFonts w:ascii="Times New Roman" w:eastAsia="Times New Roman" w:hAnsi="Times New Roman" w:cs="Times New Roman"/>
      <w:bCs/>
      <w:lang w:eastAsia="en-CA"/>
    </w:rPr>
  </w:style>
  <w:style w:type="character" w:customStyle="1" w:styleId="IntenseQuoteChar">
    <w:name w:val="Intense Quote Char"/>
    <w:basedOn w:val="DefaultParagraphFont"/>
    <w:link w:val="IntenseQuote"/>
    <w:uiPriority w:val="30"/>
    <w:rsid w:val="002476F5"/>
    <w:rPr>
      <w:rFonts w:ascii="Times New Roman" w:eastAsia="Times New Roman" w:hAnsi="Times New Roman" w:cs="Times New Roman"/>
      <w:bCs/>
      <w:lang w:eastAsia="en-CA"/>
    </w:rPr>
  </w:style>
  <w:style w:type="character" w:customStyle="1" w:styleId="colorfulgrid-accent1char">
    <w:name w:val="colorfulgrid-accent1char"/>
    <w:basedOn w:val="DefaultParagraphFont"/>
    <w:rsid w:val="00327B2D"/>
  </w:style>
  <w:style w:type="paragraph" w:customStyle="1" w:styleId="doubleindent-quote">
    <w:name w:val="doubleindent-quote"/>
    <w:basedOn w:val="Normal"/>
    <w:rsid w:val="002E1AA8"/>
    <w:pPr>
      <w:spacing w:before="100" w:beforeAutospacing="1" w:after="100" w:afterAutospacing="1"/>
    </w:pPr>
    <w:rPr>
      <w:rFonts w:ascii="Times New Roman" w:eastAsia="Times New Roman" w:hAnsi="Times New Roman" w:cs="Times New Roman"/>
      <w:bCs/>
      <w:lang w:eastAsia="en-CA"/>
    </w:rPr>
  </w:style>
  <w:style w:type="paragraph" w:customStyle="1" w:styleId="mainparagraph">
    <w:name w:val="mainparagraph"/>
    <w:basedOn w:val="Normal"/>
    <w:rsid w:val="002E1AA8"/>
    <w:pPr>
      <w:spacing w:before="100" w:beforeAutospacing="1" w:after="100" w:afterAutospacing="1"/>
    </w:pPr>
    <w:rPr>
      <w:rFonts w:ascii="Times New Roman" w:eastAsia="Times New Roman" w:hAnsi="Times New Roman" w:cs="Times New Roman"/>
      <w:bCs/>
      <w:lang w:eastAsia="en-CA"/>
    </w:rPr>
  </w:style>
  <w:style w:type="paragraph" w:customStyle="1" w:styleId="scjnumber">
    <w:name w:val="scjnumber"/>
    <w:basedOn w:val="Normal"/>
    <w:rsid w:val="00736804"/>
    <w:pPr>
      <w:spacing w:before="100" w:beforeAutospacing="1" w:after="100" w:afterAutospacing="1"/>
    </w:pPr>
    <w:rPr>
      <w:rFonts w:ascii="Times New Roman" w:eastAsia="Times New Roman" w:hAnsi="Times New Roman" w:cs="Times New Roman"/>
      <w:bCs/>
      <w:lang w:eastAsia="en-CA"/>
    </w:rPr>
  </w:style>
  <w:style w:type="character" w:customStyle="1" w:styleId="Heading1Char">
    <w:name w:val="Heading 1 Char"/>
    <w:basedOn w:val="DefaultParagraphFont"/>
    <w:link w:val="Heading1"/>
    <w:uiPriority w:val="9"/>
    <w:rsid w:val="009F7D84"/>
    <w:rPr>
      <w:rFonts w:ascii="Times New Roman" w:eastAsia="Times New Roman" w:hAnsi="Times New Roman" w:cs="Times New Roman"/>
      <w:b/>
      <w:kern w:val="36"/>
      <w:sz w:val="48"/>
      <w:szCs w:val="48"/>
      <w:lang w:eastAsia="en-CA"/>
    </w:rPr>
  </w:style>
  <w:style w:type="character" w:customStyle="1" w:styleId="Heading2Char">
    <w:name w:val="Heading 2 Char"/>
    <w:basedOn w:val="DefaultParagraphFont"/>
    <w:link w:val="Heading2"/>
    <w:uiPriority w:val="9"/>
    <w:rsid w:val="00D655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501"/>
    <w:rPr>
      <w:rFonts w:asciiTheme="majorHAnsi" w:eastAsiaTheme="majorEastAsia" w:hAnsiTheme="majorHAnsi" w:cstheme="majorBidi"/>
      <w:color w:val="1F3763" w:themeColor="accent1" w:themeShade="7F"/>
    </w:rPr>
  </w:style>
  <w:style w:type="character" w:customStyle="1" w:styleId="italic">
    <w:name w:val="italic"/>
    <w:basedOn w:val="DefaultParagraphFont"/>
    <w:rsid w:val="00D65501"/>
  </w:style>
  <w:style w:type="character" w:customStyle="1" w:styleId="ruler">
    <w:name w:val="ruler"/>
    <w:basedOn w:val="DefaultParagraphFont"/>
    <w:rsid w:val="00D65501"/>
  </w:style>
  <w:style w:type="paragraph" w:customStyle="1" w:styleId="paranondepar-altn">
    <w:name w:val="paranondepar-altn"/>
    <w:basedOn w:val="Normal"/>
    <w:rsid w:val="006A7601"/>
    <w:pPr>
      <w:spacing w:before="100" w:beforeAutospacing="1" w:after="100" w:afterAutospacing="1"/>
    </w:pPr>
    <w:rPr>
      <w:rFonts w:ascii="Times New Roman" w:eastAsia="Times New Roman" w:hAnsi="Times New Roman" w:cs="Times New Roman"/>
      <w:bCs/>
      <w:lang w:eastAsia="en-CA"/>
    </w:rPr>
  </w:style>
  <w:style w:type="paragraph" w:customStyle="1" w:styleId="citation-altc">
    <w:name w:val="citation-altc"/>
    <w:basedOn w:val="Normal"/>
    <w:rsid w:val="006A7601"/>
    <w:pPr>
      <w:spacing w:before="100" w:beforeAutospacing="1" w:after="100" w:afterAutospacing="1"/>
    </w:pPr>
    <w:rPr>
      <w:rFonts w:ascii="Times New Roman" w:eastAsia="Times New Roman" w:hAnsi="Times New Roman" w:cs="Times New Roman"/>
      <w:bCs/>
      <w:lang w:eastAsia="en-CA"/>
    </w:rPr>
  </w:style>
  <w:style w:type="paragraph" w:customStyle="1" w:styleId="book-author">
    <w:name w:val="book-author"/>
    <w:basedOn w:val="Normal"/>
    <w:rsid w:val="00B267BF"/>
    <w:pPr>
      <w:spacing w:before="100" w:beforeAutospacing="1" w:after="100" w:afterAutospacing="1"/>
    </w:pPr>
    <w:rPr>
      <w:rFonts w:ascii="Times New Roman" w:eastAsia="Times New Roman" w:hAnsi="Times New Roman" w:cs="Times New Roman"/>
      <w:bCs/>
      <w:lang w:eastAsia="en-CA"/>
    </w:rPr>
  </w:style>
  <w:style w:type="character" w:customStyle="1" w:styleId="first-last">
    <w:name w:val="first-last"/>
    <w:basedOn w:val="DefaultParagraphFont"/>
    <w:rsid w:val="00B267BF"/>
  </w:style>
  <w:style w:type="character" w:customStyle="1" w:styleId="firstname">
    <w:name w:val="firstname"/>
    <w:basedOn w:val="DefaultParagraphFont"/>
    <w:rsid w:val="00B267BF"/>
  </w:style>
  <w:style w:type="character" w:customStyle="1" w:styleId="othername">
    <w:name w:val="othername"/>
    <w:basedOn w:val="DefaultParagraphFont"/>
    <w:rsid w:val="00B267BF"/>
  </w:style>
  <w:style w:type="character" w:customStyle="1" w:styleId="surname">
    <w:name w:val="surname"/>
    <w:basedOn w:val="DefaultParagraphFont"/>
    <w:rsid w:val="00B267BF"/>
  </w:style>
  <w:style w:type="paragraph" w:customStyle="1" w:styleId="book-published-details">
    <w:name w:val="book-published-details"/>
    <w:basedOn w:val="Normal"/>
    <w:rsid w:val="00B267BF"/>
    <w:pPr>
      <w:spacing w:before="100" w:beforeAutospacing="1" w:after="100" w:afterAutospacing="1"/>
    </w:pPr>
    <w:rPr>
      <w:rFonts w:ascii="Times New Roman" w:eastAsia="Times New Roman" w:hAnsi="Times New Roman" w:cs="Times New Roman"/>
      <w:bCs/>
      <w:lang w:eastAsia="en-CA"/>
    </w:rPr>
  </w:style>
  <w:style w:type="character" w:customStyle="1" w:styleId="published-date">
    <w:name w:val="published-date"/>
    <w:basedOn w:val="DefaultParagraphFont"/>
    <w:rsid w:val="00B267BF"/>
  </w:style>
  <w:style w:type="character" w:customStyle="1" w:styleId="highlight">
    <w:name w:val="highlight"/>
    <w:basedOn w:val="DefaultParagraphFont"/>
    <w:rsid w:val="00041539"/>
  </w:style>
  <w:style w:type="character" w:customStyle="1" w:styleId="il">
    <w:name w:val="il"/>
    <w:basedOn w:val="DefaultParagraphFont"/>
    <w:rsid w:val="000B2193"/>
  </w:style>
  <w:style w:type="character" w:styleId="Strong">
    <w:name w:val="Strong"/>
    <w:basedOn w:val="DefaultParagraphFont"/>
    <w:uiPriority w:val="22"/>
    <w:qFormat/>
    <w:rsid w:val="00F37D5F"/>
    <w:rPr>
      <w:b/>
      <w:bCs/>
    </w:rPr>
  </w:style>
  <w:style w:type="paragraph" w:customStyle="1" w:styleId="scjquote">
    <w:name w:val="scjquote"/>
    <w:basedOn w:val="Normal"/>
    <w:rsid w:val="00070B23"/>
    <w:pPr>
      <w:spacing w:before="100" w:beforeAutospacing="1" w:after="100" w:afterAutospacing="1"/>
    </w:pPr>
    <w:rPr>
      <w:rFonts w:ascii="Times New Roman" w:eastAsia="Times New Roman" w:hAnsi="Times New Roman" w:cs="Times New Roman"/>
      <w:bCs/>
      <w:lang w:eastAsia="en-CA"/>
    </w:rPr>
  </w:style>
  <w:style w:type="character" w:customStyle="1" w:styleId="canliisection">
    <w:name w:val="canliisection"/>
    <w:basedOn w:val="DefaultParagraphFont"/>
    <w:rsid w:val="00295976"/>
  </w:style>
  <w:style w:type="character" w:customStyle="1" w:styleId="label-section">
    <w:name w:val="label-section"/>
    <w:basedOn w:val="DefaultParagraphFont"/>
    <w:rsid w:val="00295976"/>
  </w:style>
  <w:style w:type="character" w:customStyle="1" w:styleId="texte-courant">
    <w:name w:val="texte-courant"/>
    <w:basedOn w:val="DefaultParagraphFont"/>
    <w:rsid w:val="00295976"/>
  </w:style>
  <w:style w:type="paragraph" w:customStyle="1" w:styleId="felskynumbering12">
    <w:name w:val="felskynumbering12"/>
    <w:basedOn w:val="Normal"/>
    <w:rsid w:val="00A30B18"/>
    <w:pPr>
      <w:spacing w:before="100" w:beforeAutospacing="1" w:after="100" w:afterAutospacing="1"/>
    </w:pPr>
    <w:rPr>
      <w:rFonts w:ascii="Times New Roman" w:eastAsia="Times New Roman" w:hAnsi="Times New Roman" w:cs="Times New Roman"/>
      <w:bCs/>
      <w:lang w:eastAsia="en-CA"/>
    </w:rPr>
  </w:style>
  <w:style w:type="paragraph" w:customStyle="1" w:styleId="quote1st">
    <w:name w:val="quote1st"/>
    <w:basedOn w:val="Normal"/>
    <w:rsid w:val="00A30B18"/>
    <w:pPr>
      <w:spacing w:before="100" w:beforeAutospacing="1" w:after="100" w:afterAutospacing="1"/>
    </w:pPr>
    <w:rPr>
      <w:rFonts w:ascii="Times New Roman" w:eastAsia="Times New Roman" w:hAnsi="Times New Roman" w:cs="Times New Roman"/>
      <w:bCs/>
      <w:lang w:eastAsia="en-CA"/>
    </w:rPr>
  </w:style>
  <w:style w:type="character" w:styleId="FollowedHyperlink">
    <w:name w:val="FollowedHyperlink"/>
    <w:basedOn w:val="DefaultParagraphFont"/>
    <w:uiPriority w:val="99"/>
    <w:semiHidden/>
    <w:unhideWhenUsed/>
    <w:rsid w:val="008C528D"/>
    <w:rPr>
      <w:color w:val="954F72" w:themeColor="followedHyperlink"/>
      <w:u w:val="single"/>
    </w:rPr>
  </w:style>
  <w:style w:type="character" w:customStyle="1" w:styleId="Heading4Char">
    <w:name w:val="Heading 4 Char"/>
    <w:basedOn w:val="DefaultParagraphFont"/>
    <w:link w:val="Heading4"/>
    <w:uiPriority w:val="9"/>
    <w:semiHidden/>
    <w:rsid w:val="00D34B83"/>
    <w:rPr>
      <w:rFonts w:asciiTheme="majorHAnsi" w:eastAsiaTheme="majorEastAsia" w:hAnsiTheme="majorHAnsi" w:cstheme="majorBidi"/>
      <w:i/>
      <w:iCs/>
      <w:color w:val="2F5496" w:themeColor="accent1" w:themeShade="BF"/>
    </w:rPr>
  </w:style>
  <w:style w:type="character" w:customStyle="1" w:styleId="canliisection0">
    <w:name w:val="canlii_section"/>
    <w:basedOn w:val="DefaultParagraphFont"/>
    <w:rsid w:val="00F12FEE"/>
  </w:style>
  <w:style w:type="character" w:customStyle="1" w:styleId="std-header">
    <w:name w:val="std-header"/>
    <w:basedOn w:val="DefaultParagraphFont"/>
    <w:rsid w:val="005F52CC"/>
  </w:style>
  <w:style w:type="paragraph" w:customStyle="1" w:styleId="nav-item">
    <w:name w:val="nav-item"/>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1nameofcourt">
    <w:name w:val="dec01nameofcour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2citation">
    <w:name w:val="dec02citation"/>
    <w:basedOn w:val="Normal"/>
    <w:rsid w:val="00847A4B"/>
    <w:pPr>
      <w:spacing w:before="100" w:beforeAutospacing="1" w:after="100" w:afterAutospacing="1"/>
    </w:pPr>
    <w:rPr>
      <w:rFonts w:ascii="Times New Roman" w:eastAsia="Times New Roman" w:hAnsi="Times New Roman" w:cs="Times New Roman"/>
      <w:bCs/>
      <w:lang w:eastAsia="en-CA"/>
    </w:rPr>
  </w:style>
  <w:style w:type="character" w:customStyle="1" w:styleId="label">
    <w:name w:val="label"/>
    <w:basedOn w:val="DefaultParagraphFont"/>
    <w:rsid w:val="00847A4B"/>
  </w:style>
  <w:style w:type="character" w:customStyle="1" w:styleId="dec02citationcasename">
    <w:name w:val="dec02citationcasename"/>
    <w:basedOn w:val="DefaultParagraphFont"/>
    <w:rsid w:val="00847A4B"/>
  </w:style>
  <w:style w:type="paragraph" w:customStyle="1" w:styleId="dec03dateofjudgment">
    <w:name w:val="dec03dateofjudgmen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4docket">
    <w:name w:val="dec04docke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5registry">
    <w:name w:val="dec05registry"/>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6styleofcausestart">
    <w:name w:val="dec06styleofcausestar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7styleofcauseparty">
    <w:name w:val="dec07styleofcauseparty"/>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9styleofcauserole">
    <w:name w:val="dec09styleofcauserol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8styleofcauseseparator">
    <w:name w:val="dec08styleofcauseseparator"/>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publicationbannotice">
    <w:name w:val="decpublicationbannotic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correctionnotice">
    <w:name w:val="deccorrectionnotic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0nameofjudge">
    <w:name w:val="dec10nameofjudg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1heard">
    <w:name w:val="dec11heard"/>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4counsel">
    <w:name w:val="dec14counsel"/>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subtitle">
    <w:name w:val="reasonssubtitl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numberedparagraph">
    <w:name w:val="reasonsnumberedparagraph"/>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quotelevel1">
    <w:name w:val="reasonsquotelevel1"/>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quotelevel2">
    <w:name w:val="reasonsquotelevel2"/>
    <w:basedOn w:val="Normal"/>
    <w:rsid w:val="00847A4B"/>
    <w:pPr>
      <w:spacing w:before="100" w:beforeAutospacing="1" w:after="100" w:afterAutospacing="1"/>
    </w:pPr>
    <w:rPr>
      <w:rFonts w:ascii="Times New Roman" w:eastAsia="Times New Roman" w:hAnsi="Times New Roman" w:cs="Times New Roman"/>
      <w:bCs/>
      <w:lang w:eastAsia="en-CA"/>
    </w:rPr>
  </w:style>
  <w:style w:type="character" w:customStyle="1" w:styleId="c20">
    <w:name w:val="c20"/>
    <w:basedOn w:val="DefaultParagraphFont"/>
    <w:rsid w:val="003017DE"/>
  </w:style>
  <w:style w:type="character" w:customStyle="1" w:styleId="c30">
    <w:name w:val="c30"/>
    <w:basedOn w:val="DefaultParagraphFont"/>
    <w:rsid w:val="003017DE"/>
  </w:style>
  <w:style w:type="character" w:customStyle="1" w:styleId="wb-inv">
    <w:name w:val="wb-inv"/>
    <w:basedOn w:val="DefaultParagraphFont"/>
    <w:rsid w:val="00B55B2C"/>
  </w:style>
  <w:style w:type="character" w:styleId="CommentReference">
    <w:name w:val="annotation reference"/>
    <w:basedOn w:val="DefaultParagraphFont"/>
    <w:uiPriority w:val="99"/>
    <w:semiHidden/>
    <w:unhideWhenUsed/>
    <w:rsid w:val="002834F9"/>
    <w:rPr>
      <w:sz w:val="16"/>
      <w:szCs w:val="16"/>
    </w:rPr>
  </w:style>
  <w:style w:type="paragraph" w:styleId="CommentText">
    <w:name w:val="annotation text"/>
    <w:basedOn w:val="Normal"/>
    <w:link w:val="CommentTextChar"/>
    <w:uiPriority w:val="99"/>
    <w:unhideWhenUsed/>
    <w:rsid w:val="002834F9"/>
    <w:rPr>
      <w:rFonts w:asciiTheme="minorHAnsi" w:hAnsiTheme="minorHAnsi" w:cstheme="minorBidi"/>
      <w:bCs/>
      <w:sz w:val="20"/>
      <w:szCs w:val="20"/>
    </w:rPr>
  </w:style>
  <w:style w:type="character" w:customStyle="1" w:styleId="CommentTextChar">
    <w:name w:val="Comment Text Char"/>
    <w:basedOn w:val="DefaultParagraphFont"/>
    <w:link w:val="CommentText"/>
    <w:uiPriority w:val="99"/>
    <w:rsid w:val="002834F9"/>
    <w:rPr>
      <w:rFonts w:asciiTheme="minorHAnsi" w:hAnsiTheme="minorHAnsi" w:cstheme="minorBidi"/>
      <w:bCs/>
      <w:sz w:val="20"/>
      <w:szCs w:val="20"/>
    </w:rPr>
  </w:style>
  <w:style w:type="paragraph" w:styleId="CommentSubject">
    <w:name w:val="annotation subject"/>
    <w:basedOn w:val="CommentText"/>
    <w:next w:val="CommentText"/>
    <w:link w:val="CommentSubjectChar"/>
    <w:uiPriority w:val="99"/>
    <w:semiHidden/>
    <w:unhideWhenUsed/>
    <w:rsid w:val="007B4F1F"/>
    <w:rPr>
      <w:rFonts w:ascii="Arial" w:hAnsi="Arial" w:cs="Arial"/>
      <w:b/>
      <w:bCs w:val="0"/>
    </w:rPr>
  </w:style>
  <w:style w:type="character" w:customStyle="1" w:styleId="CommentSubjectChar">
    <w:name w:val="Comment Subject Char"/>
    <w:basedOn w:val="CommentTextChar"/>
    <w:link w:val="CommentSubject"/>
    <w:uiPriority w:val="99"/>
    <w:semiHidden/>
    <w:rsid w:val="007B4F1F"/>
    <w:rPr>
      <w:rFonts w:asciiTheme="minorHAnsi" w:hAnsiTheme="minorHAnsi" w:cstheme="minorBidi"/>
      <w:b/>
      <w:bCs w:val="0"/>
      <w:sz w:val="20"/>
      <w:szCs w:val="20"/>
    </w:rPr>
  </w:style>
  <w:style w:type="character" w:customStyle="1" w:styleId="italic1">
    <w:name w:val="italic1"/>
    <w:basedOn w:val="DefaultParagraphFont"/>
    <w:rsid w:val="00021953"/>
  </w:style>
  <w:style w:type="character" w:customStyle="1" w:styleId="gmaildefault">
    <w:name w:val="gmail_default"/>
    <w:basedOn w:val="DefaultParagraphFont"/>
    <w:rsid w:val="003A63BC"/>
  </w:style>
  <w:style w:type="character" w:styleId="HTMLCite">
    <w:name w:val="HTML Cite"/>
    <w:basedOn w:val="DefaultParagraphFont"/>
    <w:uiPriority w:val="99"/>
    <w:semiHidden/>
    <w:unhideWhenUsed/>
    <w:rsid w:val="008F301C"/>
    <w:rPr>
      <w:i/>
      <w:iCs/>
    </w:rPr>
  </w:style>
  <w:style w:type="character" w:customStyle="1" w:styleId="canliisubsection">
    <w:name w:val="canlii_subsection"/>
    <w:basedOn w:val="DefaultParagraphFont"/>
    <w:rsid w:val="003863E4"/>
  </w:style>
  <w:style w:type="character" w:customStyle="1" w:styleId="hgkelc">
    <w:name w:val="hgkelc"/>
    <w:basedOn w:val="DefaultParagraphFont"/>
    <w:rsid w:val="00867D4A"/>
  </w:style>
  <w:style w:type="paragraph" w:customStyle="1" w:styleId="cquote">
    <w:name w:val="cquote"/>
    <w:basedOn w:val="Normal"/>
    <w:rsid w:val="00B55855"/>
    <w:pPr>
      <w:spacing w:before="100" w:beforeAutospacing="1" w:after="100" w:afterAutospacing="1"/>
    </w:pPr>
    <w:rPr>
      <w:rFonts w:ascii="Times New Roman" w:eastAsia="Times New Roman" w:hAnsi="Times New Roman" w:cs="Times New Roman"/>
      <w:bCs/>
      <w:lang w:eastAsia="en-CA"/>
    </w:rPr>
  </w:style>
  <w:style w:type="paragraph" w:customStyle="1" w:styleId="aparanumbering">
    <w:name w:val="aparanumbering"/>
    <w:basedOn w:val="Normal"/>
    <w:rsid w:val="00B55855"/>
    <w:pPr>
      <w:spacing w:before="100" w:beforeAutospacing="1" w:after="100" w:afterAutospacing="1"/>
    </w:pPr>
    <w:rPr>
      <w:rFonts w:ascii="Times New Roman" w:eastAsia="Times New Roman" w:hAnsi="Times New Roman" w:cs="Times New Roman"/>
      <w:bCs/>
      <w:lang w:eastAsia="en-CA"/>
    </w:rPr>
  </w:style>
  <w:style w:type="paragraph" w:styleId="Revision">
    <w:name w:val="Revision"/>
    <w:hidden/>
    <w:uiPriority w:val="99"/>
    <w:semiHidden/>
    <w:rsid w:val="00AA139E"/>
    <w:pPr>
      <w:spacing w:after="0"/>
    </w:pPr>
  </w:style>
  <w:style w:type="paragraph" w:customStyle="1" w:styleId="Quote1">
    <w:name w:val="Quote1"/>
    <w:basedOn w:val="Normal"/>
    <w:rsid w:val="00474F8E"/>
    <w:pPr>
      <w:spacing w:before="100" w:beforeAutospacing="1" w:after="100" w:afterAutospacing="1"/>
    </w:pPr>
    <w:rPr>
      <w:rFonts w:ascii="Times New Roman" w:eastAsia="Times New Roman" w:hAnsi="Times New Roman" w:cs="Times New Roman"/>
      <w:bCs/>
      <w:lang w:eastAsia="en-CA"/>
    </w:rPr>
  </w:style>
  <w:style w:type="character" w:customStyle="1" w:styleId="sectionnumber">
    <w:name w:val="sectionnumber"/>
    <w:basedOn w:val="DefaultParagraphFont"/>
    <w:rsid w:val="00B81A41"/>
  </w:style>
  <w:style w:type="character" w:customStyle="1" w:styleId="canliisectionwithsubsection">
    <w:name w:val="canlii_section_with_subsection"/>
    <w:basedOn w:val="DefaultParagraphFont"/>
    <w:rsid w:val="00B81A41"/>
  </w:style>
  <w:style w:type="character" w:customStyle="1" w:styleId="secnumholder">
    <w:name w:val="secnumholder"/>
    <w:basedOn w:val="DefaultParagraphFont"/>
    <w:rsid w:val="00892F23"/>
  </w:style>
  <w:style w:type="paragraph" w:customStyle="1" w:styleId="section">
    <w:name w:val="section"/>
    <w:basedOn w:val="Normal"/>
    <w:rsid w:val="00045085"/>
    <w:pPr>
      <w:spacing w:before="100" w:beforeAutospacing="1" w:after="100" w:afterAutospacing="1"/>
    </w:pPr>
    <w:rPr>
      <w:rFonts w:ascii="Times New Roman" w:eastAsia="Times New Roman" w:hAnsi="Times New Roman" w:cs="Times New Roman"/>
      <w:bCs/>
      <w:lang w:eastAsia="en-CA"/>
    </w:rPr>
  </w:style>
  <w:style w:type="paragraph" w:customStyle="1" w:styleId="paragraph">
    <w:name w:val="paragraph"/>
    <w:basedOn w:val="Normal"/>
    <w:rsid w:val="00045085"/>
    <w:pPr>
      <w:spacing w:before="100" w:beforeAutospacing="1" w:after="100" w:afterAutospacing="1"/>
    </w:pPr>
    <w:rPr>
      <w:rFonts w:ascii="Times New Roman" w:eastAsia="Times New Roman" w:hAnsi="Times New Roman" w:cs="Times New Roman"/>
      <w:bCs/>
      <w:lang w:eastAsia="en-CA"/>
    </w:rPr>
  </w:style>
  <w:style w:type="character" w:customStyle="1" w:styleId="lawlabel">
    <w:name w:val="lawlabel"/>
    <w:basedOn w:val="DefaultParagraphFont"/>
    <w:rsid w:val="00045085"/>
  </w:style>
  <w:style w:type="character" w:customStyle="1" w:styleId="apa">
    <w:name w:val="apa"/>
    <w:basedOn w:val="DefaultParagraphFont"/>
    <w:rsid w:val="00E91F7E"/>
  </w:style>
  <w:style w:type="table" w:styleId="TableGrid">
    <w:name w:val="Table Grid"/>
    <w:basedOn w:val="TableNormal"/>
    <w:uiPriority w:val="39"/>
    <w:rsid w:val="00D921A9"/>
    <w:pPr>
      <w:spacing w:after="0"/>
    </w:pPr>
    <w:rPr>
      <w:rFonts w:ascii="Calibri" w:hAnsi="Calibri" w:cs="Times New Roman (Body CS)"/>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citationcount">
    <w:name w:val="resultcitationcount"/>
    <w:basedOn w:val="DefaultParagraphFont"/>
    <w:rsid w:val="00655044"/>
  </w:style>
  <w:style w:type="character" w:customStyle="1" w:styleId="markedcontent">
    <w:name w:val="markedcontent"/>
    <w:basedOn w:val="DefaultParagraphFont"/>
    <w:rsid w:val="0055491E"/>
  </w:style>
  <w:style w:type="paragraph" w:customStyle="1" w:styleId="1stquote">
    <w:name w:val="1stquote"/>
    <w:basedOn w:val="Normal"/>
    <w:rsid w:val="00656085"/>
    <w:pPr>
      <w:spacing w:before="100" w:beforeAutospacing="1" w:after="100" w:afterAutospacing="1"/>
    </w:pPr>
    <w:rPr>
      <w:rFonts w:ascii="Times New Roman" w:eastAsia="Times New Roman" w:hAnsi="Times New Roman" w:cs="Times New Roman"/>
      <w:bCs/>
      <w:lang w:eastAsia="en-CA"/>
    </w:rPr>
  </w:style>
  <w:style w:type="paragraph" w:customStyle="1" w:styleId="2ndquote">
    <w:name w:val="2ndquote"/>
    <w:basedOn w:val="Normal"/>
    <w:rsid w:val="00656085"/>
    <w:pPr>
      <w:spacing w:before="100" w:beforeAutospacing="1" w:after="100" w:afterAutospacing="1"/>
    </w:pPr>
    <w:rPr>
      <w:rFonts w:ascii="Times New Roman" w:eastAsia="Times New Roman" w:hAnsi="Times New Roman" w:cs="Times New Roman"/>
      <w:bCs/>
      <w:lang w:eastAsia="en-CA"/>
    </w:rPr>
  </w:style>
  <w:style w:type="paragraph" w:customStyle="1" w:styleId="indentation">
    <w:name w:val="indentation"/>
    <w:basedOn w:val="Normal"/>
    <w:rsid w:val="00F04F9E"/>
    <w:pPr>
      <w:spacing w:before="100" w:beforeAutospacing="1" w:after="100" w:afterAutospacing="1"/>
    </w:pPr>
    <w:rPr>
      <w:rFonts w:ascii="Times New Roman" w:eastAsia="Times New Roman" w:hAnsi="Times New Roman" w:cs="Times New Roman"/>
      <w:bCs/>
      <w:lang w:eastAsia="en-CA"/>
    </w:rPr>
  </w:style>
  <w:style w:type="paragraph" w:customStyle="1" w:styleId="citation1">
    <w:name w:val="citation1"/>
    <w:basedOn w:val="Normal"/>
    <w:rsid w:val="003F490D"/>
    <w:pPr>
      <w:spacing w:before="100" w:beforeAutospacing="1" w:after="100" w:afterAutospacing="1"/>
    </w:pPr>
    <w:rPr>
      <w:rFonts w:ascii="Times New Roman" w:eastAsia="Times New Roman" w:hAnsi="Times New Roman" w:cs="Times New Roman"/>
      <w:bCs/>
      <w:lang w:eastAsia="en-CA"/>
    </w:rPr>
  </w:style>
  <w:style w:type="paragraph" w:styleId="BalloonText">
    <w:name w:val="Balloon Text"/>
    <w:basedOn w:val="Normal"/>
    <w:link w:val="BalloonTextChar"/>
    <w:uiPriority w:val="99"/>
    <w:semiHidden/>
    <w:unhideWhenUsed/>
    <w:rsid w:val="00BB61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7B"/>
    <w:rPr>
      <w:rFonts w:ascii="Segoe UI" w:hAnsi="Segoe UI" w:cs="Segoe UI"/>
      <w:sz w:val="18"/>
      <w:szCs w:val="18"/>
    </w:rPr>
  </w:style>
  <w:style w:type="character" w:customStyle="1" w:styleId="Hyperlink1">
    <w:name w:val="Hyperlink1"/>
    <w:basedOn w:val="DefaultParagraphFont"/>
    <w:uiPriority w:val="99"/>
    <w:unhideWhenUsed/>
    <w:rsid w:val="00C22DF5"/>
    <w:rPr>
      <w:color w:val="0563C1"/>
      <w:u w:val="single"/>
    </w:rPr>
  </w:style>
  <w:style w:type="character" w:customStyle="1" w:styleId="UnresolvedMention2">
    <w:name w:val="Unresolved Mention2"/>
    <w:basedOn w:val="DefaultParagraphFont"/>
    <w:uiPriority w:val="99"/>
    <w:semiHidden/>
    <w:unhideWhenUsed/>
    <w:rsid w:val="00383579"/>
    <w:rPr>
      <w:color w:val="605E5C"/>
      <w:shd w:val="clear" w:color="auto" w:fill="E1DFDD"/>
    </w:rPr>
  </w:style>
  <w:style w:type="character" w:customStyle="1" w:styleId="cosearchterm">
    <w:name w:val="co_searchterm"/>
    <w:basedOn w:val="DefaultParagraphFont"/>
    <w:rsid w:val="00041346"/>
  </w:style>
  <w:style w:type="character" w:customStyle="1" w:styleId="UnresolvedMention3">
    <w:name w:val="Unresolved Mention3"/>
    <w:basedOn w:val="DefaultParagraphFont"/>
    <w:uiPriority w:val="99"/>
    <w:semiHidden/>
    <w:unhideWhenUsed/>
    <w:rsid w:val="00E73F2C"/>
    <w:rPr>
      <w:color w:val="605E5C"/>
      <w:shd w:val="clear" w:color="auto" w:fill="E1DFDD"/>
    </w:rPr>
  </w:style>
  <w:style w:type="paragraph" w:customStyle="1" w:styleId="cjcparagr01">
    <w:name w:val="cjcparagr01"/>
    <w:basedOn w:val="Normal"/>
    <w:rsid w:val="00CA3D5B"/>
    <w:pPr>
      <w:spacing w:before="100" w:beforeAutospacing="1" w:after="100" w:afterAutospacing="1"/>
    </w:pPr>
    <w:rPr>
      <w:rFonts w:ascii="Times New Roman" w:eastAsia="Times New Roman" w:hAnsi="Times New Roman" w:cs="Times New Roman"/>
      <w:lang w:eastAsia="en-CA" w:bidi="he-IL"/>
    </w:rPr>
  </w:style>
  <w:style w:type="character" w:customStyle="1" w:styleId="c3">
    <w:name w:val="c3"/>
    <w:basedOn w:val="DefaultParagraphFont"/>
    <w:rsid w:val="00CA3D5B"/>
  </w:style>
  <w:style w:type="character" w:customStyle="1" w:styleId="UnresolvedMention4">
    <w:name w:val="Unresolved Mention4"/>
    <w:basedOn w:val="DefaultParagraphFont"/>
    <w:uiPriority w:val="99"/>
    <w:semiHidden/>
    <w:unhideWhenUsed/>
    <w:rsid w:val="00E14593"/>
    <w:rPr>
      <w:color w:val="605E5C"/>
      <w:shd w:val="clear" w:color="auto" w:fill="E1DFDD"/>
    </w:rPr>
  </w:style>
  <w:style w:type="table" w:styleId="GridTable1Light">
    <w:name w:val="Grid Table 1 Light"/>
    <w:basedOn w:val="TableNormal"/>
    <w:uiPriority w:val="46"/>
    <w:rsid w:val="001122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58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26">
      <w:bodyDiv w:val="1"/>
      <w:marLeft w:val="0"/>
      <w:marRight w:val="0"/>
      <w:marTop w:val="0"/>
      <w:marBottom w:val="0"/>
      <w:divBdr>
        <w:top w:val="none" w:sz="0" w:space="0" w:color="auto"/>
        <w:left w:val="none" w:sz="0" w:space="0" w:color="auto"/>
        <w:bottom w:val="none" w:sz="0" w:space="0" w:color="auto"/>
        <w:right w:val="none" w:sz="0" w:space="0" w:color="auto"/>
      </w:divBdr>
    </w:div>
    <w:div w:id="9767804">
      <w:bodyDiv w:val="1"/>
      <w:marLeft w:val="0"/>
      <w:marRight w:val="0"/>
      <w:marTop w:val="0"/>
      <w:marBottom w:val="0"/>
      <w:divBdr>
        <w:top w:val="none" w:sz="0" w:space="0" w:color="auto"/>
        <w:left w:val="none" w:sz="0" w:space="0" w:color="auto"/>
        <w:bottom w:val="none" w:sz="0" w:space="0" w:color="auto"/>
        <w:right w:val="none" w:sz="0" w:space="0" w:color="auto"/>
      </w:divBdr>
    </w:div>
    <w:div w:id="14773827">
      <w:bodyDiv w:val="1"/>
      <w:marLeft w:val="0"/>
      <w:marRight w:val="0"/>
      <w:marTop w:val="0"/>
      <w:marBottom w:val="0"/>
      <w:divBdr>
        <w:top w:val="none" w:sz="0" w:space="0" w:color="auto"/>
        <w:left w:val="none" w:sz="0" w:space="0" w:color="auto"/>
        <w:bottom w:val="none" w:sz="0" w:space="0" w:color="auto"/>
        <w:right w:val="none" w:sz="0" w:space="0" w:color="auto"/>
      </w:divBdr>
      <w:divsChild>
        <w:div w:id="2075541271">
          <w:marLeft w:val="0"/>
          <w:marRight w:val="0"/>
          <w:marTop w:val="0"/>
          <w:marBottom w:val="0"/>
          <w:divBdr>
            <w:top w:val="none" w:sz="0" w:space="0" w:color="auto"/>
            <w:left w:val="none" w:sz="0" w:space="0" w:color="auto"/>
            <w:bottom w:val="none" w:sz="0" w:space="0" w:color="auto"/>
            <w:right w:val="none" w:sz="0" w:space="0" w:color="auto"/>
          </w:divBdr>
        </w:div>
      </w:divsChild>
    </w:div>
    <w:div w:id="40834926">
      <w:bodyDiv w:val="1"/>
      <w:marLeft w:val="0"/>
      <w:marRight w:val="0"/>
      <w:marTop w:val="0"/>
      <w:marBottom w:val="0"/>
      <w:divBdr>
        <w:top w:val="none" w:sz="0" w:space="0" w:color="auto"/>
        <w:left w:val="none" w:sz="0" w:space="0" w:color="auto"/>
        <w:bottom w:val="none" w:sz="0" w:space="0" w:color="auto"/>
        <w:right w:val="none" w:sz="0" w:space="0" w:color="auto"/>
      </w:divBdr>
      <w:divsChild>
        <w:div w:id="1080829091">
          <w:marLeft w:val="0"/>
          <w:marRight w:val="0"/>
          <w:marTop w:val="0"/>
          <w:marBottom w:val="0"/>
          <w:divBdr>
            <w:top w:val="none" w:sz="0" w:space="0" w:color="auto"/>
            <w:left w:val="none" w:sz="0" w:space="0" w:color="auto"/>
            <w:bottom w:val="none" w:sz="0" w:space="0" w:color="auto"/>
            <w:right w:val="none" w:sz="0" w:space="0" w:color="auto"/>
          </w:divBdr>
          <w:divsChild>
            <w:div w:id="378668688">
              <w:marLeft w:val="0"/>
              <w:marRight w:val="0"/>
              <w:marTop w:val="0"/>
              <w:marBottom w:val="0"/>
              <w:divBdr>
                <w:top w:val="none" w:sz="0" w:space="0" w:color="auto"/>
                <w:left w:val="none" w:sz="0" w:space="0" w:color="auto"/>
                <w:bottom w:val="none" w:sz="0" w:space="0" w:color="auto"/>
                <w:right w:val="none" w:sz="0" w:space="0" w:color="auto"/>
              </w:divBdr>
              <w:divsChild>
                <w:div w:id="789207530">
                  <w:marLeft w:val="0"/>
                  <w:marRight w:val="0"/>
                  <w:marTop w:val="0"/>
                  <w:marBottom w:val="0"/>
                  <w:divBdr>
                    <w:top w:val="none" w:sz="0" w:space="0" w:color="auto"/>
                    <w:left w:val="none" w:sz="0" w:space="0" w:color="auto"/>
                    <w:bottom w:val="none" w:sz="0" w:space="0" w:color="auto"/>
                    <w:right w:val="none" w:sz="0" w:space="0" w:color="auto"/>
                  </w:divBdr>
                  <w:divsChild>
                    <w:div w:id="674650803">
                      <w:marLeft w:val="0"/>
                      <w:marRight w:val="0"/>
                      <w:marTop w:val="0"/>
                      <w:marBottom w:val="0"/>
                      <w:divBdr>
                        <w:top w:val="none" w:sz="0" w:space="0" w:color="auto"/>
                        <w:left w:val="none" w:sz="0" w:space="0" w:color="auto"/>
                        <w:bottom w:val="none" w:sz="0" w:space="0" w:color="auto"/>
                        <w:right w:val="none" w:sz="0" w:space="0" w:color="auto"/>
                      </w:divBdr>
                      <w:divsChild>
                        <w:div w:id="1858159455">
                          <w:marLeft w:val="0"/>
                          <w:marRight w:val="0"/>
                          <w:marTop w:val="0"/>
                          <w:marBottom w:val="0"/>
                          <w:divBdr>
                            <w:top w:val="none" w:sz="0" w:space="0" w:color="auto"/>
                            <w:left w:val="none" w:sz="0" w:space="0" w:color="auto"/>
                            <w:bottom w:val="none" w:sz="0" w:space="0" w:color="auto"/>
                            <w:right w:val="none" w:sz="0" w:space="0" w:color="auto"/>
                          </w:divBdr>
                          <w:divsChild>
                            <w:div w:id="13638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5988">
      <w:bodyDiv w:val="1"/>
      <w:marLeft w:val="0"/>
      <w:marRight w:val="0"/>
      <w:marTop w:val="0"/>
      <w:marBottom w:val="0"/>
      <w:divBdr>
        <w:top w:val="none" w:sz="0" w:space="0" w:color="auto"/>
        <w:left w:val="none" w:sz="0" w:space="0" w:color="auto"/>
        <w:bottom w:val="none" w:sz="0" w:space="0" w:color="auto"/>
        <w:right w:val="none" w:sz="0" w:space="0" w:color="auto"/>
      </w:divBdr>
      <w:divsChild>
        <w:div w:id="122814970">
          <w:marLeft w:val="0"/>
          <w:marRight w:val="0"/>
          <w:marTop w:val="0"/>
          <w:marBottom w:val="0"/>
          <w:divBdr>
            <w:top w:val="none" w:sz="0" w:space="0" w:color="auto"/>
            <w:left w:val="none" w:sz="0" w:space="0" w:color="auto"/>
            <w:bottom w:val="none" w:sz="0" w:space="0" w:color="auto"/>
            <w:right w:val="none" w:sz="0" w:space="0" w:color="auto"/>
          </w:divBdr>
        </w:div>
        <w:div w:id="1428117989">
          <w:marLeft w:val="0"/>
          <w:marRight w:val="0"/>
          <w:marTop w:val="0"/>
          <w:marBottom w:val="0"/>
          <w:divBdr>
            <w:top w:val="none" w:sz="0" w:space="0" w:color="auto"/>
            <w:left w:val="none" w:sz="0" w:space="0" w:color="auto"/>
            <w:bottom w:val="none" w:sz="0" w:space="0" w:color="auto"/>
            <w:right w:val="none" w:sz="0" w:space="0" w:color="auto"/>
          </w:divBdr>
        </w:div>
        <w:div w:id="1064525785">
          <w:marLeft w:val="0"/>
          <w:marRight w:val="0"/>
          <w:marTop w:val="0"/>
          <w:marBottom w:val="0"/>
          <w:divBdr>
            <w:top w:val="none" w:sz="0" w:space="0" w:color="auto"/>
            <w:left w:val="none" w:sz="0" w:space="0" w:color="auto"/>
            <w:bottom w:val="none" w:sz="0" w:space="0" w:color="auto"/>
            <w:right w:val="none" w:sz="0" w:space="0" w:color="auto"/>
          </w:divBdr>
        </w:div>
        <w:div w:id="993333166">
          <w:marLeft w:val="0"/>
          <w:marRight w:val="0"/>
          <w:marTop w:val="0"/>
          <w:marBottom w:val="0"/>
          <w:divBdr>
            <w:top w:val="none" w:sz="0" w:space="0" w:color="auto"/>
            <w:left w:val="none" w:sz="0" w:space="0" w:color="auto"/>
            <w:bottom w:val="none" w:sz="0" w:space="0" w:color="auto"/>
            <w:right w:val="none" w:sz="0" w:space="0" w:color="auto"/>
          </w:divBdr>
        </w:div>
        <w:div w:id="26100825">
          <w:marLeft w:val="0"/>
          <w:marRight w:val="0"/>
          <w:marTop w:val="0"/>
          <w:marBottom w:val="0"/>
          <w:divBdr>
            <w:top w:val="none" w:sz="0" w:space="0" w:color="auto"/>
            <w:left w:val="none" w:sz="0" w:space="0" w:color="auto"/>
            <w:bottom w:val="none" w:sz="0" w:space="0" w:color="auto"/>
            <w:right w:val="none" w:sz="0" w:space="0" w:color="auto"/>
          </w:divBdr>
        </w:div>
        <w:div w:id="823356801">
          <w:marLeft w:val="0"/>
          <w:marRight w:val="0"/>
          <w:marTop w:val="0"/>
          <w:marBottom w:val="0"/>
          <w:divBdr>
            <w:top w:val="none" w:sz="0" w:space="0" w:color="auto"/>
            <w:left w:val="none" w:sz="0" w:space="0" w:color="auto"/>
            <w:bottom w:val="none" w:sz="0" w:space="0" w:color="auto"/>
            <w:right w:val="none" w:sz="0" w:space="0" w:color="auto"/>
          </w:divBdr>
        </w:div>
        <w:div w:id="470832172">
          <w:marLeft w:val="0"/>
          <w:marRight w:val="0"/>
          <w:marTop w:val="0"/>
          <w:marBottom w:val="0"/>
          <w:divBdr>
            <w:top w:val="none" w:sz="0" w:space="0" w:color="auto"/>
            <w:left w:val="none" w:sz="0" w:space="0" w:color="auto"/>
            <w:bottom w:val="none" w:sz="0" w:space="0" w:color="auto"/>
            <w:right w:val="none" w:sz="0" w:space="0" w:color="auto"/>
          </w:divBdr>
        </w:div>
        <w:div w:id="852692566">
          <w:marLeft w:val="0"/>
          <w:marRight w:val="0"/>
          <w:marTop w:val="0"/>
          <w:marBottom w:val="0"/>
          <w:divBdr>
            <w:top w:val="none" w:sz="0" w:space="0" w:color="auto"/>
            <w:left w:val="none" w:sz="0" w:space="0" w:color="auto"/>
            <w:bottom w:val="none" w:sz="0" w:space="0" w:color="auto"/>
            <w:right w:val="none" w:sz="0" w:space="0" w:color="auto"/>
          </w:divBdr>
        </w:div>
        <w:div w:id="303587883">
          <w:marLeft w:val="0"/>
          <w:marRight w:val="0"/>
          <w:marTop w:val="0"/>
          <w:marBottom w:val="0"/>
          <w:divBdr>
            <w:top w:val="none" w:sz="0" w:space="0" w:color="auto"/>
            <w:left w:val="none" w:sz="0" w:space="0" w:color="auto"/>
            <w:bottom w:val="none" w:sz="0" w:space="0" w:color="auto"/>
            <w:right w:val="none" w:sz="0" w:space="0" w:color="auto"/>
          </w:divBdr>
        </w:div>
        <w:div w:id="703872116">
          <w:marLeft w:val="0"/>
          <w:marRight w:val="0"/>
          <w:marTop w:val="0"/>
          <w:marBottom w:val="0"/>
          <w:divBdr>
            <w:top w:val="none" w:sz="0" w:space="0" w:color="auto"/>
            <w:left w:val="none" w:sz="0" w:space="0" w:color="auto"/>
            <w:bottom w:val="none" w:sz="0" w:space="0" w:color="auto"/>
            <w:right w:val="none" w:sz="0" w:space="0" w:color="auto"/>
          </w:divBdr>
        </w:div>
        <w:div w:id="1184780161">
          <w:marLeft w:val="0"/>
          <w:marRight w:val="0"/>
          <w:marTop w:val="0"/>
          <w:marBottom w:val="0"/>
          <w:divBdr>
            <w:top w:val="none" w:sz="0" w:space="0" w:color="auto"/>
            <w:left w:val="none" w:sz="0" w:space="0" w:color="auto"/>
            <w:bottom w:val="none" w:sz="0" w:space="0" w:color="auto"/>
            <w:right w:val="none" w:sz="0" w:space="0" w:color="auto"/>
          </w:divBdr>
        </w:div>
        <w:div w:id="451630399">
          <w:marLeft w:val="0"/>
          <w:marRight w:val="0"/>
          <w:marTop w:val="0"/>
          <w:marBottom w:val="0"/>
          <w:divBdr>
            <w:top w:val="none" w:sz="0" w:space="0" w:color="auto"/>
            <w:left w:val="none" w:sz="0" w:space="0" w:color="auto"/>
            <w:bottom w:val="none" w:sz="0" w:space="0" w:color="auto"/>
            <w:right w:val="none" w:sz="0" w:space="0" w:color="auto"/>
          </w:divBdr>
        </w:div>
      </w:divsChild>
    </w:div>
    <w:div w:id="85344374">
      <w:bodyDiv w:val="1"/>
      <w:marLeft w:val="0"/>
      <w:marRight w:val="0"/>
      <w:marTop w:val="0"/>
      <w:marBottom w:val="0"/>
      <w:divBdr>
        <w:top w:val="none" w:sz="0" w:space="0" w:color="auto"/>
        <w:left w:val="none" w:sz="0" w:space="0" w:color="auto"/>
        <w:bottom w:val="none" w:sz="0" w:space="0" w:color="auto"/>
        <w:right w:val="none" w:sz="0" w:space="0" w:color="auto"/>
      </w:divBdr>
      <w:divsChild>
        <w:div w:id="803932554">
          <w:marLeft w:val="0"/>
          <w:marRight w:val="0"/>
          <w:marTop w:val="0"/>
          <w:marBottom w:val="0"/>
          <w:divBdr>
            <w:top w:val="none" w:sz="0" w:space="0" w:color="auto"/>
            <w:left w:val="none" w:sz="0" w:space="0" w:color="auto"/>
            <w:bottom w:val="none" w:sz="0" w:space="0" w:color="auto"/>
            <w:right w:val="none" w:sz="0" w:space="0" w:color="auto"/>
          </w:divBdr>
        </w:div>
      </w:divsChild>
    </w:div>
    <w:div w:id="86002655">
      <w:bodyDiv w:val="1"/>
      <w:marLeft w:val="0"/>
      <w:marRight w:val="0"/>
      <w:marTop w:val="0"/>
      <w:marBottom w:val="0"/>
      <w:divBdr>
        <w:top w:val="none" w:sz="0" w:space="0" w:color="auto"/>
        <w:left w:val="none" w:sz="0" w:space="0" w:color="auto"/>
        <w:bottom w:val="none" w:sz="0" w:space="0" w:color="auto"/>
        <w:right w:val="none" w:sz="0" w:space="0" w:color="auto"/>
      </w:divBdr>
      <w:divsChild>
        <w:div w:id="426510305">
          <w:marLeft w:val="0"/>
          <w:marRight w:val="0"/>
          <w:marTop w:val="60"/>
          <w:marBottom w:val="0"/>
          <w:divBdr>
            <w:top w:val="none" w:sz="0" w:space="0" w:color="auto"/>
            <w:left w:val="none" w:sz="0" w:space="0" w:color="auto"/>
            <w:bottom w:val="none" w:sz="0" w:space="0" w:color="auto"/>
            <w:right w:val="none" w:sz="0" w:space="0" w:color="auto"/>
          </w:divBdr>
        </w:div>
        <w:div w:id="1053966911">
          <w:marLeft w:val="240"/>
          <w:marRight w:val="0"/>
          <w:marTop w:val="0"/>
          <w:marBottom w:val="0"/>
          <w:divBdr>
            <w:top w:val="none" w:sz="0" w:space="0" w:color="auto"/>
            <w:left w:val="none" w:sz="0" w:space="0" w:color="auto"/>
            <w:bottom w:val="none" w:sz="0" w:space="0" w:color="auto"/>
            <w:right w:val="none" w:sz="0" w:space="0" w:color="auto"/>
          </w:divBdr>
          <w:divsChild>
            <w:div w:id="10979478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5181132">
      <w:bodyDiv w:val="1"/>
      <w:marLeft w:val="0"/>
      <w:marRight w:val="0"/>
      <w:marTop w:val="0"/>
      <w:marBottom w:val="0"/>
      <w:divBdr>
        <w:top w:val="none" w:sz="0" w:space="0" w:color="auto"/>
        <w:left w:val="none" w:sz="0" w:space="0" w:color="auto"/>
        <w:bottom w:val="none" w:sz="0" w:space="0" w:color="auto"/>
        <w:right w:val="none" w:sz="0" w:space="0" w:color="auto"/>
      </w:divBdr>
      <w:divsChild>
        <w:div w:id="1488666249">
          <w:marLeft w:val="0"/>
          <w:marRight w:val="0"/>
          <w:marTop w:val="0"/>
          <w:marBottom w:val="0"/>
          <w:divBdr>
            <w:top w:val="none" w:sz="0" w:space="0" w:color="auto"/>
            <w:left w:val="none" w:sz="0" w:space="0" w:color="auto"/>
            <w:bottom w:val="none" w:sz="0" w:space="0" w:color="auto"/>
            <w:right w:val="none" w:sz="0" w:space="0" w:color="auto"/>
          </w:divBdr>
        </w:div>
      </w:divsChild>
    </w:div>
    <w:div w:id="108941983">
      <w:bodyDiv w:val="1"/>
      <w:marLeft w:val="0"/>
      <w:marRight w:val="0"/>
      <w:marTop w:val="0"/>
      <w:marBottom w:val="0"/>
      <w:divBdr>
        <w:top w:val="none" w:sz="0" w:space="0" w:color="auto"/>
        <w:left w:val="none" w:sz="0" w:space="0" w:color="auto"/>
        <w:bottom w:val="none" w:sz="0" w:space="0" w:color="auto"/>
        <w:right w:val="none" w:sz="0" w:space="0" w:color="auto"/>
      </w:divBdr>
    </w:div>
    <w:div w:id="112604979">
      <w:bodyDiv w:val="1"/>
      <w:marLeft w:val="0"/>
      <w:marRight w:val="0"/>
      <w:marTop w:val="0"/>
      <w:marBottom w:val="0"/>
      <w:divBdr>
        <w:top w:val="none" w:sz="0" w:space="0" w:color="auto"/>
        <w:left w:val="none" w:sz="0" w:space="0" w:color="auto"/>
        <w:bottom w:val="none" w:sz="0" w:space="0" w:color="auto"/>
        <w:right w:val="none" w:sz="0" w:space="0" w:color="auto"/>
      </w:divBdr>
    </w:div>
    <w:div w:id="113066531">
      <w:bodyDiv w:val="1"/>
      <w:marLeft w:val="0"/>
      <w:marRight w:val="0"/>
      <w:marTop w:val="0"/>
      <w:marBottom w:val="0"/>
      <w:divBdr>
        <w:top w:val="none" w:sz="0" w:space="0" w:color="auto"/>
        <w:left w:val="none" w:sz="0" w:space="0" w:color="auto"/>
        <w:bottom w:val="none" w:sz="0" w:space="0" w:color="auto"/>
        <w:right w:val="none" w:sz="0" w:space="0" w:color="auto"/>
      </w:divBdr>
      <w:divsChild>
        <w:div w:id="982541170">
          <w:marLeft w:val="0"/>
          <w:marRight w:val="0"/>
          <w:marTop w:val="260"/>
          <w:marBottom w:val="0"/>
          <w:divBdr>
            <w:top w:val="none" w:sz="0" w:space="0" w:color="auto"/>
            <w:left w:val="none" w:sz="0" w:space="0" w:color="auto"/>
            <w:bottom w:val="none" w:sz="0" w:space="0" w:color="auto"/>
            <w:right w:val="none" w:sz="0" w:space="0" w:color="auto"/>
          </w:divBdr>
          <w:divsChild>
            <w:div w:id="368917516">
              <w:marLeft w:val="0"/>
              <w:marRight w:val="0"/>
              <w:marTop w:val="0"/>
              <w:marBottom w:val="0"/>
              <w:divBdr>
                <w:top w:val="none" w:sz="0" w:space="0" w:color="auto"/>
                <w:left w:val="none" w:sz="0" w:space="0" w:color="auto"/>
                <w:bottom w:val="none" w:sz="0" w:space="0" w:color="auto"/>
                <w:right w:val="none" w:sz="0" w:space="0" w:color="auto"/>
              </w:divBdr>
              <w:divsChild>
                <w:div w:id="2118985478">
                  <w:marLeft w:val="0"/>
                  <w:marRight w:val="0"/>
                  <w:marTop w:val="0"/>
                  <w:marBottom w:val="0"/>
                  <w:divBdr>
                    <w:top w:val="none" w:sz="0" w:space="0" w:color="auto"/>
                    <w:left w:val="none" w:sz="0" w:space="0" w:color="auto"/>
                    <w:bottom w:val="none" w:sz="0" w:space="0" w:color="auto"/>
                    <w:right w:val="none" w:sz="0" w:space="0" w:color="auto"/>
                  </w:divBdr>
                  <w:divsChild>
                    <w:div w:id="541676626">
                      <w:marLeft w:val="0"/>
                      <w:marRight w:val="0"/>
                      <w:marTop w:val="0"/>
                      <w:marBottom w:val="0"/>
                      <w:divBdr>
                        <w:top w:val="none" w:sz="0" w:space="0" w:color="auto"/>
                        <w:left w:val="none" w:sz="0" w:space="0" w:color="auto"/>
                        <w:bottom w:val="none" w:sz="0" w:space="0" w:color="auto"/>
                        <w:right w:val="none" w:sz="0" w:space="0" w:color="auto"/>
                      </w:divBdr>
                      <w:divsChild>
                        <w:div w:id="816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70282">
          <w:marLeft w:val="0"/>
          <w:marRight w:val="0"/>
          <w:marTop w:val="60"/>
          <w:marBottom w:val="0"/>
          <w:divBdr>
            <w:top w:val="none" w:sz="0" w:space="0" w:color="auto"/>
            <w:left w:val="none" w:sz="0" w:space="0" w:color="auto"/>
            <w:bottom w:val="none" w:sz="0" w:space="0" w:color="auto"/>
            <w:right w:val="none" w:sz="0" w:space="0" w:color="auto"/>
          </w:divBdr>
          <w:divsChild>
            <w:div w:id="1171599264">
              <w:marLeft w:val="0"/>
              <w:marRight w:val="0"/>
              <w:marTop w:val="0"/>
              <w:marBottom w:val="0"/>
              <w:divBdr>
                <w:top w:val="none" w:sz="0" w:space="0" w:color="auto"/>
                <w:left w:val="none" w:sz="0" w:space="0" w:color="auto"/>
                <w:bottom w:val="none" w:sz="0" w:space="0" w:color="auto"/>
                <w:right w:val="none" w:sz="0" w:space="0" w:color="auto"/>
              </w:divBdr>
              <w:divsChild>
                <w:div w:id="173765975">
                  <w:marLeft w:val="0"/>
                  <w:marRight w:val="0"/>
                  <w:marTop w:val="0"/>
                  <w:marBottom w:val="0"/>
                  <w:divBdr>
                    <w:top w:val="none" w:sz="0" w:space="0" w:color="auto"/>
                    <w:left w:val="none" w:sz="0" w:space="0" w:color="auto"/>
                    <w:bottom w:val="none" w:sz="0" w:space="0" w:color="auto"/>
                    <w:right w:val="none" w:sz="0" w:space="0" w:color="auto"/>
                  </w:divBdr>
                  <w:divsChild>
                    <w:div w:id="1347712652">
                      <w:marLeft w:val="0"/>
                      <w:marRight w:val="0"/>
                      <w:marTop w:val="0"/>
                      <w:marBottom w:val="0"/>
                      <w:divBdr>
                        <w:top w:val="none" w:sz="0" w:space="0" w:color="auto"/>
                        <w:left w:val="none" w:sz="0" w:space="0" w:color="auto"/>
                        <w:bottom w:val="none" w:sz="0" w:space="0" w:color="auto"/>
                        <w:right w:val="none" w:sz="0" w:space="0" w:color="auto"/>
                      </w:divBdr>
                      <w:divsChild>
                        <w:div w:id="843592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0564">
      <w:bodyDiv w:val="1"/>
      <w:marLeft w:val="0"/>
      <w:marRight w:val="0"/>
      <w:marTop w:val="0"/>
      <w:marBottom w:val="0"/>
      <w:divBdr>
        <w:top w:val="none" w:sz="0" w:space="0" w:color="auto"/>
        <w:left w:val="none" w:sz="0" w:space="0" w:color="auto"/>
        <w:bottom w:val="none" w:sz="0" w:space="0" w:color="auto"/>
        <w:right w:val="none" w:sz="0" w:space="0" w:color="auto"/>
      </w:divBdr>
      <w:divsChild>
        <w:div w:id="1719472856">
          <w:marLeft w:val="0"/>
          <w:marRight w:val="0"/>
          <w:marTop w:val="0"/>
          <w:marBottom w:val="0"/>
          <w:divBdr>
            <w:top w:val="none" w:sz="0" w:space="0" w:color="auto"/>
            <w:left w:val="none" w:sz="0" w:space="0" w:color="auto"/>
            <w:bottom w:val="none" w:sz="0" w:space="0" w:color="auto"/>
            <w:right w:val="none" w:sz="0" w:space="0" w:color="auto"/>
          </w:divBdr>
        </w:div>
      </w:divsChild>
    </w:div>
    <w:div w:id="122385199">
      <w:bodyDiv w:val="1"/>
      <w:marLeft w:val="0"/>
      <w:marRight w:val="0"/>
      <w:marTop w:val="0"/>
      <w:marBottom w:val="0"/>
      <w:divBdr>
        <w:top w:val="none" w:sz="0" w:space="0" w:color="auto"/>
        <w:left w:val="none" w:sz="0" w:space="0" w:color="auto"/>
        <w:bottom w:val="none" w:sz="0" w:space="0" w:color="auto"/>
        <w:right w:val="none" w:sz="0" w:space="0" w:color="auto"/>
      </w:divBdr>
      <w:divsChild>
        <w:div w:id="728305855">
          <w:marLeft w:val="0"/>
          <w:marRight w:val="0"/>
          <w:marTop w:val="0"/>
          <w:marBottom w:val="0"/>
          <w:divBdr>
            <w:top w:val="none" w:sz="0" w:space="0" w:color="auto"/>
            <w:left w:val="none" w:sz="0" w:space="0" w:color="auto"/>
            <w:bottom w:val="none" w:sz="0" w:space="0" w:color="auto"/>
            <w:right w:val="none" w:sz="0" w:space="0" w:color="auto"/>
          </w:divBdr>
          <w:divsChild>
            <w:div w:id="1440032586">
              <w:marLeft w:val="0"/>
              <w:marRight w:val="0"/>
              <w:marTop w:val="0"/>
              <w:marBottom w:val="0"/>
              <w:divBdr>
                <w:top w:val="none" w:sz="0" w:space="0" w:color="auto"/>
                <w:left w:val="none" w:sz="0" w:space="0" w:color="auto"/>
                <w:bottom w:val="none" w:sz="0" w:space="0" w:color="auto"/>
                <w:right w:val="none" w:sz="0" w:space="0" w:color="auto"/>
              </w:divBdr>
              <w:divsChild>
                <w:div w:id="427165909">
                  <w:marLeft w:val="0"/>
                  <w:marRight w:val="0"/>
                  <w:marTop w:val="0"/>
                  <w:marBottom w:val="0"/>
                  <w:divBdr>
                    <w:top w:val="none" w:sz="0" w:space="0" w:color="auto"/>
                    <w:left w:val="none" w:sz="0" w:space="0" w:color="auto"/>
                    <w:bottom w:val="none" w:sz="0" w:space="0" w:color="auto"/>
                    <w:right w:val="none" w:sz="0" w:space="0" w:color="auto"/>
                  </w:divBdr>
                </w:div>
              </w:divsChild>
            </w:div>
            <w:div w:id="1129470783">
              <w:marLeft w:val="0"/>
              <w:marRight w:val="0"/>
              <w:marTop w:val="0"/>
              <w:marBottom w:val="0"/>
              <w:divBdr>
                <w:top w:val="none" w:sz="0" w:space="0" w:color="auto"/>
                <w:left w:val="none" w:sz="0" w:space="0" w:color="auto"/>
                <w:bottom w:val="none" w:sz="0" w:space="0" w:color="auto"/>
                <w:right w:val="none" w:sz="0" w:space="0" w:color="auto"/>
              </w:divBdr>
            </w:div>
            <w:div w:id="645740117">
              <w:marLeft w:val="0"/>
              <w:marRight w:val="0"/>
              <w:marTop w:val="0"/>
              <w:marBottom w:val="0"/>
              <w:divBdr>
                <w:top w:val="none" w:sz="0" w:space="0" w:color="auto"/>
                <w:left w:val="none" w:sz="0" w:space="0" w:color="auto"/>
                <w:bottom w:val="none" w:sz="0" w:space="0" w:color="auto"/>
                <w:right w:val="none" w:sz="0" w:space="0" w:color="auto"/>
              </w:divBdr>
            </w:div>
            <w:div w:id="1682927622">
              <w:marLeft w:val="0"/>
              <w:marRight w:val="0"/>
              <w:marTop w:val="0"/>
              <w:marBottom w:val="0"/>
              <w:divBdr>
                <w:top w:val="none" w:sz="0" w:space="0" w:color="auto"/>
                <w:left w:val="none" w:sz="0" w:space="0" w:color="auto"/>
                <w:bottom w:val="none" w:sz="0" w:space="0" w:color="auto"/>
                <w:right w:val="none" w:sz="0" w:space="0" w:color="auto"/>
              </w:divBdr>
            </w:div>
            <w:div w:id="778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0302">
      <w:bodyDiv w:val="1"/>
      <w:marLeft w:val="0"/>
      <w:marRight w:val="0"/>
      <w:marTop w:val="0"/>
      <w:marBottom w:val="0"/>
      <w:divBdr>
        <w:top w:val="none" w:sz="0" w:space="0" w:color="auto"/>
        <w:left w:val="none" w:sz="0" w:space="0" w:color="auto"/>
        <w:bottom w:val="none" w:sz="0" w:space="0" w:color="auto"/>
        <w:right w:val="none" w:sz="0" w:space="0" w:color="auto"/>
      </w:divBdr>
    </w:div>
    <w:div w:id="132258253">
      <w:bodyDiv w:val="1"/>
      <w:marLeft w:val="0"/>
      <w:marRight w:val="0"/>
      <w:marTop w:val="0"/>
      <w:marBottom w:val="0"/>
      <w:divBdr>
        <w:top w:val="none" w:sz="0" w:space="0" w:color="auto"/>
        <w:left w:val="none" w:sz="0" w:space="0" w:color="auto"/>
        <w:bottom w:val="none" w:sz="0" w:space="0" w:color="auto"/>
        <w:right w:val="none" w:sz="0" w:space="0" w:color="auto"/>
      </w:divBdr>
      <w:divsChild>
        <w:div w:id="1391346186">
          <w:marLeft w:val="0"/>
          <w:marRight w:val="0"/>
          <w:marTop w:val="0"/>
          <w:marBottom w:val="0"/>
          <w:divBdr>
            <w:top w:val="none" w:sz="0" w:space="0" w:color="auto"/>
            <w:left w:val="none" w:sz="0" w:space="0" w:color="auto"/>
            <w:bottom w:val="none" w:sz="0" w:space="0" w:color="auto"/>
            <w:right w:val="none" w:sz="0" w:space="0" w:color="auto"/>
          </w:divBdr>
          <w:divsChild>
            <w:div w:id="797845792">
              <w:marLeft w:val="0"/>
              <w:marRight w:val="0"/>
              <w:marTop w:val="0"/>
              <w:marBottom w:val="0"/>
              <w:divBdr>
                <w:top w:val="none" w:sz="0" w:space="0" w:color="auto"/>
                <w:left w:val="none" w:sz="0" w:space="0" w:color="auto"/>
                <w:bottom w:val="none" w:sz="0" w:space="0" w:color="auto"/>
                <w:right w:val="none" w:sz="0" w:space="0" w:color="auto"/>
              </w:divBdr>
              <w:divsChild>
                <w:div w:id="9873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6452">
      <w:bodyDiv w:val="1"/>
      <w:marLeft w:val="0"/>
      <w:marRight w:val="0"/>
      <w:marTop w:val="0"/>
      <w:marBottom w:val="0"/>
      <w:divBdr>
        <w:top w:val="none" w:sz="0" w:space="0" w:color="auto"/>
        <w:left w:val="none" w:sz="0" w:space="0" w:color="auto"/>
        <w:bottom w:val="none" w:sz="0" w:space="0" w:color="auto"/>
        <w:right w:val="none" w:sz="0" w:space="0" w:color="auto"/>
      </w:divBdr>
      <w:divsChild>
        <w:div w:id="530995767">
          <w:marLeft w:val="0"/>
          <w:marRight w:val="0"/>
          <w:marTop w:val="0"/>
          <w:marBottom w:val="0"/>
          <w:divBdr>
            <w:top w:val="none" w:sz="0" w:space="0" w:color="auto"/>
            <w:left w:val="none" w:sz="0" w:space="0" w:color="auto"/>
            <w:bottom w:val="none" w:sz="0" w:space="0" w:color="auto"/>
            <w:right w:val="none" w:sz="0" w:space="0" w:color="auto"/>
          </w:divBdr>
        </w:div>
      </w:divsChild>
    </w:div>
    <w:div w:id="153686478">
      <w:bodyDiv w:val="1"/>
      <w:marLeft w:val="0"/>
      <w:marRight w:val="0"/>
      <w:marTop w:val="0"/>
      <w:marBottom w:val="0"/>
      <w:divBdr>
        <w:top w:val="none" w:sz="0" w:space="0" w:color="auto"/>
        <w:left w:val="none" w:sz="0" w:space="0" w:color="auto"/>
        <w:bottom w:val="none" w:sz="0" w:space="0" w:color="auto"/>
        <w:right w:val="none" w:sz="0" w:space="0" w:color="auto"/>
      </w:divBdr>
    </w:div>
    <w:div w:id="158035875">
      <w:bodyDiv w:val="1"/>
      <w:marLeft w:val="0"/>
      <w:marRight w:val="0"/>
      <w:marTop w:val="0"/>
      <w:marBottom w:val="0"/>
      <w:divBdr>
        <w:top w:val="none" w:sz="0" w:space="0" w:color="auto"/>
        <w:left w:val="none" w:sz="0" w:space="0" w:color="auto"/>
        <w:bottom w:val="none" w:sz="0" w:space="0" w:color="auto"/>
        <w:right w:val="none" w:sz="0" w:space="0" w:color="auto"/>
      </w:divBdr>
    </w:div>
    <w:div w:id="179903203">
      <w:bodyDiv w:val="1"/>
      <w:marLeft w:val="0"/>
      <w:marRight w:val="0"/>
      <w:marTop w:val="0"/>
      <w:marBottom w:val="0"/>
      <w:divBdr>
        <w:top w:val="none" w:sz="0" w:space="0" w:color="auto"/>
        <w:left w:val="none" w:sz="0" w:space="0" w:color="auto"/>
        <w:bottom w:val="none" w:sz="0" w:space="0" w:color="auto"/>
        <w:right w:val="none" w:sz="0" w:space="0" w:color="auto"/>
      </w:divBdr>
      <w:divsChild>
        <w:div w:id="1740902795">
          <w:marLeft w:val="0"/>
          <w:marRight w:val="0"/>
          <w:marTop w:val="0"/>
          <w:marBottom w:val="0"/>
          <w:divBdr>
            <w:top w:val="none" w:sz="0" w:space="0" w:color="auto"/>
            <w:left w:val="none" w:sz="0" w:space="0" w:color="auto"/>
            <w:bottom w:val="none" w:sz="0" w:space="0" w:color="auto"/>
            <w:right w:val="none" w:sz="0" w:space="0" w:color="auto"/>
          </w:divBdr>
        </w:div>
      </w:divsChild>
    </w:div>
    <w:div w:id="184563366">
      <w:bodyDiv w:val="1"/>
      <w:marLeft w:val="0"/>
      <w:marRight w:val="0"/>
      <w:marTop w:val="0"/>
      <w:marBottom w:val="0"/>
      <w:divBdr>
        <w:top w:val="none" w:sz="0" w:space="0" w:color="auto"/>
        <w:left w:val="none" w:sz="0" w:space="0" w:color="auto"/>
        <w:bottom w:val="none" w:sz="0" w:space="0" w:color="auto"/>
        <w:right w:val="none" w:sz="0" w:space="0" w:color="auto"/>
      </w:divBdr>
    </w:div>
    <w:div w:id="19157351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86">
          <w:marLeft w:val="0"/>
          <w:marRight w:val="0"/>
          <w:marTop w:val="0"/>
          <w:marBottom w:val="0"/>
          <w:divBdr>
            <w:top w:val="none" w:sz="0" w:space="0" w:color="auto"/>
            <w:left w:val="none" w:sz="0" w:space="0" w:color="auto"/>
            <w:bottom w:val="none" w:sz="0" w:space="0" w:color="auto"/>
            <w:right w:val="none" w:sz="0" w:space="0" w:color="auto"/>
          </w:divBdr>
        </w:div>
        <w:div w:id="312954719">
          <w:marLeft w:val="0"/>
          <w:marRight w:val="0"/>
          <w:marTop w:val="0"/>
          <w:marBottom w:val="0"/>
          <w:divBdr>
            <w:top w:val="none" w:sz="0" w:space="0" w:color="auto"/>
            <w:left w:val="none" w:sz="0" w:space="0" w:color="auto"/>
            <w:bottom w:val="none" w:sz="0" w:space="0" w:color="auto"/>
            <w:right w:val="none" w:sz="0" w:space="0" w:color="auto"/>
          </w:divBdr>
        </w:div>
      </w:divsChild>
    </w:div>
    <w:div w:id="217673459">
      <w:bodyDiv w:val="1"/>
      <w:marLeft w:val="0"/>
      <w:marRight w:val="0"/>
      <w:marTop w:val="0"/>
      <w:marBottom w:val="0"/>
      <w:divBdr>
        <w:top w:val="none" w:sz="0" w:space="0" w:color="auto"/>
        <w:left w:val="none" w:sz="0" w:space="0" w:color="auto"/>
        <w:bottom w:val="none" w:sz="0" w:space="0" w:color="auto"/>
        <w:right w:val="none" w:sz="0" w:space="0" w:color="auto"/>
      </w:divBdr>
    </w:div>
    <w:div w:id="226038035">
      <w:bodyDiv w:val="1"/>
      <w:marLeft w:val="0"/>
      <w:marRight w:val="0"/>
      <w:marTop w:val="0"/>
      <w:marBottom w:val="0"/>
      <w:divBdr>
        <w:top w:val="none" w:sz="0" w:space="0" w:color="auto"/>
        <w:left w:val="none" w:sz="0" w:space="0" w:color="auto"/>
        <w:bottom w:val="none" w:sz="0" w:space="0" w:color="auto"/>
        <w:right w:val="none" w:sz="0" w:space="0" w:color="auto"/>
      </w:divBdr>
    </w:div>
    <w:div w:id="267277921">
      <w:bodyDiv w:val="1"/>
      <w:marLeft w:val="0"/>
      <w:marRight w:val="0"/>
      <w:marTop w:val="0"/>
      <w:marBottom w:val="0"/>
      <w:divBdr>
        <w:top w:val="none" w:sz="0" w:space="0" w:color="auto"/>
        <w:left w:val="none" w:sz="0" w:space="0" w:color="auto"/>
        <w:bottom w:val="none" w:sz="0" w:space="0" w:color="auto"/>
        <w:right w:val="none" w:sz="0" w:space="0" w:color="auto"/>
      </w:divBdr>
      <w:divsChild>
        <w:div w:id="565074827">
          <w:marLeft w:val="0"/>
          <w:marRight w:val="0"/>
          <w:marTop w:val="0"/>
          <w:marBottom w:val="0"/>
          <w:divBdr>
            <w:top w:val="none" w:sz="0" w:space="0" w:color="auto"/>
            <w:left w:val="none" w:sz="0" w:space="0" w:color="auto"/>
            <w:bottom w:val="none" w:sz="0" w:space="0" w:color="auto"/>
            <w:right w:val="none" w:sz="0" w:space="0" w:color="auto"/>
          </w:divBdr>
        </w:div>
        <w:div w:id="648944573">
          <w:marLeft w:val="0"/>
          <w:marRight w:val="0"/>
          <w:marTop w:val="0"/>
          <w:marBottom w:val="0"/>
          <w:divBdr>
            <w:top w:val="none" w:sz="0" w:space="0" w:color="auto"/>
            <w:left w:val="none" w:sz="0" w:space="0" w:color="auto"/>
            <w:bottom w:val="none" w:sz="0" w:space="0" w:color="auto"/>
            <w:right w:val="none" w:sz="0" w:space="0" w:color="auto"/>
          </w:divBdr>
        </w:div>
      </w:divsChild>
    </w:div>
    <w:div w:id="280722729">
      <w:bodyDiv w:val="1"/>
      <w:marLeft w:val="0"/>
      <w:marRight w:val="0"/>
      <w:marTop w:val="0"/>
      <w:marBottom w:val="0"/>
      <w:divBdr>
        <w:top w:val="none" w:sz="0" w:space="0" w:color="auto"/>
        <w:left w:val="none" w:sz="0" w:space="0" w:color="auto"/>
        <w:bottom w:val="none" w:sz="0" w:space="0" w:color="auto"/>
        <w:right w:val="none" w:sz="0" w:space="0" w:color="auto"/>
      </w:divBdr>
    </w:div>
    <w:div w:id="290482151">
      <w:bodyDiv w:val="1"/>
      <w:marLeft w:val="0"/>
      <w:marRight w:val="0"/>
      <w:marTop w:val="0"/>
      <w:marBottom w:val="0"/>
      <w:divBdr>
        <w:top w:val="none" w:sz="0" w:space="0" w:color="auto"/>
        <w:left w:val="none" w:sz="0" w:space="0" w:color="auto"/>
        <w:bottom w:val="none" w:sz="0" w:space="0" w:color="auto"/>
        <w:right w:val="none" w:sz="0" w:space="0" w:color="auto"/>
      </w:divBdr>
      <w:divsChild>
        <w:div w:id="24259734">
          <w:marLeft w:val="0"/>
          <w:marRight w:val="0"/>
          <w:marTop w:val="0"/>
          <w:marBottom w:val="0"/>
          <w:divBdr>
            <w:top w:val="none" w:sz="0" w:space="0" w:color="auto"/>
            <w:left w:val="none" w:sz="0" w:space="0" w:color="auto"/>
            <w:bottom w:val="none" w:sz="0" w:space="0" w:color="auto"/>
            <w:right w:val="none" w:sz="0" w:space="0" w:color="auto"/>
          </w:divBdr>
        </w:div>
        <w:div w:id="430976747">
          <w:marLeft w:val="0"/>
          <w:marRight w:val="0"/>
          <w:marTop w:val="0"/>
          <w:marBottom w:val="0"/>
          <w:divBdr>
            <w:top w:val="none" w:sz="0" w:space="0" w:color="auto"/>
            <w:left w:val="none" w:sz="0" w:space="0" w:color="auto"/>
            <w:bottom w:val="none" w:sz="0" w:space="0" w:color="auto"/>
            <w:right w:val="none" w:sz="0" w:space="0" w:color="auto"/>
          </w:divBdr>
        </w:div>
        <w:div w:id="911432421">
          <w:marLeft w:val="0"/>
          <w:marRight w:val="0"/>
          <w:marTop w:val="0"/>
          <w:marBottom w:val="0"/>
          <w:divBdr>
            <w:top w:val="none" w:sz="0" w:space="0" w:color="auto"/>
            <w:left w:val="none" w:sz="0" w:space="0" w:color="auto"/>
            <w:bottom w:val="none" w:sz="0" w:space="0" w:color="auto"/>
            <w:right w:val="none" w:sz="0" w:space="0" w:color="auto"/>
          </w:divBdr>
        </w:div>
        <w:div w:id="2042507649">
          <w:marLeft w:val="0"/>
          <w:marRight w:val="0"/>
          <w:marTop w:val="0"/>
          <w:marBottom w:val="0"/>
          <w:divBdr>
            <w:top w:val="none" w:sz="0" w:space="0" w:color="auto"/>
            <w:left w:val="none" w:sz="0" w:space="0" w:color="auto"/>
            <w:bottom w:val="none" w:sz="0" w:space="0" w:color="auto"/>
            <w:right w:val="none" w:sz="0" w:space="0" w:color="auto"/>
          </w:divBdr>
        </w:div>
      </w:divsChild>
    </w:div>
    <w:div w:id="301009887">
      <w:bodyDiv w:val="1"/>
      <w:marLeft w:val="0"/>
      <w:marRight w:val="0"/>
      <w:marTop w:val="0"/>
      <w:marBottom w:val="0"/>
      <w:divBdr>
        <w:top w:val="none" w:sz="0" w:space="0" w:color="auto"/>
        <w:left w:val="none" w:sz="0" w:space="0" w:color="auto"/>
        <w:bottom w:val="none" w:sz="0" w:space="0" w:color="auto"/>
        <w:right w:val="none" w:sz="0" w:space="0" w:color="auto"/>
      </w:divBdr>
    </w:div>
    <w:div w:id="311639211">
      <w:bodyDiv w:val="1"/>
      <w:marLeft w:val="0"/>
      <w:marRight w:val="0"/>
      <w:marTop w:val="0"/>
      <w:marBottom w:val="0"/>
      <w:divBdr>
        <w:top w:val="none" w:sz="0" w:space="0" w:color="auto"/>
        <w:left w:val="none" w:sz="0" w:space="0" w:color="auto"/>
        <w:bottom w:val="none" w:sz="0" w:space="0" w:color="auto"/>
        <w:right w:val="none" w:sz="0" w:space="0" w:color="auto"/>
      </w:divBdr>
      <w:divsChild>
        <w:div w:id="1681272514">
          <w:marLeft w:val="0"/>
          <w:marRight w:val="0"/>
          <w:marTop w:val="0"/>
          <w:marBottom w:val="0"/>
          <w:divBdr>
            <w:top w:val="none" w:sz="0" w:space="0" w:color="auto"/>
            <w:left w:val="none" w:sz="0" w:space="0" w:color="auto"/>
            <w:bottom w:val="none" w:sz="0" w:space="0" w:color="auto"/>
            <w:right w:val="none" w:sz="0" w:space="0" w:color="auto"/>
          </w:divBdr>
        </w:div>
        <w:div w:id="1534534690">
          <w:marLeft w:val="0"/>
          <w:marRight w:val="0"/>
          <w:marTop w:val="0"/>
          <w:marBottom w:val="0"/>
          <w:divBdr>
            <w:top w:val="none" w:sz="0" w:space="0" w:color="auto"/>
            <w:left w:val="none" w:sz="0" w:space="0" w:color="auto"/>
            <w:bottom w:val="none" w:sz="0" w:space="0" w:color="auto"/>
            <w:right w:val="none" w:sz="0" w:space="0" w:color="auto"/>
          </w:divBdr>
        </w:div>
        <w:div w:id="817695852">
          <w:marLeft w:val="0"/>
          <w:marRight w:val="0"/>
          <w:marTop w:val="0"/>
          <w:marBottom w:val="0"/>
          <w:divBdr>
            <w:top w:val="none" w:sz="0" w:space="0" w:color="auto"/>
            <w:left w:val="none" w:sz="0" w:space="0" w:color="auto"/>
            <w:bottom w:val="none" w:sz="0" w:space="0" w:color="auto"/>
            <w:right w:val="none" w:sz="0" w:space="0" w:color="auto"/>
          </w:divBdr>
        </w:div>
      </w:divsChild>
    </w:div>
    <w:div w:id="312952862">
      <w:bodyDiv w:val="1"/>
      <w:marLeft w:val="0"/>
      <w:marRight w:val="0"/>
      <w:marTop w:val="0"/>
      <w:marBottom w:val="0"/>
      <w:divBdr>
        <w:top w:val="none" w:sz="0" w:space="0" w:color="auto"/>
        <w:left w:val="none" w:sz="0" w:space="0" w:color="auto"/>
        <w:bottom w:val="none" w:sz="0" w:space="0" w:color="auto"/>
        <w:right w:val="none" w:sz="0" w:space="0" w:color="auto"/>
      </w:divBdr>
      <w:divsChild>
        <w:div w:id="1660428614">
          <w:marLeft w:val="0"/>
          <w:marRight w:val="0"/>
          <w:marTop w:val="0"/>
          <w:marBottom w:val="0"/>
          <w:divBdr>
            <w:top w:val="none" w:sz="0" w:space="0" w:color="auto"/>
            <w:left w:val="none" w:sz="0" w:space="0" w:color="auto"/>
            <w:bottom w:val="none" w:sz="0" w:space="0" w:color="auto"/>
            <w:right w:val="none" w:sz="0" w:space="0" w:color="auto"/>
          </w:divBdr>
        </w:div>
      </w:divsChild>
    </w:div>
    <w:div w:id="316956168">
      <w:bodyDiv w:val="1"/>
      <w:marLeft w:val="0"/>
      <w:marRight w:val="0"/>
      <w:marTop w:val="0"/>
      <w:marBottom w:val="0"/>
      <w:divBdr>
        <w:top w:val="none" w:sz="0" w:space="0" w:color="auto"/>
        <w:left w:val="none" w:sz="0" w:space="0" w:color="auto"/>
        <w:bottom w:val="none" w:sz="0" w:space="0" w:color="auto"/>
        <w:right w:val="none" w:sz="0" w:space="0" w:color="auto"/>
      </w:divBdr>
    </w:div>
    <w:div w:id="354186388">
      <w:bodyDiv w:val="1"/>
      <w:marLeft w:val="0"/>
      <w:marRight w:val="0"/>
      <w:marTop w:val="0"/>
      <w:marBottom w:val="0"/>
      <w:divBdr>
        <w:top w:val="none" w:sz="0" w:space="0" w:color="auto"/>
        <w:left w:val="none" w:sz="0" w:space="0" w:color="auto"/>
        <w:bottom w:val="none" w:sz="0" w:space="0" w:color="auto"/>
        <w:right w:val="none" w:sz="0" w:space="0" w:color="auto"/>
      </w:divBdr>
    </w:div>
    <w:div w:id="363406025">
      <w:bodyDiv w:val="1"/>
      <w:marLeft w:val="0"/>
      <w:marRight w:val="0"/>
      <w:marTop w:val="0"/>
      <w:marBottom w:val="0"/>
      <w:divBdr>
        <w:top w:val="none" w:sz="0" w:space="0" w:color="auto"/>
        <w:left w:val="none" w:sz="0" w:space="0" w:color="auto"/>
        <w:bottom w:val="none" w:sz="0" w:space="0" w:color="auto"/>
        <w:right w:val="none" w:sz="0" w:space="0" w:color="auto"/>
      </w:divBdr>
      <w:divsChild>
        <w:div w:id="722023298">
          <w:marLeft w:val="0"/>
          <w:marRight w:val="0"/>
          <w:marTop w:val="0"/>
          <w:marBottom w:val="0"/>
          <w:divBdr>
            <w:top w:val="none" w:sz="0" w:space="0" w:color="auto"/>
            <w:left w:val="none" w:sz="0" w:space="0" w:color="auto"/>
            <w:bottom w:val="none" w:sz="0" w:space="0" w:color="auto"/>
            <w:right w:val="none" w:sz="0" w:space="0" w:color="auto"/>
          </w:divBdr>
          <w:divsChild>
            <w:div w:id="320695608">
              <w:marLeft w:val="0"/>
              <w:marRight w:val="0"/>
              <w:marTop w:val="0"/>
              <w:marBottom w:val="0"/>
              <w:divBdr>
                <w:top w:val="none" w:sz="0" w:space="0" w:color="auto"/>
                <w:left w:val="none" w:sz="0" w:space="0" w:color="auto"/>
                <w:bottom w:val="none" w:sz="0" w:space="0" w:color="auto"/>
                <w:right w:val="none" w:sz="0" w:space="0" w:color="auto"/>
              </w:divBdr>
              <w:divsChild>
                <w:div w:id="113907537">
                  <w:marLeft w:val="0"/>
                  <w:marRight w:val="0"/>
                  <w:marTop w:val="0"/>
                  <w:marBottom w:val="0"/>
                  <w:divBdr>
                    <w:top w:val="none" w:sz="0" w:space="0" w:color="auto"/>
                    <w:left w:val="none" w:sz="0" w:space="0" w:color="auto"/>
                    <w:bottom w:val="none" w:sz="0" w:space="0" w:color="auto"/>
                    <w:right w:val="none" w:sz="0" w:space="0" w:color="auto"/>
                  </w:divBdr>
                </w:div>
              </w:divsChild>
            </w:div>
            <w:div w:id="760566871">
              <w:marLeft w:val="0"/>
              <w:marRight w:val="0"/>
              <w:marTop w:val="0"/>
              <w:marBottom w:val="0"/>
              <w:divBdr>
                <w:top w:val="none" w:sz="0" w:space="0" w:color="auto"/>
                <w:left w:val="none" w:sz="0" w:space="0" w:color="auto"/>
                <w:bottom w:val="none" w:sz="0" w:space="0" w:color="auto"/>
                <w:right w:val="none" w:sz="0" w:space="0" w:color="auto"/>
              </w:divBdr>
            </w:div>
            <w:div w:id="1042359857">
              <w:marLeft w:val="0"/>
              <w:marRight w:val="0"/>
              <w:marTop w:val="0"/>
              <w:marBottom w:val="0"/>
              <w:divBdr>
                <w:top w:val="none" w:sz="0" w:space="0" w:color="auto"/>
                <w:left w:val="none" w:sz="0" w:space="0" w:color="auto"/>
                <w:bottom w:val="none" w:sz="0" w:space="0" w:color="auto"/>
                <w:right w:val="none" w:sz="0" w:space="0" w:color="auto"/>
              </w:divBdr>
            </w:div>
            <w:div w:id="817721893">
              <w:marLeft w:val="0"/>
              <w:marRight w:val="0"/>
              <w:marTop w:val="0"/>
              <w:marBottom w:val="0"/>
              <w:divBdr>
                <w:top w:val="none" w:sz="0" w:space="0" w:color="auto"/>
                <w:left w:val="none" w:sz="0" w:space="0" w:color="auto"/>
                <w:bottom w:val="none" w:sz="0" w:space="0" w:color="auto"/>
                <w:right w:val="none" w:sz="0" w:space="0" w:color="auto"/>
              </w:divBdr>
            </w:div>
            <w:div w:id="7909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801">
      <w:bodyDiv w:val="1"/>
      <w:marLeft w:val="0"/>
      <w:marRight w:val="0"/>
      <w:marTop w:val="0"/>
      <w:marBottom w:val="0"/>
      <w:divBdr>
        <w:top w:val="none" w:sz="0" w:space="0" w:color="auto"/>
        <w:left w:val="none" w:sz="0" w:space="0" w:color="auto"/>
        <w:bottom w:val="none" w:sz="0" w:space="0" w:color="auto"/>
        <w:right w:val="none" w:sz="0" w:space="0" w:color="auto"/>
      </w:divBdr>
      <w:divsChild>
        <w:div w:id="179009451">
          <w:marLeft w:val="0"/>
          <w:marRight w:val="0"/>
          <w:marTop w:val="60"/>
          <w:marBottom w:val="0"/>
          <w:divBdr>
            <w:top w:val="none" w:sz="0" w:space="0" w:color="auto"/>
            <w:left w:val="none" w:sz="0" w:space="0" w:color="auto"/>
            <w:bottom w:val="none" w:sz="0" w:space="0" w:color="auto"/>
            <w:right w:val="none" w:sz="0" w:space="0" w:color="auto"/>
          </w:divBdr>
          <w:divsChild>
            <w:div w:id="1025054118">
              <w:marLeft w:val="0"/>
              <w:marRight w:val="0"/>
              <w:marTop w:val="0"/>
              <w:marBottom w:val="0"/>
              <w:divBdr>
                <w:top w:val="none" w:sz="0" w:space="0" w:color="auto"/>
                <w:left w:val="none" w:sz="0" w:space="0" w:color="auto"/>
                <w:bottom w:val="none" w:sz="0" w:space="0" w:color="auto"/>
                <w:right w:val="none" w:sz="0" w:space="0" w:color="auto"/>
              </w:divBdr>
              <w:divsChild>
                <w:div w:id="302272356">
                  <w:marLeft w:val="0"/>
                  <w:marRight w:val="0"/>
                  <w:marTop w:val="0"/>
                  <w:marBottom w:val="0"/>
                  <w:divBdr>
                    <w:top w:val="none" w:sz="0" w:space="0" w:color="auto"/>
                    <w:left w:val="none" w:sz="0" w:space="0" w:color="auto"/>
                    <w:bottom w:val="none" w:sz="0" w:space="0" w:color="auto"/>
                    <w:right w:val="none" w:sz="0" w:space="0" w:color="auto"/>
                  </w:divBdr>
                  <w:divsChild>
                    <w:div w:id="1199590809">
                      <w:marLeft w:val="0"/>
                      <w:marRight w:val="0"/>
                      <w:marTop w:val="0"/>
                      <w:marBottom w:val="0"/>
                      <w:divBdr>
                        <w:top w:val="none" w:sz="0" w:space="0" w:color="auto"/>
                        <w:left w:val="none" w:sz="0" w:space="0" w:color="auto"/>
                        <w:bottom w:val="none" w:sz="0" w:space="0" w:color="auto"/>
                        <w:right w:val="none" w:sz="0" w:space="0" w:color="auto"/>
                      </w:divBdr>
                      <w:divsChild>
                        <w:div w:id="11499088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424">
      <w:bodyDiv w:val="1"/>
      <w:marLeft w:val="0"/>
      <w:marRight w:val="0"/>
      <w:marTop w:val="0"/>
      <w:marBottom w:val="0"/>
      <w:divBdr>
        <w:top w:val="none" w:sz="0" w:space="0" w:color="auto"/>
        <w:left w:val="none" w:sz="0" w:space="0" w:color="auto"/>
        <w:bottom w:val="none" w:sz="0" w:space="0" w:color="auto"/>
        <w:right w:val="none" w:sz="0" w:space="0" w:color="auto"/>
      </w:divBdr>
    </w:div>
    <w:div w:id="393620642">
      <w:bodyDiv w:val="1"/>
      <w:marLeft w:val="0"/>
      <w:marRight w:val="0"/>
      <w:marTop w:val="0"/>
      <w:marBottom w:val="0"/>
      <w:divBdr>
        <w:top w:val="none" w:sz="0" w:space="0" w:color="auto"/>
        <w:left w:val="none" w:sz="0" w:space="0" w:color="auto"/>
        <w:bottom w:val="none" w:sz="0" w:space="0" w:color="auto"/>
        <w:right w:val="none" w:sz="0" w:space="0" w:color="auto"/>
      </w:divBdr>
      <w:divsChild>
        <w:div w:id="323506923">
          <w:marLeft w:val="0"/>
          <w:marRight w:val="0"/>
          <w:marTop w:val="0"/>
          <w:marBottom w:val="0"/>
          <w:divBdr>
            <w:top w:val="none" w:sz="0" w:space="0" w:color="auto"/>
            <w:left w:val="none" w:sz="0" w:space="0" w:color="auto"/>
            <w:bottom w:val="none" w:sz="0" w:space="0" w:color="auto"/>
            <w:right w:val="none" w:sz="0" w:space="0" w:color="auto"/>
          </w:divBdr>
          <w:divsChild>
            <w:div w:id="1511022062">
              <w:marLeft w:val="0"/>
              <w:marRight w:val="0"/>
              <w:marTop w:val="0"/>
              <w:marBottom w:val="0"/>
              <w:divBdr>
                <w:top w:val="none" w:sz="0" w:space="0" w:color="auto"/>
                <w:left w:val="none" w:sz="0" w:space="0" w:color="auto"/>
                <w:bottom w:val="none" w:sz="0" w:space="0" w:color="auto"/>
                <w:right w:val="none" w:sz="0" w:space="0" w:color="auto"/>
              </w:divBdr>
              <w:divsChild>
                <w:div w:id="3353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5814">
      <w:bodyDiv w:val="1"/>
      <w:marLeft w:val="0"/>
      <w:marRight w:val="0"/>
      <w:marTop w:val="0"/>
      <w:marBottom w:val="0"/>
      <w:divBdr>
        <w:top w:val="none" w:sz="0" w:space="0" w:color="auto"/>
        <w:left w:val="none" w:sz="0" w:space="0" w:color="auto"/>
        <w:bottom w:val="none" w:sz="0" w:space="0" w:color="auto"/>
        <w:right w:val="none" w:sz="0" w:space="0" w:color="auto"/>
      </w:divBdr>
      <w:divsChild>
        <w:div w:id="637565194">
          <w:marLeft w:val="0"/>
          <w:marRight w:val="0"/>
          <w:marTop w:val="0"/>
          <w:marBottom w:val="0"/>
          <w:divBdr>
            <w:top w:val="none" w:sz="0" w:space="0" w:color="auto"/>
            <w:left w:val="none" w:sz="0" w:space="0" w:color="auto"/>
            <w:bottom w:val="none" w:sz="0" w:space="0" w:color="auto"/>
            <w:right w:val="none" w:sz="0" w:space="0" w:color="auto"/>
          </w:divBdr>
          <w:divsChild>
            <w:div w:id="2074115670">
              <w:marLeft w:val="0"/>
              <w:marRight w:val="0"/>
              <w:marTop w:val="0"/>
              <w:marBottom w:val="0"/>
              <w:divBdr>
                <w:top w:val="none" w:sz="0" w:space="0" w:color="auto"/>
                <w:left w:val="none" w:sz="0" w:space="0" w:color="auto"/>
                <w:bottom w:val="none" w:sz="0" w:space="0" w:color="auto"/>
                <w:right w:val="none" w:sz="0" w:space="0" w:color="auto"/>
              </w:divBdr>
              <w:divsChild>
                <w:div w:id="1173842427">
                  <w:marLeft w:val="0"/>
                  <w:marRight w:val="0"/>
                  <w:marTop w:val="0"/>
                  <w:marBottom w:val="0"/>
                  <w:divBdr>
                    <w:top w:val="none" w:sz="0" w:space="0" w:color="auto"/>
                    <w:left w:val="none" w:sz="0" w:space="0" w:color="auto"/>
                    <w:bottom w:val="none" w:sz="0" w:space="0" w:color="auto"/>
                    <w:right w:val="none" w:sz="0" w:space="0" w:color="auto"/>
                  </w:divBdr>
                </w:div>
              </w:divsChild>
            </w:div>
            <w:div w:id="1630016457">
              <w:marLeft w:val="0"/>
              <w:marRight w:val="0"/>
              <w:marTop w:val="0"/>
              <w:marBottom w:val="0"/>
              <w:divBdr>
                <w:top w:val="none" w:sz="0" w:space="0" w:color="auto"/>
                <w:left w:val="none" w:sz="0" w:space="0" w:color="auto"/>
                <w:bottom w:val="none" w:sz="0" w:space="0" w:color="auto"/>
                <w:right w:val="none" w:sz="0" w:space="0" w:color="auto"/>
              </w:divBdr>
            </w:div>
            <w:div w:id="542060190">
              <w:marLeft w:val="0"/>
              <w:marRight w:val="0"/>
              <w:marTop w:val="0"/>
              <w:marBottom w:val="0"/>
              <w:divBdr>
                <w:top w:val="none" w:sz="0" w:space="0" w:color="auto"/>
                <w:left w:val="none" w:sz="0" w:space="0" w:color="auto"/>
                <w:bottom w:val="none" w:sz="0" w:space="0" w:color="auto"/>
                <w:right w:val="none" w:sz="0" w:space="0" w:color="auto"/>
              </w:divBdr>
            </w:div>
            <w:div w:id="1804957853">
              <w:marLeft w:val="0"/>
              <w:marRight w:val="0"/>
              <w:marTop w:val="0"/>
              <w:marBottom w:val="0"/>
              <w:divBdr>
                <w:top w:val="none" w:sz="0" w:space="0" w:color="auto"/>
                <w:left w:val="none" w:sz="0" w:space="0" w:color="auto"/>
                <w:bottom w:val="none" w:sz="0" w:space="0" w:color="auto"/>
                <w:right w:val="none" w:sz="0" w:space="0" w:color="auto"/>
              </w:divBdr>
            </w:div>
            <w:div w:id="1383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0050">
      <w:bodyDiv w:val="1"/>
      <w:marLeft w:val="0"/>
      <w:marRight w:val="0"/>
      <w:marTop w:val="0"/>
      <w:marBottom w:val="0"/>
      <w:divBdr>
        <w:top w:val="none" w:sz="0" w:space="0" w:color="auto"/>
        <w:left w:val="none" w:sz="0" w:space="0" w:color="auto"/>
        <w:bottom w:val="none" w:sz="0" w:space="0" w:color="auto"/>
        <w:right w:val="none" w:sz="0" w:space="0" w:color="auto"/>
      </w:divBdr>
    </w:div>
    <w:div w:id="449010602">
      <w:bodyDiv w:val="1"/>
      <w:marLeft w:val="0"/>
      <w:marRight w:val="0"/>
      <w:marTop w:val="0"/>
      <w:marBottom w:val="0"/>
      <w:divBdr>
        <w:top w:val="none" w:sz="0" w:space="0" w:color="auto"/>
        <w:left w:val="none" w:sz="0" w:space="0" w:color="auto"/>
        <w:bottom w:val="none" w:sz="0" w:space="0" w:color="auto"/>
        <w:right w:val="none" w:sz="0" w:space="0" w:color="auto"/>
      </w:divBdr>
      <w:divsChild>
        <w:div w:id="705373791">
          <w:marLeft w:val="0"/>
          <w:marRight w:val="0"/>
          <w:marTop w:val="0"/>
          <w:marBottom w:val="0"/>
          <w:divBdr>
            <w:top w:val="none" w:sz="0" w:space="0" w:color="auto"/>
            <w:left w:val="none" w:sz="0" w:space="0" w:color="auto"/>
            <w:bottom w:val="none" w:sz="0" w:space="0" w:color="auto"/>
            <w:right w:val="none" w:sz="0" w:space="0" w:color="auto"/>
          </w:divBdr>
        </w:div>
        <w:div w:id="204372881">
          <w:marLeft w:val="0"/>
          <w:marRight w:val="0"/>
          <w:marTop w:val="0"/>
          <w:marBottom w:val="0"/>
          <w:divBdr>
            <w:top w:val="none" w:sz="0" w:space="0" w:color="auto"/>
            <w:left w:val="none" w:sz="0" w:space="0" w:color="auto"/>
            <w:bottom w:val="none" w:sz="0" w:space="0" w:color="auto"/>
            <w:right w:val="none" w:sz="0" w:space="0" w:color="auto"/>
          </w:divBdr>
        </w:div>
      </w:divsChild>
    </w:div>
    <w:div w:id="450053641">
      <w:bodyDiv w:val="1"/>
      <w:marLeft w:val="0"/>
      <w:marRight w:val="0"/>
      <w:marTop w:val="0"/>
      <w:marBottom w:val="0"/>
      <w:divBdr>
        <w:top w:val="none" w:sz="0" w:space="0" w:color="auto"/>
        <w:left w:val="none" w:sz="0" w:space="0" w:color="auto"/>
        <w:bottom w:val="none" w:sz="0" w:space="0" w:color="auto"/>
        <w:right w:val="none" w:sz="0" w:space="0" w:color="auto"/>
      </w:divBdr>
      <w:divsChild>
        <w:div w:id="2121408591">
          <w:marLeft w:val="0"/>
          <w:marRight w:val="0"/>
          <w:marTop w:val="0"/>
          <w:marBottom w:val="0"/>
          <w:divBdr>
            <w:top w:val="none" w:sz="0" w:space="0" w:color="auto"/>
            <w:left w:val="none" w:sz="0" w:space="0" w:color="auto"/>
            <w:bottom w:val="none" w:sz="0" w:space="0" w:color="auto"/>
            <w:right w:val="none" w:sz="0" w:space="0" w:color="auto"/>
          </w:divBdr>
        </w:div>
        <w:div w:id="271936874">
          <w:marLeft w:val="0"/>
          <w:marRight w:val="0"/>
          <w:marTop w:val="0"/>
          <w:marBottom w:val="0"/>
          <w:divBdr>
            <w:top w:val="none" w:sz="0" w:space="0" w:color="auto"/>
            <w:left w:val="none" w:sz="0" w:space="0" w:color="auto"/>
            <w:bottom w:val="none" w:sz="0" w:space="0" w:color="auto"/>
            <w:right w:val="none" w:sz="0" w:space="0" w:color="auto"/>
          </w:divBdr>
        </w:div>
      </w:divsChild>
    </w:div>
    <w:div w:id="475991183">
      <w:bodyDiv w:val="1"/>
      <w:marLeft w:val="0"/>
      <w:marRight w:val="0"/>
      <w:marTop w:val="0"/>
      <w:marBottom w:val="0"/>
      <w:divBdr>
        <w:top w:val="none" w:sz="0" w:space="0" w:color="auto"/>
        <w:left w:val="none" w:sz="0" w:space="0" w:color="auto"/>
        <w:bottom w:val="none" w:sz="0" w:space="0" w:color="auto"/>
        <w:right w:val="none" w:sz="0" w:space="0" w:color="auto"/>
      </w:divBdr>
    </w:div>
    <w:div w:id="498889387">
      <w:bodyDiv w:val="1"/>
      <w:marLeft w:val="0"/>
      <w:marRight w:val="0"/>
      <w:marTop w:val="0"/>
      <w:marBottom w:val="0"/>
      <w:divBdr>
        <w:top w:val="none" w:sz="0" w:space="0" w:color="auto"/>
        <w:left w:val="none" w:sz="0" w:space="0" w:color="auto"/>
        <w:bottom w:val="none" w:sz="0" w:space="0" w:color="auto"/>
        <w:right w:val="none" w:sz="0" w:space="0" w:color="auto"/>
      </w:divBdr>
      <w:divsChild>
        <w:div w:id="332494156">
          <w:marLeft w:val="0"/>
          <w:marRight w:val="0"/>
          <w:marTop w:val="0"/>
          <w:marBottom w:val="0"/>
          <w:divBdr>
            <w:top w:val="none" w:sz="0" w:space="0" w:color="auto"/>
            <w:left w:val="none" w:sz="0" w:space="0" w:color="auto"/>
            <w:bottom w:val="none" w:sz="0" w:space="0" w:color="auto"/>
            <w:right w:val="none" w:sz="0" w:space="0" w:color="auto"/>
          </w:divBdr>
        </w:div>
      </w:divsChild>
    </w:div>
    <w:div w:id="504440200">
      <w:bodyDiv w:val="1"/>
      <w:marLeft w:val="0"/>
      <w:marRight w:val="0"/>
      <w:marTop w:val="0"/>
      <w:marBottom w:val="0"/>
      <w:divBdr>
        <w:top w:val="none" w:sz="0" w:space="0" w:color="auto"/>
        <w:left w:val="none" w:sz="0" w:space="0" w:color="auto"/>
        <w:bottom w:val="none" w:sz="0" w:space="0" w:color="auto"/>
        <w:right w:val="none" w:sz="0" w:space="0" w:color="auto"/>
      </w:divBdr>
      <w:divsChild>
        <w:div w:id="1194345588">
          <w:marLeft w:val="0"/>
          <w:marRight w:val="0"/>
          <w:marTop w:val="0"/>
          <w:marBottom w:val="0"/>
          <w:divBdr>
            <w:top w:val="none" w:sz="0" w:space="0" w:color="auto"/>
            <w:left w:val="none" w:sz="0" w:space="0" w:color="auto"/>
            <w:bottom w:val="none" w:sz="0" w:space="0" w:color="auto"/>
            <w:right w:val="none" w:sz="0" w:space="0" w:color="auto"/>
          </w:divBdr>
        </w:div>
        <w:div w:id="853500939">
          <w:marLeft w:val="0"/>
          <w:marRight w:val="0"/>
          <w:marTop w:val="0"/>
          <w:marBottom w:val="0"/>
          <w:divBdr>
            <w:top w:val="none" w:sz="0" w:space="0" w:color="auto"/>
            <w:left w:val="none" w:sz="0" w:space="0" w:color="auto"/>
            <w:bottom w:val="none" w:sz="0" w:space="0" w:color="auto"/>
            <w:right w:val="none" w:sz="0" w:space="0" w:color="auto"/>
          </w:divBdr>
        </w:div>
        <w:div w:id="656375225">
          <w:marLeft w:val="0"/>
          <w:marRight w:val="0"/>
          <w:marTop w:val="0"/>
          <w:marBottom w:val="0"/>
          <w:divBdr>
            <w:top w:val="none" w:sz="0" w:space="0" w:color="auto"/>
            <w:left w:val="none" w:sz="0" w:space="0" w:color="auto"/>
            <w:bottom w:val="none" w:sz="0" w:space="0" w:color="auto"/>
            <w:right w:val="none" w:sz="0" w:space="0" w:color="auto"/>
          </w:divBdr>
        </w:div>
        <w:div w:id="1496991499">
          <w:marLeft w:val="0"/>
          <w:marRight w:val="0"/>
          <w:marTop w:val="0"/>
          <w:marBottom w:val="0"/>
          <w:divBdr>
            <w:top w:val="none" w:sz="0" w:space="0" w:color="auto"/>
            <w:left w:val="none" w:sz="0" w:space="0" w:color="auto"/>
            <w:bottom w:val="none" w:sz="0" w:space="0" w:color="auto"/>
            <w:right w:val="none" w:sz="0" w:space="0" w:color="auto"/>
          </w:divBdr>
        </w:div>
        <w:div w:id="2127694109">
          <w:marLeft w:val="0"/>
          <w:marRight w:val="0"/>
          <w:marTop w:val="0"/>
          <w:marBottom w:val="0"/>
          <w:divBdr>
            <w:top w:val="none" w:sz="0" w:space="0" w:color="auto"/>
            <w:left w:val="none" w:sz="0" w:space="0" w:color="auto"/>
            <w:bottom w:val="none" w:sz="0" w:space="0" w:color="auto"/>
            <w:right w:val="none" w:sz="0" w:space="0" w:color="auto"/>
          </w:divBdr>
        </w:div>
      </w:divsChild>
    </w:div>
    <w:div w:id="516042440">
      <w:bodyDiv w:val="1"/>
      <w:marLeft w:val="0"/>
      <w:marRight w:val="0"/>
      <w:marTop w:val="0"/>
      <w:marBottom w:val="0"/>
      <w:divBdr>
        <w:top w:val="none" w:sz="0" w:space="0" w:color="auto"/>
        <w:left w:val="none" w:sz="0" w:space="0" w:color="auto"/>
        <w:bottom w:val="none" w:sz="0" w:space="0" w:color="auto"/>
        <w:right w:val="none" w:sz="0" w:space="0" w:color="auto"/>
      </w:divBdr>
      <w:divsChild>
        <w:div w:id="181667776">
          <w:marLeft w:val="0"/>
          <w:marRight w:val="0"/>
          <w:marTop w:val="0"/>
          <w:marBottom w:val="0"/>
          <w:divBdr>
            <w:top w:val="none" w:sz="0" w:space="0" w:color="auto"/>
            <w:left w:val="none" w:sz="0" w:space="0" w:color="auto"/>
            <w:bottom w:val="none" w:sz="0" w:space="0" w:color="auto"/>
            <w:right w:val="none" w:sz="0" w:space="0" w:color="auto"/>
          </w:divBdr>
        </w:div>
        <w:div w:id="1781222540">
          <w:marLeft w:val="0"/>
          <w:marRight w:val="0"/>
          <w:marTop w:val="0"/>
          <w:marBottom w:val="0"/>
          <w:divBdr>
            <w:top w:val="none" w:sz="0" w:space="0" w:color="auto"/>
            <w:left w:val="none" w:sz="0" w:space="0" w:color="auto"/>
            <w:bottom w:val="none" w:sz="0" w:space="0" w:color="auto"/>
            <w:right w:val="none" w:sz="0" w:space="0" w:color="auto"/>
          </w:divBdr>
        </w:div>
        <w:div w:id="946809500">
          <w:marLeft w:val="0"/>
          <w:marRight w:val="0"/>
          <w:marTop w:val="0"/>
          <w:marBottom w:val="0"/>
          <w:divBdr>
            <w:top w:val="none" w:sz="0" w:space="0" w:color="auto"/>
            <w:left w:val="none" w:sz="0" w:space="0" w:color="auto"/>
            <w:bottom w:val="none" w:sz="0" w:space="0" w:color="auto"/>
            <w:right w:val="none" w:sz="0" w:space="0" w:color="auto"/>
          </w:divBdr>
        </w:div>
        <w:div w:id="952056760">
          <w:marLeft w:val="0"/>
          <w:marRight w:val="0"/>
          <w:marTop w:val="0"/>
          <w:marBottom w:val="0"/>
          <w:divBdr>
            <w:top w:val="none" w:sz="0" w:space="0" w:color="auto"/>
            <w:left w:val="none" w:sz="0" w:space="0" w:color="auto"/>
            <w:bottom w:val="none" w:sz="0" w:space="0" w:color="auto"/>
            <w:right w:val="none" w:sz="0" w:space="0" w:color="auto"/>
          </w:divBdr>
        </w:div>
      </w:divsChild>
    </w:div>
    <w:div w:id="521167189">
      <w:bodyDiv w:val="1"/>
      <w:marLeft w:val="0"/>
      <w:marRight w:val="0"/>
      <w:marTop w:val="0"/>
      <w:marBottom w:val="0"/>
      <w:divBdr>
        <w:top w:val="none" w:sz="0" w:space="0" w:color="auto"/>
        <w:left w:val="none" w:sz="0" w:space="0" w:color="auto"/>
        <w:bottom w:val="none" w:sz="0" w:space="0" w:color="auto"/>
        <w:right w:val="none" w:sz="0" w:space="0" w:color="auto"/>
      </w:divBdr>
      <w:divsChild>
        <w:div w:id="1879200536">
          <w:marLeft w:val="0"/>
          <w:marRight w:val="0"/>
          <w:marTop w:val="0"/>
          <w:marBottom w:val="0"/>
          <w:divBdr>
            <w:top w:val="none" w:sz="0" w:space="0" w:color="auto"/>
            <w:left w:val="none" w:sz="0" w:space="0" w:color="auto"/>
            <w:bottom w:val="none" w:sz="0" w:space="0" w:color="auto"/>
            <w:right w:val="none" w:sz="0" w:space="0" w:color="auto"/>
          </w:divBdr>
        </w:div>
      </w:divsChild>
    </w:div>
    <w:div w:id="521817420">
      <w:bodyDiv w:val="1"/>
      <w:marLeft w:val="0"/>
      <w:marRight w:val="0"/>
      <w:marTop w:val="0"/>
      <w:marBottom w:val="0"/>
      <w:divBdr>
        <w:top w:val="none" w:sz="0" w:space="0" w:color="auto"/>
        <w:left w:val="none" w:sz="0" w:space="0" w:color="auto"/>
        <w:bottom w:val="none" w:sz="0" w:space="0" w:color="auto"/>
        <w:right w:val="none" w:sz="0" w:space="0" w:color="auto"/>
      </w:divBdr>
      <w:divsChild>
        <w:div w:id="869027453">
          <w:marLeft w:val="0"/>
          <w:marRight w:val="0"/>
          <w:marTop w:val="0"/>
          <w:marBottom w:val="0"/>
          <w:divBdr>
            <w:top w:val="none" w:sz="0" w:space="0" w:color="auto"/>
            <w:left w:val="none" w:sz="0" w:space="0" w:color="auto"/>
            <w:bottom w:val="none" w:sz="0" w:space="0" w:color="auto"/>
            <w:right w:val="none" w:sz="0" w:space="0" w:color="auto"/>
          </w:divBdr>
        </w:div>
      </w:divsChild>
    </w:div>
    <w:div w:id="561402833">
      <w:bodyDiv w:val="1"/>
      <w:marLeft w:val="0"/>
      <w:marRight w:val="0"/>
      <w:marTop w:val="0"/>
      <w:marBottom w:val="0"/>
      <w:divBdr>
        <w:top w:val="none" w:sz="0" w:space="0" w:color="auto"/>
        <w:left w:val="none" w:sz="0" w:space="0" w:color="auto"/>
        <w:bottom w:val="none" w:sz="0" w:space="0" w:color="auto"/>
        <w:right w:val="none" w:sz="0" w:space="0" w:color="auto"/>
      </w:divBdr>
    </w:div>
    <w:div w:id="567884562">
      <w:bodyDiv w:val="1"/>
      <w:marLeft w:val="0"/>
      <w:marRight w:val="0"/>
      <w:marTop w:val="0"/>
      <w:marBottom w:val="0"/>
      <w:divBdr>
        <w:top w:val="none" w:sz="0" w:space="0" w:color="auto"/>
        <w:left w:val="none" w:sz="0" w:space="0" w:color="auto"/>
        <w:bottom w:val="none" w:sz="0" w:space="0" w:color="auto"/>
        <w:right w:val="none" w:sz="0" w:space="0" w:color="auto"/>
      </w:divBdr>
    </w:div>
    <w:div w:id="573786235">
      <w:bodyDiv w:val="1"/>
      <w:marLeft w:val="0"/>
      <w:marRight w:val="0"/>
      <w:marTop w:val="0"/>
      <w:marBottom w:val="0"/>
      <w:divBdr>
        <w:top w:val="none" w:sz="0" w:space="0" w:color="auto"/>
        <w:left w:val="none" w:sz="0" w:space="0" w:color="auto"/>
        <w:bottom w:val="none" w:sz="0" w:space="0" w:color="auto"/>
        <w:right w:val="none" w:sz="0" w:space="0" w:color="auto"/>
      </w:divBdr>
      <w:divsChild>
        <w:div w:id="2052269256">
          <w:marLeft w:val="0"/>
          <w:marRight w:val="0"/>
          <w:marTop w:val="0"/>
          <w:marBottom w:val="0"/>
          <w:divBdr>
            <w:top w:val="none" w:sz="0" w:space="0" w:color="auto"/>
            <w:left w:val="none" w:sz="0" w:space="0" w:color="auto"/>
            <w:bottom w:val="none" w:sz="0" w:space="0" w:color="auto"/>
            <w:right w:val="none" w:sz="0" w:space="0" w:color="auto"/>
          </w:divBdr>
        </w:div>
      </w:divsChild>
    </w:div>
    <w:div w:id="576210464">
      <w:bodyDiv w:val="1"/>
      <w:marLeft w:val="0"/>
      <w:marRight w:val="0"/>
      <w:marTop w:val="0"/>
      <w:marBottom w:val="0"/>
      <w:divBdr>
        <w:top w:val="none" w:sz="0" w:space="0" w:color="auto"/>
        <w:left w:val="none" w:sz="0" w:space="0" w:color="auto"/>
        <w:bottom w:val="none" w:sz="0" w:space="0" w:color="auto"/>
        <w:right w:val="none" w:sz="0" w:space="0" w:color="auto"/>
      </w:divBdr>
    </w:div>
    <w:div w:id="588390381">
      <w:bodyDiv w:val="1"/>
      <w:marLeft w:val="0"/>
      <w:marRight w:val="0"/>
      <w:marTop w:val="0"/>
      <w:marBottom w:val="0"/>
      <w:divBdr>
        <w:top w:val="none" w:sz="0" w:space="0" w:color="auto"/>
        <w:left w:val="none" w:sz="0" w:space="0" w:color="auto"/>
        <w:bottom w:val="none" w:sz="0" w:space="0" w:color="auto"/>
        <w:right w:val="none" w:sz="0" w:space="0" w:color="auto"/>
      </w:divBdr>
      <w:divsChild>
        <w:div w:id="173616889">
          <w:marLeft w:val="0"/>
          <w:marRight w:val="0"/>
          <w:marTop w:val="0"/>
          <w:marBottom w:val="0"/>
          <w:divBdr>
            <w:top w:val="none" w:sz="0" w:space="0" w:color="auto"/>
            <w:left w:val="none" w:sz="0" w:space="0" w:color="auto"/>
            <w:bottom w:val="none" w:sz="0" w:space="0" w:color="auto"/>
            <w:right w:val="none" w:sz="0" w:space="0" w:color="auto"/>
          </w:divBdr>
          <w:divsChild>
            <w:div w:id="1767264049">
              <w:marLeft w:val="0"/>
              <w:marRight w:val="0"/>
              <w:marTop w:val="0"/>
              <w:marBottom w:val="0"/>
              <w:divBdr>
                <w:top w:val="none" w:sz="0" w:space="0" w:color="auto"/>
                <w:left w:val="none" w:sz="0" w:space="0" w:color="auto"/>
                <w:bottom w:val="none" w:sz="0" w:space="0" w:color="auto"/>
                <w:right w:val="none" w:sz="0" w:space="0" w:color="auto"/>
              </w:divBdr>
              <w:divsChild>
                <w:div w:id="470053085">
                  <w:marLeft w:val="0"/>
                  <w:marRight w:val="0"/>
                  <w:marTop w:val="0"/>
                  <w:marBottom w:val="0"/>
                  <w:divBdr>
                    <w:top w:val="none" w:sz="0" w:space="0" w:color="auto"/>
                    <w:left w:val="none" w:sz="0" w:space="0" w:color="auto"/>
                    <w:bottom w:val="none" w:sz="0" w:space="0" w:color="auto"/>
                    <w:right w:val="none" w:sz="0" w:space="0" w:color="auto"/>
                  </w:divBdr>
                </w:div>
              </w:divsChild>
            </w:div>
            <w:div w:id="804545048">
              <w:marLeft w:val="0"/>
              <w:marRight w:val="0"/>
              <w:marTop w:val="0"/>
              <w:marBottom w:val="0"/>
              <w:divBdr>
                <w:top w:val="none" w:sz="0" w:space="0" w:color="auto"/>
                <w:left w:val="none" w:sz="0" w:space="0" w:color="auto"/>
                <w:bottom w:val="none" w:sz="0" w:space="0" w:color="auto"/>
                <w:right w:val="none" w:sz="0" w:space="0" w:color="auto"/>
              </w:divBdr>
            </w:div>
            <w:div w:id="1768841065">
              <w:marLeft w:val="0"/>
              <w:marRight w:val="0"/>
              <w:marTop w:val="0"/>
              <w:marBottom w:val="0"/>
              <w:divBdr>
                <w:top w:val="none" w:sz="0" w:space="0" w:color="auto"/>
                <w:left w:val="none" w:sz="0" w:space="0" w:color="auto"/>
                <w:bottom w:val="none" w:sz="0" w:space="0" w:color="auto"/>
                <w:right w:val="none" w:sz="0" w:space="0" w:color="auto"/>
              </w:divBdr>
            </w:div>
            <w:div w:id="1591966835">
              <w:marLeft w:val="0"/>
              <w:marRight w:val="0"/>
              <w:marTop w:val="0"/>
              <w:marBottom w:val="0"/>
              <w:divBdr>
                <w:top w:val="none" w:sz="0" w:space="0" w:color="auto"/>
                <w:left w:val="none" w:sz="0" w:space="0" w:color="auto"/>
                <w:bottom w:val="none" w:sz="0" w:space="0" w:color="auto"/>
                <w:right w:val="none" w:sz="0" w:space="0" w:color="auto"/>
              </w:divBdr>
            </w:div>
            <w:div w:id="55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937">
      <w:bodyDiv w:val="1"/>
      <w:marLeft w:val="0"/>
      <w:marRight w:val="0"/>
      <w:marTop w:val="0"/>
      <w:marBottom w:val="0"/>
      <w:divBdr>
        <w:top w:val="none" w:sz="0" w:space="0" w:color="auto"/>
        <w:left w:val="none" w:sz="0" w:space="0" w:color="auto"/>
        <w:bottom w:val="none" w:sz="0" w:space="0" w:color="auto"/>
        <w:right w:val="none" w:sz="0" w:space="0" w:color="auto"/>
      </w:divBdr>
    </w:div>
    <w:div w:id="610942725">
      <w:bodyDiv w:val="1"/>
      <w:marLeft w:val="0"/>
      <w:marRight w:val="0"/>
      <w:marTop w:val="0"/>
      <w:marBottom w:val="0"/>
      <w:divBdr>
        <w:top w:val="none" w:sz="0" w:space="0" w:color="auto"/>
        <w:left w:val="none" w:sz="0" w:space="0" w:color="auto"/>
        <w:bottom w:val="none" w:sz="0" w:space="0" w:color="auto"/>
        <w:right w:val="none" w:sz="0" w:space="0" w:color="auto"/>
      </w:divBdr>
      <w:divsChild>
        <w:div w:id="270164309">
          <w:marLeft w:val="0"/>
          <w:marRight w:val="0"/>
          <w:marTop w:val="0"/>
          <w:marBottom w:val="0"/>
          <w:divBdr>
            <w:top w:val="none" w:sz="0" w:space="0" w:color="auto"/>
            <w:left w:val="none" w:sz="0" w:space="0" w:color="auto"/>
            <w:bottom w:val="none" w:sz="0" w:space="0" w:color="auto"/>
            <w:right w:val="none" w:sz="0" w:space="0" w:color="auto"/>
          </w:divBdr>
        </w:div>
        <w:div w:id="775176152">
          <w:marLeft w:val="0"/>
          <w:marRight w:val="0"/>
          <w:marTop w:val="0"/>
          <w:marBottom w:val="0"/>
          <w:divBdr>
            <w:top w:val="none" w:sz="0" w:space="0" w:color="auto"/>
            <w:left w:val="none" w:sz="0" w:space="0" w:color="auto"/>
            <w:bottom w:val="none" w:sz="0" w:space="0" w:color="auto"/>
            <w:right w:val="none" w:sz="0" w:space="0" w:color="auto"/>
          </w:divBdr>
        </w:div>
        <w:div w:id="1458453111">
          <w:marLeft w:val="0"/>
          <w:marRight w:val="0"/>
          <w:marTop w:val="0"/>
          <w:marBottom w:val="0"/>
          <w:divBdr>
            <w:top w:val="none" w:sz="0" w:space="0" w:color="auto"/>
            <w:left w:val="none" w:sz="0" w:space="0" w:color="auto"/>
            <w:bottom w:val="none" w:sz="0" w:space="0" w:color="auto"/>
            <w:right w:val="none" w:sz="0" w:space="0" w:color="auto"/>
          </w:divBdr>
        </w:div>
        <w:div w:id="1508983196">
          <w:marLeft w:val="0"/>
          <w:marRight w:val="0"/>
          <w:marTop w:val="0"/>
          <w:marBottom w:val="0"/>
          <w:divBdr>
            <w:top w:val="none" w:sz="0" w:space="0" w:color="auto"/>
            <w:left w:val="none" w:sz="0" w:space="0" w:color="auto"/>
            <w:bottom w:val="none" w:sz="0" w:space="0" w:color="auto"/>
            <w:right w:val="none" w:sz="0" w:space="0" w:color="auto"/>
          </w:divBdr>
        </w:div>
      </w:divsChild>
    </w:div>
    <w:div w:id="6121282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90">
          <w:marLeft w:val="0"/>
          <w:marRight w:val="0"/>
          <w:marTop w:val="0"/>
          <w:marBottom w:val="0"/>
          <w:divBdr>
            <w:top w:val="none" w:sz="0" w:space="0" w:color="auto"/>
            <w:left w:val="none" w:sz="0" w:space="0" w:color="auto"/>
            <w:bottom w:val="none" w:sz="0" w:space="0" w:color="auto"/>
            <w:right w:val="none" w:sz="0" w:space="0" w:color="auto"/>
          </w:divBdr>
        </w:div>
        <w:div w:id="1323269272">
          <w:marLeft w:val="0"/>
          <w:marRight w:val="0"/>
          <w:marTop w:val="0"/>
          <w:marBottom w:val="0"/>
          <w:divBdr>
            <w:top w:val="none" w:sz="0" w:space="0" w:color="auto"/>
            <w:left w:val="none" w:sz="0" w:space="0" w:color="auto"/>
            <w:bottom w:val="none" w:sz="0" w:space="0" w:color="auto"/>
            <w:right w:val="none" w:sz="0" w:space="0" w:color="auto"/>
          </w:divBdr>
        </w:div>
        <w:div w:id="137847267">
          <w:marLeft w:val="0"/>
          <w:marRight w:val="0"/>
          <w:marTop w:val="0"/>
          <w:marBottom w:val="0"/>
          <w:divBdr>
            <w:top w:val="none" w:sz="0" w:space="0" w:color="auto"/>
            <w:left w:val="none" w:sz="0" w:space="0" w:color="auto"/>
            <w:bottom w:val="none" w:sz="0" w:space="0" w:color="auto"/>
            <w:right w:val="none" w:sz="0" w:space="0" w:color="auto"/>
          </w:divBdr>
        </w:div>
        <w:div w:id="1680422739">
          <w:marLeft w:val="0"/>
          <w:marRight w:val="0"/>
          <w:marTop w:val="0"/>
          <w:marBottom w:val="0"/>
          <w:divBdr>
            <w:top w:val="none" w:sz="0" w:space="0" w:color="auto"/>
            <w:left w:val="none" w:sz="0" w:space="0" w:color="auto"/>
            <w:bottom w:val="none" w:sz="0" w:space="0" w:color="auto"/>
            <w:right w:val="none" w:sz="0" w:space="0" w:color="auto"/>
          </w:divBdr>
        </w:div>
        <w:div w:id="208809181">
          <w:marLeft w:val="0"/>
          <w:marRight w:val="0"/>
          <w:marTop w:val="0"/>
          <w:marBottom w:val="0"/>
          <w:divBdr>
            <w:top w:val="none" w:sz="0" w:space="0" w:color="auto"/>
            <w:left w:val="none" w:sz="0" w:space="0" w:color="auto"/>
            <w:bottom w:val="none" w:sz="0" w:space="0" w:color="auto"/>
            <w:right w:val="none" w:sz="0" w:space="0" w:color="auto"/>
          </w:divBdr>
          <w:divsChild>
            <w:div w:id="22557005">
              <w:marLeft w:val="0"/>
              <w:marRight w:val="0"/>
              <w:marTop w:val="0"/>
              <w:marBottom w:val="0"/>
              <w:divBdr>
                <w:top w:val="none" w:sz="0" w:space="0" w:color="auto"/>
                <w:left w:val="none" w:sz="0" w:space="0" w:color="auto"/>
                <w:bottom w:val="none" w:sz="0" w:space="0" w:color="auto"/>
                <w:right w:val="none" w:sz="0" w:space="0" w:color="auto"/>
              </w:divBdr>
            </w:div>
            <w:div w:id="1725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75">
      <w:bodyDiv w:val="1"/>
      <w:marLeft w:val="0"/>
      <w:marRight w:val="0"/>
      <w:marTop w:val="0"/>
      <w:marBottom w:val="0"/>
      <w:divBdr>
        <w:top w:val="none" w:sz="0" w:space="0" w:color="auto"/>
        <w:left w:val="none" w:sz="0" w:space="0" w:color="auto"/>
        <w:bottom w:val="none" w:sz="0" w:space="0" w:color="auto"/>
        <w:right w:val="none" w:sz="0" w:space="0" w:color="auto"/>
      </w:divBdr>
    </w:div>
    <w:div w:id="617684135">
      <w:bodyDiv w:val="1"/>
      <w:marLeft w:val="0"/>
      <w:marRight w:val="0"/>
      <w:marTop w:val="0"/>
      <w:marBottom w:val="0"/>
      <w:divBdr>
        <w:top w:val="none" w:sz="0" w:space="0" w:color="auto"/>
        <w:left w:val="none" w:sz="0" w:space="0" w:color="auto"/>
        <w:bottom w:val="none" w:sz="0" w:space="0" w:color="auto"/>
        <w:right w:val="none" w:sz="0" w:space="0" w:color="auto"/>
      </w:divBdr>
      <w:divsChild>
        <w:div w:id="352345454">
          <w:marLeft w:val="0"/>
          <w:marRight w:val="0"/>
          <w:marTop w:val="0"/>
          <w:marBottom w:val="0"/>
          <w:divBdr>
            <w:top w:val="none" w:sz="0" w:space="0" w:color="auto"/>
            <w:left w:val="none" w:sz="0" w:space="0" w:color="auto"/>
            <w:bottom w:val="none" w:sz="0" w:space="0" w:color="auto"/>
            <w:right w:val="none" w:sz="0" w:space="0" w:color="auto"/>
          </w:divBdr>
        </w:div>
        <w:div w:id="1630696724">
          <w:marLeft w:val="0"/>
          <w:marRight w:val="0"/>
          <w:marTop w:val="0"/>
          <w:marBottom w:val="0"/>
          <w:divBdr>
            <w:top w:val="none" w:sz="0" w:space="0" w:color="auto"/>
            <w:left w:val="none" w:sz="0" w:space="0" w:color="auto"/>
            <w:bottom w:val="none" w:sz="0" w:space="0" w:color="auto"/>
            <w:right w:val="none" w:sz="0" w:space="0" w:color="auto"/>
          </w:divBdr>
        </w:div>
      </w:divsChild>
    </w:div>
    <w:div w:id="620890254">
      <w:bodyDiv w:val="1"/>
      <w:marLeft w:val="0"/>
      <w:marRight w:val="0"/>
      <w:marTop w:val="0"/>
      <w:marBottom w:val="0"/>
      <w:divBdr>
        <w:top w:val="none" w:sz="0" w:space="0" w:color="auto"/>
        <w:left w:val="none" w:sz="0" w:space="0" w:color="auto"/>
        <w:bottom w:val="none" w:sz="0" w:space="0" w:color="auto"/>
        <w:right w:val="none" w:sz="0" w:space="0" w:color="auto"/>
      </w:divBdr>
    </w:div>
    <w:div w:id="630207550">
      <w:bodyDiv w:val="1"/>
      <w:marLeft w:val="0"/>
      <w:marRight w:val="0"/>
      <w:marTop w:val="0"/>
      <w:marBottom w:val="0"/>
      <w:divBdr>
        <w:top w:val="none" w:sz="0" w:space="0" w:color="auto"/>
        <w:left w:val="none" w:sz="0" w:space="0" w:color="auto"/>
        <w:bottom w:val="none" w:sz="0" w:space="0" w:color="auto"/>
        <w:right w:val="none" w:sz="0" w:space="0" w:color="auto"/>
      </w:divBdr>
    </w:div>
    <w:div w:id="643196185">
      <w:bodyDiv w:val="1"/>
      <w:marLeft w:val="0"/>
      <w:marRight w:val="0"/>
      <w:marTop w:val="0"/>
      <w:marBottom w:val="0"/>
      <w:divBdr>
        <w:top w:val="none" w:sz="0" w:space="0" w:color="auto"/>
        <w:left w:val="none" w:sz="0" w:space="0" w:color="auto"/>
        <w:bottom w:val="none" w:sz="0" w:space="0" w:color="auto"/>
        <w:right w:val="none" w:sz="0" w:space="0" w:color="auto"/>
      </w:divBdr>
    </w:div>
    <w:div w:id="666591142">
      <w:bodyDiv w:val="1"/>
      <w:marLeft w:val="0"/>
      <w:marRight w:val="0"/>
      <w:marTop w:val="0"/>
      <w:marBottom w:val="0"/>
      <w:divBdr>
        <w:top w:val="none" w:sz="0" w:space="0" w:color="auto"/>
        <w:left w:val="none" w:sz="0" w:space="0" w:color="auto"/>
        <w:bottom w:val="none" w:sz="0" w:space="0" w:color="auto"/>
        <w:right w:val="none" w:sz="0" w:space="0" w:color="auto"/>
      </w:divBdr>
      <w:divsChild>
        <w:div w:id="830633730">
          <w:marLeft w:val="0"/>
          <w:marRight w:val="0"/>
          <w:marTop w:val="0"/>
          <w:marBottom w:val="0"/>
          <w:divBdr>
            <w:top w:val="none" w:sz="0" w:space="0" w:color="auto"/>
            <w:left w:val="none" w:sz="0" w:space="0" w:color="auto"/>
            <w:bottom w:val="none" w:sz="0" w:space="0" w:color="auto"/>
            <w:right w:val="none" w:sz="0" w:space="0" w:color="auto"/>
          </w:divBdr>
        </w:div>
      </w:divsChild>
    </w:div>
    <w:div w:id="675964499">
      <w:bodyDiv w:val="1"/>
      <w:marLeft w:val="0"/>
      <w:marRight w:val="0"/>
      <w:marTop w:val="0"/>
      <w:marBottom w:val="0"/>
      <w:divBdr>
        <w:top w:val="none" w:sz="0" w:space="0" w:color="auto"/>
        <w:left w:val="none" w:sz="0" w:space="0" w:color="auto"/>
        <w:bottom w:val="none" w:sz="0" w:space="0" w:color="auto"/>
        <w:right w:val="none" w:sz="0" w:space="0" w:color="auto"/>
      </w:divBdr>
    </w:div>
    <w:div w:id="690837172">
      <w:bodyDiv w:val="1"/>
      <w:marLeft w:val="0"/>
      <w:marRight w:val="0"/>
      <w:marTop w:val="0"/>
      <w:marBottom w:val="0"/>
      <w:divBdr>
        <w:top w:val="none" w:sz="0" w:space="0" w:color="auto"/>
        <w:left w:val="none" w:sz="0" w:space="0" w:color="auto"/>
        <w:bottom w:val="none" w:sz="0" w:space="0" w:color="auto"/>
        <w:right w:val="none" w:sz="0" w:space="0" w:color="auto"/>
      </w:divBdr>
      <w:divsChild>
        <w:div w:id="702943264">
          <w:marLeft w:val="0"/>
          <w:marRight w:val="0"/>
          <w:marTop w:val="0"/>
          <w:marBottom w:val="0"/>
          <w:divBdr>
            <w:top w:val="none" w:sz="0" w:space="0" w:color="auto"/>
            <w:left w:val="none" w:sz="0" w:space="0" w:color="auto"/>
            <w:bottom w:val="none" w:sz="0" w:space="0" w:color="auto"/>
            <w:right w:val="none" w:sz="0" w:space="0" w:color="auto"/>
          </w:divBdr>
        </w:div>
        <w:div w:id="833107779">
          <w:marLeft w:val="0"/>
          <w:marRight w:val="0"/>
          <w:marTop w:val="0"/>
          <w:marBottom w:val="0"/>
          <w:divBdr>
            <w:top w:val="none" w:sz="0" w:space="0" w:color="auto"/>
            <w:left w:val="none" w:sz="0" w:space="0" w:color="auto"/>
            <w:bottom w:val="none" w:sz="0" w:space="0" w:color="auto"/>
            <w:right w:val="none" w:sz="0" w:space="0" w:color="auto"/>
          </w:divBdr>
        </w:div>
      </w:divsChild>
    </w:div>
    <w:div w:id="706026683">
      <w:bodyDiv w:val="1"/>
      <w:marLeft w:val="0"/>
      <w:marRight w:val="0"/>
      <w:marTop w:val="0"/>
      <w:marBottom w:val="0"/>
      <w:divBdr>
        <w:top w:val="none" w:sz="0" w:space="0" w:color="auto"/>
        <w:left w:val="none" w:sz="0" w:space="0" w:color="auto"/>
        <w:bottom w:val="none" w:sz="0" w:space="0" w:color="auto"/>
        <w:right w:val="none" w:sz="0" w:space="0" w:color="auto"/>
      </w:divBdr>
      <w:divsChild>
        <w:div w:id="1184587819">
          <w:marLeft w:val="0"/>
          <w:marRight w:val="0"/>
          <w:marTop w:val="0"/>
          <w:marBottom w:val="0"/>
          <w:divBdr>
            <w:top w:val="none" w:sz="0" w:space="0" w:color="auto"/>
            <w:left w:val="none" w:sz="0" w:space="0" w:color="auto"/>
            <w:bottom w:val="none" w:sz="0" w:space="0" w:color="auto"/>
            <w:right w:val="none" w:sz="0" w:space="0" w:color="auto"/>
          </w:divBdr>
        </w:div>
        <w:div w:id="1832019689">
          <w:marLeft w:val="0"/>
          <w:marRight w:val="0"/>
          <w:marTop w:val="0"/>
          <w:marBottom w:val="0"/>
          <w:divBdr>
            <w:top w:val="none" w:sz="0" w:space="0" w:color="auto"/>
            <w:left w:val="none" w:sz="0" w:space="0" w:color="auto"/>
            <w:bottom w:val="none" w:sz="0" w:space="0" w:color="auto"/>
            <w:right w:val="none" w:sz="0" w:space="0" w:color="auto"/>
          </w:divBdr>
        </w:div>
      </w:divsChild>
    </w:div>
    <w:div w:id="712539428">
      <w:bodyDiv w:val="1"/>
      <w:marLeft w:val="0"/>
      <w:marRight w:val="0"/>
      <w:marTop w:val="0"/>
      <w:marBottom w:val="0"/>
      <w:divBdr>
        <w:top w:val="none" w:sz="0" w:space="0" w:color="auto"/>
        <w:left w:val="none" w:sz="0" w:space="0" w:color="auto"/>
        <w:bottom w:val="none" w:sz="0" w:space="0" w:color="auto"/>
        <w:right w:val="none" w:sz="0" w:space="0" w:color="auto"/>
      </w:divBdr>
    </w:div>
    <w:div w:id="731152204">
      <w:bodyDiv w:val="1"/>
      <w:marLeft w:val="0"/>
      <w:marRight w:val="0"/>
      <w:marTop w:val="0"/>
      <w:marBottom w:val="0"/>
      <w:divBdr>
        <w:top w:val="none" w:sz="0" w:space="0" w:color="auto"/>
        <w:left w:val="none" w:sz="0" w:space="0" w:color="auto"/>
        <w:bottom w:val="none" w:sz="0" w:space="0" w:color="auto"/>
        <w:right w:val="none" w:sz="0" w:space="0" w:color="auto"/>
      </w:divBdr>
      <w:divsChild>
        <w:div w:id="1073238784">
          <w:marLeft w:val="0"/>
          <w:marRight w:val="0"/>
          <w:marTop w:val="0"/>
          <w:marBottom w:val="0"/>
          <w:divBdr>
            <w:top w:val="none" w:sz="0" w:space="0" w:color="auto"/>
            <w:left w:val="none" w:sz="0" w:space="0" w:color="auto"/>
            <w:bottom w:val="none" w:sz="0" w:space="0" w:color="auto"/>
            <w:right w:val="none" w:sz="0" w:space="0" w:color="auto"/>
          </w:divBdr>
        </w:div>
        <w:div w:id="1421217911">
          <w:marLeft w:val="0"/>
          <w:marRight w:val="0"/>
          <w:marTop w:val="0"/>
          <w:marBottom w:val="0"/>
          <w:divBdr>
            <w:top w:val="none" w:sz="0" w:space="0" w:color="auto"/>
            <w:left w:val="none" w:sz="0" w:space="0" w:color="auto"/>
            <w:bottom w:val="none" w:sz="0" w:space="0" w:color="auto"/>
            <w:right w:val="none" w:sz="0" w:space="0" w:color="auto"/>
          </w:divBdr>
        </w:div>
      </w:divsChild>
    </w:div>
    <w:div w:id="752243079">
      <w:bodyDiv w:val="1"/>
      <w:marLeft w:val="0"/>
      <w:marRight w:val="0"/>
      <w:marTop w:val="0"/>
      <w:marBottom w:val="0"/>
      <w:divBdr>
        <w:top w:val="none" w:sz="0" w:space="0" w:color="auto"/>
        <w:left w:val="none" w:sz="0" w:space="0" w:color="auto"/>
        <w:bottom w:val="none" w:sz="0" w:space="0" w:color="auto"/>
        <w:right w:val="none" w:sz="0" w:space="0" w:color="auto"/>
      </w:divBdr>
      <w:divsChild>
        <w:div w:id="1009529374">
          <w:marLeft w:val="0"/>
          <w:marRight w:val="0"/>
          <w:marTop w:val="0"/>
          <w:marBottom w:val="0"/>
          <w:divBdr>
            <w:top w:val="none" w:sz="0" w:space="0" w:color="auto"/>
            <w:left w:val="none" w:sz="0" w:space="0" w:color="auto"/>
            <w:bottom w:val="none" w:sz="0" w:space="0" w:color="auto"/>
            <w:right w:val="none" w:sz="0" w:space="0" w:color="auto"/>
          </w:divBdr>
        </w:div>
      </w:divsChild>
    </w:div>
    <w:div w:id="769275274">
      <w:bodyDiv w:val="1"/>
      <w:marLeft w:val="0"/>
      <w:marRight w:val="0"/>
      <w:marTop w:val="0"/>
      <w:marBottom w:val="0"/>
      <w:divBdr>
        <w:top w:val="none" w:sz="0" w:space="0" w:color="auto"/>
        <w:left w:val="none" w:sz="0" w:space="0" w:color="auto"/>
        <w:bottom w:val="none" w:sz="0" w:space="0" w:color="auto"/>
        <w:right w:val="none" w:sz="0" w:space="0" w:color="auto"/>
      </w:divBdr>
      <w:divsChild>
        <w:div w:id="1853571843">
          <w:marLeft w:val="0"/>
          <w:marRight w:val="0"/>
          <w:marTop w:val="0"/>
          <w:marBottom w:val="0"/>
          <w:divBdr>
            <w:top w:val="none" w:sz="0" w:space="0" w:color="auto"/>
            <w:left w:val="none" w:sz="0" w:space="0" w:color="auto"/>
            <w:bottom w:val="none" w:sz="0" w:space="0" w:color="auto"/>
            <w:right w:val="none" w:sz="0" w:space="0" w:color="auto"/>
          </w:divBdr>
        </w:div>
        <w:div w:id="1508977735">
          <w:marLeft w:val="0"/>
          <w:marRight w:val="0"/>
          <w:marTop w:val="0"/>
          <w:marBottom w:val="0"/>
          <w:divBdr>
            <w:top w:val="none" w:sz="0" w:space="0" w:color="auto"/>
            <w:left w:val="none" w:sz="0" w:space="0" w:color="auto"/>
            <w:bottom w:val="none" w:sz="0" w:space="0" w:color="auto"/>
            <w:right w:val="none" w:sz="0" w:space="0" w:color="auto"/>
          </w:divBdr>
        </w:div>
      </w:divsChild>
    </w:div>
    <w:div w:id="777523717">
      <w:bodyDiv w:val="1"/>
      <w:marLeft w:val="0"/>
      <w:marRight w:val="0"/>
      <w:marTop w:val="0"/>
      <w:marBottom w:val="0"/>
      <w:divBdr>
        <w:top w:val="none" w:sz="0" w:space="0" w:color="auto"/>
        <w:left w:val="none" w:sz="0" w:space="0" w:color="auto"/>
        <w:bottom w:val="none" w:sz="0" w:space="0" w:color="auto"/>
        <w:right w:val="none" w:sz="0" w:space="0" w:color="auto"/>
      </w:divBdr>
      <w:divsChild>
        <w:div w:id="501362008">
          <w:marLeft w:val="0"/>
          <w:marRight w:val="0"/>
          <w:marTop w:val="0"/>
          <w:marBottom w:val="0"/>
          <w:divBdr>
            <w:top w:val="none" w:sz="0" w:space="0" w:color="auto"/>
            <w:left w:val="none" w:sz="0" w:space="0" w:color="auto"/>
            <w:bottom w:val="none" w:sz="0" w:space="0" w:color="auto"/>
            <w:right w:val="none" w:sz="0" w:space="0" w:color="auto"/>
          </w:divBdr>
        </w:div>
      </w:divsChild>
    </w:div>
    <w:div w:id="785078557">
      <w:bodyDiv w:val="1"/>
      <w:marLeft w:val="0"/>
      <w:marRight w:val="0"/>
      <w:marTop w:val="0"/>
      <w:marBottom w:val="0"/>
      <w:divBdr>
        <w:top w:val="none" w:sz="0" w:space="0" w:color="auto"/>
        <w:left w:val="none" w:sz="0" w:space="0" w:color="auto"/>
        <w:bottom w:val="none" w:sz="0" w:space="0" w:color="auto"/>
        <w:right w:val="none" w:sz="0" w:space="0" w:color="auto"/>
      </w:divBdr>
    </w:div>
    <w:div w:id="798307053">
      <w:bodyDiv w:val="1"/>
      <w:marLeft w:val="0"/>
      <w:marRight w:val="0"/>
      <w:marTop w:val="0"/>
      <w:marBottom w:val="0"/>
      <w:divBdr>
        <w:top w:val="none" w:sz="0" w:space="0" w:color="auto"/>
        <w:left w:val="none" w:sz="0" w:space="0" w:color="auto"/>
        <w:bottom w:val="none" w:sz="0" w:space="0" w:color="auto"/>
        <w:right w:val="none" w:sz="0" w:space="0" w:color="auto"/>
      </w:divBdr>
      <w:divsChild>
        <w:div w:id="739137106">
          <w:marLeft w:val="0"/>
          <w:marRight w:val="0"/>
          <w:marTop w:val="0"/>
          <w:marBottom w:val="0"/>
          <w:divBdr>
            <w:top w:val="none" w:sz="0" w:space="0" w:color="auto"/>
            <w:left w:val="none" w:sz="0" w:space="0" w:color="auto"/>
            <w:bottom w:val="none" w:sz="0" w:space="0" w:color="auto"/>
            <w:right w:val="none" w:sz="0" w:space="0" w:color="auto"/>
          </w:divBdr>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1596858957">
              <w:marLeft w:val="0"/>
              <w:marRight w:val="0"/>
              <w:marTop w:val="0"/>
              <w:marBottom w:val="0"/>
              <w:divBdr>
                <w:top w:val="none" w:sz="0" w:space="0" w:color="auto"/>
                <w:left w:val="none" w:sz="0" w:space="0" w:color="auto"/>
                <w:bottom w:val="none" w:sz="0" w:space="0" w:color="auto"/>
                <w:right w:val="none" w:sz="0" w:space="0" w:color="auto"/>
              </w:divBdr>
              <w:divsChild>
                <w:div w:id="658000263">
                  <w:marLeft w:val="0"/>
                  <w:marRight w:val="0"/>
                  <w:marTop w:val="0"/>
                  <w:marBottom w:val="0"/>
                  <w:divBdr>
                    <w:top w:val="none" w:sz="0" w:space="0" w:color="auto"/>
                    <w:left w:val="none" w:sz="0" w:space="0" w:color="auto"/>
                    <w:bottom w:val="none" w:sz="0" w:space="0" w:color="auto"/>
                    <w:right w:val="none" w:sz="0" w:space="0" w:color="auto"/>
                  </w:divBdr>
                </w:div>
                <w:div w:id="1757165489">
                  <w:marLeft w:val="0"/>
                  <w:marRight w:val="0"/>
                  <w:marTop w:val="0"/>
                  <w:marBottom w:val="0"/>
                  <w:divBdr>
                    <w:top w:val="none" w:sz="0" w:space="0" w:color="auto"/>
                    <w:left w:val="none" w:sz="0" w:space="0" w:color="auto"/>
                    <w:bottom w:val="none" w:sz="0" w:space="0" w:color="auto"/>
                    <w:right w:val="none" w:sz="0" w:space="0" w:color="auto"/>
                  </w:divBdr>
                </w:div>
                <w:div w:id="1761175447">
                  <w:marLeft w:val="0"/>
                  <w:marRight w:val="0"/>
                  <w:marTop w:val="0"/>
                  <w:marBottom w:val="0"/>
                  <w:divBdr>
                    <w:top w:val="none" w:sz="0" w:space="0" w:color="auto"/>
                    <w:left w:val="none" w:sz="0" w:space="0" w:color="auto"/>
                    <w:bottom w:val="none" w:sz="0" w:space="0" w:color="auto"/>
                    <w:right w:val="none" w:sz="0" w:space="0" w:color="auto"/>
                  </w:divBdr>
                  <w:divsChild>
                    <w:div w:id="1366248786">
                      <w:marLeft w:val="0"/>
                      <w:marRight w:val="0"/>
                      <w:marTop w:val="0"/>
                      <w:marBottom w:val="0"/>
                      <w:divBdr>
                        <w:top w:val="none" w:sz="0" w:space="0" w:color="auto"/>
                        <w:left w:val="none" w:sz="0" w:space="0" w:color="auto"/>
                        <w:bottom w:val="none" w:sz="0" w:space="0" w:color="auto"/>
                        <w:right w:val="none" w:sz="0" w:space="0" w:color="auto"/>
                      </w:divBdr>
                      <w:divsChild>
                        <w:div w:id="1166480808">
                          <w:marLeft w:val="0"/>
                          <w:marRight w:val="0"/>
                          <w:marTop w:val="0"/>
                          <w:marBottom w:val="0"/>
                          <w:divBdr>
                            <w:top w:val="none" w:sz="0" w:space="0" w:color="auto"/>
                            <w:left w:val="none" w:sz="0" w:space="0" w:color="auto"/>
                            <w:bottom w:val="none" w:sz="0" w:space="0" w:color="auto"/>
                            <w:right w:val="none" w:sz="0" w:space="0" w:color="auto"/>
                          </w:divBdr>
                          <w:divsChild>
                            <w:div w:id="1924755105">
                              <w:marLeft w:val="0"/>
                              <w:marRight w:val="0"/>
                              <w:marTop w:val="0"/>
                              <w:marBottom w:val="0"/>
                              <w:divBdr>
                                <w:top w:val="none" w:sz="0" w:space="0" w:color="auto"/>
                                <w:left w:val="none" w:sz="0" w:space="0" w:color="auto"/>
                                <w:bottom w:val="none" w:sz="0" w:space="0" w:color="auto"/>
                                <w:right w:val="none" w:sz="0" w:space="0" w:color="auto"/>
                              </w:divBdr>
                              <w:divsChild>
                                <w:div w:id="5680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3427">
                          <w:marLeft w:val="0"/>
                          <w:marRight w:val="0"/>
                          <w:marTop w:val="0"/>
                          <w:marBottom w:val="0"/>
                          <w:divBdr>
                            <w:top w:val="none" w:sz="0" w:space="0" w:color="auto"/>
                            <w:left w:val="none" w:sz="0" w:space="0" w:color="auto"/>
                            <w:bottom w:val="none" w:sz="0" w:space="0" w:color="auto"/>
                            <w:right w:val="none" w:sz="0" w:space="0" w:color="auto"/>
                          </w:divBdr>
                          <w:divsChild>
                            <w:div w:id="2036691472">
                              <w:marLeft w:val="0"/>
                              <w:marRight w:val="0"/>
                              <w:marTop w:val="0"/>
                              <w:marBottom w:val="0"/>
                              <w:divBdr>
                                <w:top w:val="none" w:sz="0" w:space="0" w:color="auto"/>
                                <w:left w:val="none" w:sz="0" w:space="0" w:color="auto"/>
                                <w:bottom w:val="none" w:sz="0" w:space="0" w:color="auto"/>
                                <w:right w:val="none" w:sz="0" w:space="0" w:color="auto"/>
                              </w:divBdr>
                              <w:divsChild>
                                <w:div w:id="156650649">
                                  <w:marLeft w:val="0"/>
                                  <w:marRight w:val="0"/>
                                  <w:marTop w:val="0"/>
                                  <w:marBottom w:val="0"/>
                                  <w:divBdr>
                                    <w:top w:val="none" w:sz="0" w:space="0" w:color="auto"/>
                                    <w:left w:val="none" w:sz="0" w:space="0" w:color="auto"/>
                                    <w:bottom w:val="none" w:sz="0" w:space="0" w:color="auto"/>
                                    <w:right w:val="none" w:sz="0" w:space="0" w:color="auto"/>
                                  </w:divBdr>
                                  <w:divsChild>
                                    <w:div w:id="1505702769">
                                      <w:marLeft w:val="0"/>
                                      <w:marRight w:val="0"/>
                                      <w:marTop w:val="0"/>
                                      <w:marBottom w:val="0"/>
                                      <w:divBdr>
                                        <w:top w:val="none" w:sz="0" w:space="0" w:color="auto"/>
                                        <w:left w:val="none" w:sz="0" w:space="0" w:color="auto"/>
                                        <w:bottom w:val="none" w:sz="0" w:space="0" w:color="auto"/>
                                        <w:right w:val="none" w:sz="0" w:space="0" w:color="auto"/>
                                      </w:divBdr>
                                    </w:div>
                                    <w:div w:id="528643260">
                                      <w:marLeft w:val="0"/>
                                      <w:marRight w:val="0"/>
                                      <w:marTop w:val="0"/>
                                      <w:marBottom w:val="0"/>
                                      <w:divBdr>
                                        <w:top w:val="none" w:sz="0" w:space="0" w:color="auto"/>
                                        <w:left w:val="none" w:sz="0" w:space="0" w:color="auto"/>
                                        <w:bottom w:val="none" w:sz="0" w:space="0" w:color="auto"/>
                                        <w:right w:val="none" w:sz="0" w:space="0" w:color="auto"/>
                                      </w:divBdr>
                                    </w:div>
                                  </w:divsChild>
                                </w:div>
                                <w:div w:id="1211262216">
                                  <w:marLeft w:val="0"/>
                                  <w:marRight w:val="0"/>
                                  <w:marTop w:val="0"/>
                                  <w:marBottom w:val="0"/>
                                  <w:divBdr>
                                    <w:top w:val="none" w:sz="0" w:space="0" w:color="auto"/>
                                    <w:left w:val="none" w:sz="0" w:space="0" w:color="auto"/>
                                    <w:bottom w:val="none" w:sz="0" w:space="0" w:color="auto"/>
                                    <w:right w:val="none" w:sz="0" w:space="0" w:color="auto"/>
                                  </w:divBdr>
                                  <w:divsChild>
                                    <w:div w:id="842209000">
                                      <w:marLeft w:val="0"/>
                                      <w:marRight w:val="0"/>
                                      <w:marTop w:val="0"/>
                                      <w:marBottom w:val="0"/>
                                      <w:divBdr>
                                        <w:top w:val="none" w:sz="0" w:space="0" w:color="auto"/>
                                        <w:left w:val="none" w:sz="0" w:space="0" w:color="auto"/>
                                        <w:bottom w:val="none" w:sz="0" w:space="0" w:color="auto"/>
                                        <w:right w:val="none" w:sz="0" w:space="0" w:color="auto"/>
                                      </w:divBdr>
                                    </w:div>
                                    <w:div w:id="1126192229">
                                      <w:marLeft w:val="0"/>
                                      <w:marRight w:val="0"/>
                                      <w:marTop w:val="0"/>
                                      <w:marBottom w:val="0"/>
                                      <w:divBdr>
                                        <w:top w:val="none" w:sz="0" w:space="0" w:color="auto"/>
                                        <w:left w:val="none" w:sz="0" w:space="0" w:color="auto"/>
                                        <w:bottom w:val="none" w:sz="0" w:space="0" w:color="auto"/>
                                        <w:right w:val="none" w:sz="0" w:space="0" w:color="auto"/>
                                      </w:divBdr>
                                    </w:div>
                                  </w:divsChild>
                                </w:div>
                                <w:div w:id="637537234">
                                  <w:marLeft w:val="0"/>
                                  <w:marRight w:val="0"/>
                                  <w:marTop w:val="0"/>
                                  <w:marBottom w:val="0"/>
                                  <w:divBdr>
                                    <w:top w:val="none" w:sz="0" w:space="0" w:color="auto"/>
                                    <w:left w:val="none" w:sz="0" w:space="0" w:color="auto"/>
                                    <w:bottom w:val="none" w:sz="0" w:space="0" w:color="auto"/>
                                    <w:right w:val="none" w:sz="0" w:space="0" w:color="auto"/>
                                  </w:divBdr>
                                  <w:divsChild>
                                    <w:div w:id="164127061">
                                      <w:marLeft w:val="0"/>
                                      <w:marRight w:val="0"/>
                                      <w:marTop w:val="0"/>
                                      <w:marBottom w:val="0"/>
                                      <w:divBdr>
                                        <w:top w:val="none" w:sz="0" w:space="0" w:color="auto"/>
                                        <w:left w:val="none" w:sz="0" w:space="0" w:color="auto"/>
                                        <w:bottom w:val="none" w:sz="0" w:space="0" w:color="auto"/>
                                        <w:right w:val="none" w:sz="0" w:space="0" w:color="auto"/>
                                      </w:divBdr>
                                    </w:div>
                                    <w:div w:id="2654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6101">
                  <w:marLeft w:val="0"/>
                  <w:marRight w:val="0"/>
                  <w:marTop w:val="0"/>
                  <w:marBottom w:val="0"/>
                  <w:divBdr>
                    <w:top w:val="none" w:sz="0" w:space="0" w:color="auto"/>
                    <w:left w:val="none" w:sz="0" w:space="0" w:color="auto"/>
                    <w:bottom w:val="none" w:sz="0" w:space="0" w:color="auto"/>
                    <w:right w:val="none" w:sz="0" w:space="0" w:color="auto"/>
                  </w:divBdr>
                  <w:divsChild>
                    <w:div w:id="270623276">
                      <w:marLeft w:val="0"/>
                      <w:marRight w:val="0"/>
                      <w:marTop w:val="0"/>
                      <w:marBottom w:val="0"/>
                      <w:divBdr>
                        <w:top w:val="none" w:sz="0" w:space="0" w:color="auto"/>
                        <w:left w:val="none" w:sz="0" w:space="0" w:color="auto"/>
                        <w:bottom w:val="none" w:sz="0" w:space="0" w:color="auto"/>
                        <w:right w:val="none" w:sz="0" w:space="0" w:color="auto"/>
                      </w:divBdr>
                      <w:divsChild>
                        <w:div w:id="60253752">
                          <w:marLeft w:val="0"/>
                          <w:marRight w:val="0"/>
                          <w:marTop w:val="0"/>
                          <w:marBottom w:val="0"/>
                          <w:divBdr>
                            <w:top w:val="none" w:sz="0" w:space="0" w:color="auto"/>
                            <w:left w:val="none" w:sz="0" w:space="0" w:color="auto"/>
                            <w:bottom w:val="none" w:sz="0" w:space="0" w:color="auto"/>
                            <w:right w:val="none" w:sz="0" w:space="0" w:color="auto"/>
                          </w:divBdr>
                          <w:divsChild>
                            <w:div w:id="150340101">
                              <w:marLeft w:val="0"/>
                              <w:marRight w:val="0"/>
                              <w:marTop w:val="0"/>
                              <w:marBottom w:val="0"/>
                              <w:divBdr>
                                <w:top w:val="none" w:sz="0" w:space="0" w:color="auto"/>
                                <w:left w:val="none" w:sz="0" w:space="0" w:color="auto"/>
                                <w:bottom w:val="none" w:sz="0" w:space="0" w:color="auto"/>
                                <w:right w:val="none" w:sz="0" w:space="0" w:color="auto"/>
                              </w:divBdr>
                              <w:divsChild>
                                <w:div w:id="2052341354">
                                  <w:marLeft w:val="0"/>
                                  <w:marRight w:val="0"/>
                                  <w:marTop w:val="0"/>
                                  <w:marBottom w:val="0"/>
                                  <w:divBdr>
                                    <w:top w:val="none" w:sz="0" w:space="0" w:color="auto"/>
                                    <w:left w:val="none" w:sz="0" w:space="0" w:color="auto"/>
                                    <w:bottom w:val="none" w:sz="0" w:space="0" w:color="auto"/>
                                    <w:right w:val="none" w:sz="0" w:space="0" w:color="auto"/>
                                  </w:divBdr>
                                  <w:divsChild>
                                    <w:div w:id="1046099290">
                                      <w:marLeft w:val="0"/>
                                      <w:marRight w:val="0"/>
                                      <w:marTop w:val="0"/>
                                      <w:marBottom w:val="0"/>
                                      <w:divBdr>
                                        <w:top w:val="none" w:sz="0" w:space="0" w:color="auto"/>
                                        <w:left w:val="none" w:sz="0" w:space="0" w:color="auto"/>
                                        <w:bottom w:val="none" w:sz="0" w:space="0" w:color="auto"/>
                                        <w:right w:val="none" w:sz="0" w:space="0" w:color="auto"/>
                                      </w:divBdr>
                                      <w:divsChild>
                                        <w:div w:id="1172647444">
                                          <w:marLeft w:val="0"/>
                                          <w:marRight w:val="0"/>
                                          <w:marTop w:val="0"/>
                                          <w:marBottom w:val="0"/>
                                          <w:divBdr>
                                            <w:top w:val="single" w:sz="8" w:space="1" w:color="auto"/>
                                            <w:left w:val="single" w:sz="8" w:space="4" w:color="auto"/>
                                            <w:bottom w:val="single" w:sz="8" w:space="1" w:color="auto"/>
                                            <w:right w:val="single" w:sz="8" w:space="4" w:color="auto"/>
                                          </w:divBdr>
                                        </w:div>
                                        <w:div w:id="1006321553">
                                          <w:marLeft w:val="0"/>
                                          <w:marRight w:val="0"/>
                                          <w:marTop w:val="0"/>
                                          <w:marBottom w:val="0"/>
                                          <w:divBdr>
                                            <w:top w:val="none" w:sz="0" w:space="0" w:color="auto"/>
                                            <w:left w:val="none" w:sz="0" w:space="0" w:color="auto"/>
                                            <w:bottom w:val="single" w:sz="8" w:space="1" w:color="auto"/>
                                            <w:right w:val="none" w:sz="0" w:space="0" w:color="auto"/>
                                          </w:divBdr>
                                        </w:div>
                                        <w:div w:id="106410980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 w:id="825901563">
          <w:marLeft w:val="0"/>
          <w:marRight w:val="0"/>
          <w:marTop w:val="0"/>
          <w:marBottom w:val="0"/>
          <w:divBdr>
            <w:top w:val="none" w:sz="0" w:space="0" w:color="auto"/>
            <w:left w:val="none" w:sz="0" w:space="0" w:color="auto"/>
            <w:bottom w:val="none" w:sz="0" w:space="0" w:color="auto"/>
            <w:right w:val="none" w:sz="0" w:space="0" w:color="auto"/>
          </w:divBdr>
        </w:div>
        <w:div w:id="1358702804">
          <w:marLeft w:val="0"/>
          <w:marRight w:val="0"/>
          <w:marTop w:val="0"/>
          <w:marBottom w:val="0"/>
          <w:divBdr>
            <w:top w:val="none" w:sz="0" w:space="0" w:color="auto"/>
            <w:left w:val="none" w:sz="0" w:space="0" w:color="auto"/>
            <w:bottom w:val="none" w:sz="0" w:space="0" w:color="auto"/>
            <w:right w:val="none" w:sz="0" w:space="0" w:color="auto"/>
          </w:divBdr>
        </w:div>
        <w:div w:id="1505168226">
          <w:marLeft w:val="0"/>
          <w:marRight w:val="0"/>
          <w:marTop w:val="0"/>
          <w:marBottom w:val="0"/>
          <w:divBdr>
            <w:top w:val="none" w:sz="0" w:space="0" w:color="auto"/>
            <w:left w:val="none" w:sz="0" w:space="0" w:color="auto"/>
            <w:bottom w:val="none" w:sz="0" w:space="0" w:color="auto"/>
            <w:right w:val="none" w:sz="0" w:space="0" w:color="auto"/>
          </w:divBdr>
        </w:div>
        <w:div w:id="792754334">
          <w:marLeft w:val="0"/>
          <w:marRight w:val="0"/>
          <w:marTop w:val="0"/>
          <w:marBottom w:val="0"/>
          <w:divBdr>
            <w:top w:val="none" w:sz="0" w:space="0" w:color="auto"/>
            <w:left w:val="none" w:sz="0" w:space="0" w:color="auto"/>
            <w:bottom w:val="none" w:sz="0" w:space="0" w:color="auto"/>
            <w:right w:val="none" w:sz="0" w:space="0" w:color="auto"/>
          </w:divBdr>
        </w:div>
        <w:div w:id="1976175789">
          <w:marLeft w:val="0"/>
          <w:marRight w:val="0"/>
          <w:marTop w:val="0"/>
          <w:marBottom w:val="0"/>
          <w:divBdr>
            <w:top w:val="none" w:sz="0" w:space="0" w:color="auto"/>
            <w:left w:val="none" w:sz="0" w:space="0" w:color="auto"/>
            <w:bottom w:val="none" w:sz="0" w:space="0" w:color="auto"/>
            <w:right w:val="none" w:sz="0" w:space="0" w:color="auto"/>
          </w:divBdr>
        </w:div>
        <w:div w:id="1389764985">
          <w:marLeft w:val="0"/>
          <w:marRight w:val="0"/>
          <w:marTop w:val="0"/>
          <w:marBottom w:val="0"/>
          <w:divBdr>
            <w:top w:val="none" w:sz="0" w:space="0" w:color="auto"/>
            <w:left w:val="none" w:sz="0" w:space="0" w:color="auto"/>
            <w:bottom w:val="none" w:sz="0" w:space="0" w:color="auto"/>
            <w:right w:val="none" w:sz="0" w:space="0" w:color="auto"/>
          </w:divBdr>
        </w:div>
        <w:div w:id="870343902">
          <w:marLeft w:val="0"/>
          <w:marRight w:val="0"/>
          <w:marTop w:val="0"/>
          <w:marBottom w:val="0"/>
          <w:divBdr>
            <w:top w:val="none" w:sz="0" w:space="0" w:color="auto"/>
            <w:left w:val="none" w:sz="0" w:space="0" w:color="auto"/>
            <w:bottom w:val="none" w:sz="0" w:space="0" w:color="auto"/>
            <w:right w:val="none" w:sz="0" w:space="0" w:color="auto"/>
          </w:divBdr>
        </w:div>
        <w:div w:id="835849329">
          <w:marLeft w:val="0"/>
          <w:marRight w:val="0"/>
          <w:marTop w:val="0"/>
          <w:marBottom w:val="0"/>
          <w:divBdr>
            <w:top w:val="none" w:sz="0" w:space="0" w:color="auto"/>
            <w:left w:val="none" w:sz="0" w:space="0" w:color="auto"/>
            <w:bottom w:val="none" w:sz="0" w:space="0" w:color="auto"/>
            <w:right w:val="none" w:sz="0" w:space="0" w:color="auto"/>
          </w:divBdr>
        </w:div>
        <w:div w:id="1283346083">
          <w:marLeft w:val="0"/>
          <w:marRight w:val="0"/>
          <w:marTop w:val="0"/>
          <w:marBottom w:val="0"/>
          <w:divBdr>
            <w:top w:val="none" w:sz="0" w:space="0" w:color="auto"/>
            <w:left w:val="none" w:sz="0" w:space="0" w:color="auto"/>
            <w:bottom w:val="none" w:sz="0" w:space="0" w:color="auto"/>
            <w:right w:val="none" w:sz="0" w:space="0" w:color="auto"/>
          </w:divBdr>
        </w:div>
        <w:div w:id="1624651131">
          <w:marLeft w:val="0"/>
          <w:marRight w:val="0"/>
          <w:marTop w:val="0"/>
          <w:marBottom w:val="0"/>
          <w:divBdr>
            <w:top w:val="none" w:sz="0" w:space="0" w:color="auto"/>
            <w:left w:val="none" w:sz="0" w:space="0" w:color="auto"/>
            <w:bottom w:val="none" w:sz="0" w:space="0" w:color="auto"/>
            <w:right w:val="none" w:sz="0" w:space="0" w:color="auto"/>
          </w:divBdr>
        </w:div>
        <w:div w:id="1303581364">
          <w:marLeft w:val="0"/>
          <w:marRight w:val="0"/>
          <w:marTop w:val="0"/>
          <w:marBottom w:val="0"/>
          <w:divBdr>
            <w:top w:val="none" w:sz="0" w:space="0" w:color="auto"/>
            <w:left w:val="none" w:sz="0" w:space="0" w:color="auto"/>
            <w:bottom w:val="none" w:sz="0" w:space="0" w:color="auto"/>
            <w:right w:val="none" w:sz="0" w:space="0" w:color="auto"/>
          </w:divBdr>
        </w:div>
        <w:div w:id="105152483">
          <w:marLeft w:val="0"/>
          <w:marRight w:val="0"/>
          <w:marTop w:val="0"/>
          <w:marBottom w:val="0"/>
          <w:divBdr>
            <w:top w:val="none" w:sz="0" w:space="0" w:color="auto"/>
            <w:left w:val="none" w:sz="0" w:space="0" w:color="auto"/>
            <w:bottom w:val="none" w:sz="0" w:space="0" w:color="auto"/>
            <w:right w:val="none" w:sz="0" w:space="0" w:color="auto"/>
          </w:divBdr>
        </w:div>
        <w:div w:id="1130051366">
          <w:marLeft w:val="0"/>
          <w:marRight w:val="0"/>
          <w:marTop w:val="0"/>
          <w:marBottom w:val="0"/>
          <w:divBdr>
            <w:top w:val="none" w:sz="0" w:space="0" w:color="auto"/>
            <w:left w:val="none" w:sz="0" w:space="0" w:color="auto"/>
            <w:bottom w:val="none" w:sz="0" w:space="0" w:color="auto"/>
            <w:right w:val="none" w:sz="0" w:space="0" w:color="auto"/>
          </w:divBdr>
        </w:div>
        <w:div w:id="1361668896">
          <w:marLeft w:val="0"/>
          <w:marRight w:val="0"/>
          <w:marTop w:val="0"/>
          <w:marBottom w:val="0"/>
          <w:divBdr>
            <w:top w:val="none" w:sz="0" w:space="0" w:color="auto"/>
            <w:left w:val="none" w:sz="0" w:space="0" w:color="auto"/>
            <w:bottom w:val="none" w:sz="0" w:space="0" w:color="auto"/>
            <w:right w:val="none" w:sz="0" w:space="0" w:color="auto"/>
          </w:divBdr>
        </w:div>
        <w:div w:id="1084956521">
          <w:marLeft w:val="0"/>
          <w:marRight w:val="0"/>
          <w:marTop w:val="0"/>
          <w:marBottom w:val="0"/>
          <w:divBdr>
            <w:top w:val="none" w:sz="0" w:space="0" w:color="auto"/>
            <w:left w:val="none" w:sz="0" w:space="0" w:color="auto"/>
            <w:bottom w:val="none" w:sz="0" w:space="0" w:color="auto"/>
            <w:right w:val="none" w:sz="0" w:space="0" w:color="auto"/>
          </w:divBdr>
        </w:div>
        <w:div w:id="332687185">
          <w:marLeft w:val="0"/>
          <w:marRight w:val="0"/>
          <w:marTop w:val="0"/>
          <w:marBottom w:val="0"/>
          <w:divBdr>
            <w:top w:val="none" w:sz="0" w:space="0" w:color="auto"/>
            <w:left w:val="none" w:sz="0" w:space="0" w:color="auto"/>
            <w:bottom w:val="none" w:sz="0" w:space="0" w:color="auto"/>
            <w:right w:val="none" w:sz="0" w:space="0" w:color="auto"/>
          </w:divBdr>
        </w:div>
      </w:divsChild>
    </w:div>
    <w:div w:id="799882706">
      <w:bodyDiv w:val="1"/>
      <w:marLeft w:val="0"/>
      <w:marRight w:val="0"/>
      <w:marTop w:val="0"/>
      <w:marBottom w:val="0"/>
      <w:divBdr>
        <w:top w:val="none" w:sz="0" w:space="0" w:color="auto"/>
        <w:left w:val="none" w:sz="0" w:space="0" w:color="auto"/>
        <w:bottom w:val="none" w:sz="0" w:space="0" w:color="auto"/>
        <w:right w:val="none" w:sz="0" w:space="0" w:color="auto"/>
      </w:divBdr>
    </w:div>
    <w:div w:id="808783776">
      <w:bodyDiv w:val="1"/>
      <w:marLeft w:val="0"/>
      <w:marRight w:val="0"/>
      <w:marTop w:val="0"/>
      <w:marBottom w:val="0"/>
      <w:divBdr>
        <w:top w:val="none" w:sz="0" w:space="0" w:color="auto"/>
        <w:left w:val="none" w:sz="0" w:space="0" w:color="auto"/>
        <w:bottom w:val="none" w:sz="0" w:space="0" w:color="auto"/>
        <w:right w:val="none" w:sz="0" w:space="0" w:color="auto"/>
      </w:divBdr>
      <w:divsChild>
        <w:div w:id="347295721">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sChild>
    </w:div>
    <w:div w:id="810294332">
      <w:bodyDiv w:val="1"/>
      <w:marLeft w:val="0"/>
      <w:marRight w:val="0"/>
      <w:marTop w:val="0"/>
      <w:marBottom w:val="0"/>
      <w:divBdr>
        <w:top w:val="none" w:sz="0" w:space="0" w:color="auto"/>
        <w:left w:val="none" w:sz="0" w:space="0" w:color="auto"/>
        <w:bottom w:val="none" w:sz="0" w:space="0" w:color="auto"/>
        <w:right w:val="none" w:sz="0" w:space="0" w:color="auto"/>
      </w:divBdr>
      <w:divsChild>
        <w:div w:id="452485251">
          <w:marLeft w:val="0"/>
          <w:marRight w:val="0"/>
          <w:marTop w:val="0"/>
          <w:marBottom w:val="0"/>
          <w:divBdr>
            <w:top w:val="none" w:sz="0" w:space="0" w:color="auto"/>
            <w:left w:val="none" w:sz="0" w:space="0" w:color="auto"/>
            <w:bottom w:val="none" w:sz="0" w:space="0" w:color="auto"/>
            <w:right w:val="none" w:sz="0" w:space="0" w:color="auto"/>
          </w:divBdr>
          <w:divsChild>
            <w:div w:id="397748304">
              <w:marLeft w:val="0"/>
              <w:marRight w:val="0"/>
              <w:marTop w:val="0"/>
              <w:marBottom w:val="0"/>
              <w:divBdr>
                <w:top w:val="none" w:sz="0" w:space="0" w:color="auto"/>
                <w:left w:val="none" w:sz="0" w:space="0" w:color="auto"/>
                <w:bottom w:val="none" w:sz="0" w:space="0" w:color="auto"/>
                <w:right w:val="none" w:sz="0" w:space="0" w:color="auto"/>
              </w:divBdr>
              <w:divsChild>
                <w:div w:id="653069880">
                  <w:marLeft w:val="0"/>
                  <w:marRight w:val="0"/>
                  <w:marTop w:val="0"/>
                  <w:marBottom w:val="0"/>
                  <w:divBdr>
                    <w:top w:val="none" w:sz="0" w:space="0" w:color="auto"/>
                    <w:left w:val="none" w:sz="0" w:space="0" w:color="auto"/>
                    <w:bottom w:val="none" w:sz="0" w:space="0" w:color="auto"/>
                    <w:right w:val="none" w:sz="0" w:space="0" w:color="auto"/>
                  </w:divBdr>
                  <w:divsChild>
                    <w:div w:id="1443693456">
                      <w:marLeft w:val="0"/>
                      <w:marRight w:val="0"/>
                      <w:marTop w:val="0"/>
                      <w:marBottom w:val="0"/>
                      <w:divBdr>
                        <w:top w:val="none" w:sz="0" w:space="0" w:color="auto"/>
                        <w:left w:val="none" w:sz="0" w:space="0" w:color="auto"/>
                        <w:bottom w:val="none" w:sz="0" w:space="0" w:color="auto"/>
                        <w:right w:val="none" w:sz="0" w:space="0" w:color="auto"/>
                      </w:divBdr>
                      <w:divsChild>
                        <w:div w:id="4623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9134">
          <w:marLeft w:val="0"/>
          <w:marRight w:val="0"/>
          <w:marTop w:val="0"/>
          <w:marBottom w:val="0"/>
          <w:divBdr>
            <w:top w:val="none" w:sz="0" w:space="0" w:color="auto"/>
            <w:left w:val="none" w:sz="0" w:space="0" w:color="auto"/>
            <w:bottom w:val="none" w:sz="0" w:space="0" w:color="auto"/>
            <w:right w:val="none" w:sz="0" w:space="0" w:color="auto"/>
          </w:divBdr>
        </w:div>
      </w:divsChild>
    </w:div>
    <w:div w:id="821580222">
      <w:bodyDiv w:val="1"/>
      <w:marLeft w:val="0"/>
      <w:marRight w:val="0"/>
      <w:marTop w:val="0"/>
      <w:marBottom w:val="0"/>
      <w:divBdr>
        <w:top w:val="none" w:sz="0" w:space="0" w:color="auto"/>
        <w:left w:val="none" w:sz="0" w:space="0" w:color="auto"/>
        <w:bottom w:val="none" w:sz="0" w:space="0" w:color="auto"/>
        <w:right w:val="none" w:sz="0" w:space="0" w:color="auto"/>
      </w:divBdr>
    </w:div>
    <w:div w:id="822160492">
      <w:bodyDiv w:val="1"/>
      <w:marLeft w:val="0"/>
      <w:marRight w:val="0"/>
      <w:marTop w:val="0"/>
      <w:marBottom w:val="0"/>
      <w:divBdr>
        <w:top w:val="none" w:sz="0" w:space="0" w:color="auto"/>
        <w:left w:val="none" w:sz="0" w:space="0" w:color="auto"/>
        <w:bottom w:val="none" w:sz="0" w:space="0" w:color="auto"/>
        <w:right w:val="none" w:sz="0" w:space="0" w:color="auto"/>
      </w:divBdr>
    </w:div>
    <w:div w:id="822161259">
      <w:bodyDiv w:val="1"/>
      <w:marLeft w:val="0"/>
      <w:marRight w:val="0"/>
      <w:marTop w:val="0"/>
      <w:marBottom w:val="0"/>
      <w:divBdr>
        <w:top w:val="none" w:sz="0" w:space="0" w:color="auto"/>
        <w:left w:val="none" w:sz="0" w:space="0" w:color="auto"/>
        <w:bottom w:val="none" w:sz="0" w:space="0" w:color="auto"/>
        <w:right w:val="none" w:sz="0" w:space="0" w:color="auto"/>
      </w:divBdr>
      <w:divsChild>
        <w:div w:id="749812801">
          <w:marLeft w:val="0"/>
          <w:marRight w:val="0"/>
          <w:marTop w:val="0"/>
          <w:marBottom w:val="0"/>
          <w:divBdr>
            <w:top w:val="none" w:sz="0" w:space="0" w:color="auto"/>
            <w:left w:val="none" w:sz="0" w:space="0" w:color="auto"/>
            <w:bottom w:val="none" w:sz="0" w:space="0" w:color="auto"/>
            <w:right w:val="none" w:sz="0" w:space="0" w:color="auto"/>
          </w:divBdr>
        </w:div>
        <w:div w:id="515660205">
          <w:marLeft w:val="0"/>
          <w:marRight w:val="0"/>
          <w:marTop w:val="0"/>
          <w:marBottom w:val="0"/>
          <w:divBdr>
            <w:top w:val="none" w:sz="0" w:space="0" w:color="auto"/>
            <w:left w:val="none" w:sz="0" w:space="0" w:color="auto"/>
            <w:bottom w:val="none" w:sz="0" w:space="0" w:color="auto"/>
            <w:right w:val="none" w:sz="0" w:space="0" w:color="auto"/>
          </w:divBdr>
        </w:div>
        <w:div w:id="1834836790">
          <w:marLeft w:val="0"/>
          <w:marRight w:val="0"/>
          <w:marTop w:val="0"/>
          <w:marBottom w:val="0"/>
          <w:divBdr>
            <w:top w:val="none" w:sz="0" w:space="0" w:color="auto"/>
            <w:left w:val="none" w:sz="0" w:space="0" w:color="auto"/>
            <w:bottom w:val="none" w:sz="0" w:space="0" w:color="auto"/>
            <w:right w:val="none" w:sz="0" w:space="0" w:color="auto"/>
          </w:divBdr>
        </w:div>
      </w:divsChild>
    </w:div>
    <w:div w:id="829907465">
      <w:bodyDiv w:val="1"/>
      <w:marLeft w:val="0"/>
      <w:marRight w:val="0"/>
      <w:marTop w:val="0"/>
      <w:marBottom w:val="0"/>
      <w:divBdr>
        <w:top w:val="none" w:sz="0" w:space="0" w:color="auto"/>
        <w:left w:val="none" w:sz="0" w:space="0" w:color="auto"/>
        <w:bottom w:val="none" w:sz="0" w:space="0" w:color="auto"/>
        <w:right w:val="none" w:sz="0" w:space="0" w:color="auto"/>
      </w:divBdr>
    </w:div>
    <w:div w:id="842160523">
      <w:bodyDiv w:val="1"/>
      <w:marLeft w:val="0"/>
      <w:marRight w:val="0"/>
      <w:marTop w:val="0"/>
      <w:marBottom w:val="0"/>
      <w:divBdr>
        <w:top w:val="none" w:sz="0" w:space="0" w:color="auto"/>
        <w:left w:val="none" w:sz="0" w:space="0" w:color="auto"/>
        <w:bottom w:val="none" w:sz="0" w:space="0" w:color="auto"/>
        <w:right w:val="none" w:sz="0" w:space="0" w:color="auto"/>
      </w:divBdr>
    </w:div>
    <w:div w:id="849484714">
      <w:bodyDiv w:val="1"/>
      <w:marLeft w:val="0"/>
      <w:marRight w:val="0"/>
      <w:marTop w:val="0"/>
      <w:marBottom w:val="0"/>
      <w:divBdr>
        <w:top w:val="none" w:sz="0" w:space="0" w:color="auto"/>
        <w:left w:val="none" w:sz="0" w:space="0" w:color="auto"/>
        <w:bottom w:val="none" w:sz="0" w:space="0" w:color="auto"/>
        <w:right w:val="none" w:sz="0" w:space="0" w:color="auto"/>
      </w:divBdr>
      <w:divsChild>
        <w:div w:id="1599017848">
          <w:marLeft w:val="0"/>
          <w:marRight w:val="0"/>
          <w:marTop w:val="0"/>
          <w:marBottom w:val="0"/>
          <w:divBdr>
            <w:top w:val="none" w:sz="0" w:space="0" w:color="auto"/>
            <w:left w:val="none" w:sz="0" w:space="0" w:color="auto"/>
            <w:bottom w:val="none" w:sz="0" w:space="0" w:color="auto"/>
            <w:right w:val="none" w:sz="0" w:space="0" w:color="auto"/>
          </w:divBdr>
        </w:div>
        <w:div w:id="1564873974">
          <w:marLeft w:val="0"/>
          <w:marRight w:val="0"/>
          <w:marTop w:val="0"/>
          <w:marBottom w:val="0"/>
          <w:divBdr>
            <w:top w:val="none" w:sz="0" w:space="0" w:color="auto"/>
            <w:left w:val="none" w:sz="0" w:space="0" w:color="auto"/>
            <w:bottom w:val="none" w:sz="0" w:space="0" w:color="auto"/>
            <w:right w:val="none" w:sz="0" w:space="0" w:color="auto"/>
          </w:divBdr>
        </w:div>
      </w:divsChild>
    </w:div>
    <w:div w:id="852064186">
      <w:bodyDiv w:val="1"/>
      <w:marLeft w:val="0"/>
      <w:marRight w:val="0"/>
      <w:marTop w:val="0"/>
      <w:marBottom w:val="0"/>
      <w:divBdr>
        <w:top w:val="none" w:sz="0" w:space="0" w:color="auto"/>
        <w:left w:val="none" w:sz="0" w:space="0" w:color="auto"/>
        <w:bottom w:val="none" w:sz="0" w:space="0" w:color="auto"/>
        <w:right w:val="none" w:sz="0" w:space="0" w:color="auto"/>
      </w:divBdr>
    </w:div>
    <w:div w:id="870338156">
      <w:bodyDiv w:val="1"/>
      <w:marLeft w:val="0"/>
      <w:marRight w:val="0"/>
      <w:marTop w:val="0"/>
      <w:marBottom w:val="0"/>
      <w:divBdr>
        <w:top w:val="none" w:sz="0" w:space="0" w:color="auto"/>
        <w:left w:val="none" w:sz="0" w:space="0" w:color="auto"/>
        <w:bottom w:val="none" w:sz="0" w:space="0" w:color="auto"/>
        <w:right w:val="none" w:sz="0" w:space="0" w:color="auto"/>
      </w:divBdr>
      <w:divsChild>
        <w:div w:id="944926768">
          <w:marLeft w:val="0"/>
          <w:marRight w:val="0"/>
          <w:marTop w:val="0"/>
          <w:marBottom w:val="0"/>
          <w:divBdr>
            <w:top w:val="none" w:sz="0" w:space="0" w:color="auto"/>
            <w:left w:val="none" w:sz="0" w:space="0" w:color="auto"/>
            <w:bottom w:val="none" w:sz="0" w:space="0" w:color="auto"/>
            <w:right w:val="none" w:sz="0" w:space="0" w:color="auto"/>
          </w:divBdr>
        </w:div>
      </w:divsChild>
    </w:div>
    <w:div w:id="876242391">
      <w:bodyDiv w:val="1"/>
      <w:marLeft w:val="0"/>
      <w:marRight w:val="0"/>
      <w:marTop w:val="0"/>
      <w:marBottom w:val="0"/>
      <w:divBdr>
        <w:top w:val="none" w:sz="0" w:space="0" w:color="auto"/>
        <w:left w:val="none" w:sz="0" w:space="0" w:color="auto"/>
        <w:bottom w:val="none" w:sz="0" w:space="0" w:color="auto"/>
        <w:right w:val="none" w:sz="0" w:space="0" w:color="auto"/>
      </w:divBdr>
    </w:div>
    <w:div w:id="878009433">
      <w:bodyDiv w:val="1"/>
      <w:marLeft w:val="0"/>
      <w:marRight w:val="0"/>
      <w:marTop w:val="0"/>
      <w:marBottom w:val="0"/>
      <w:divBdr>
        <w:top w:val="none" w:sz="0" w:space="0" w:color="auto"/>
        <w:left w:val="none" w:sz="0" w:space="0" w:color="auto"/>
        <w:bottom w:val="none" w:sz="0" w:space="0" w:color="auto"/>
        <w:right w:val="none" w:sz="0" w:space="0" w:color="auto"/>
      </w:divBdr>
      <w:divsChild>
        <w:div w:id="1631859383">
          <w:marLeft w:val="0"/>
          <w:marRight w:val="0"/>
          <w:marTop w:val="0"/>
          <w:marBottom w:val="0"/>
          <w:divBdr>
            <w:top w:val="none" w:sz="0" w:space="0" w:color="auto"/>
            <w:left w:val="none" w:sz="0" w:space="0" w:color="auto"/>
            <w:bottom w:val="none" w:sz="0" w:space="0" w:color="auto"/>
            <w:right w:val="none" w:sz="0" w:space="0" w:color="auto"/>
          </w:divBdr>
        </w:div>
      </w:divsChild>
    </w:div>
    <w:div w:id="896664982">
      <w:bodyDiv w:val="1"/>
      <w:marLeft w:val="0"/>
      <w:marRight w:val="0"/>
      <w:marTop w:val="0"/>
      <w:marBottom w:val="0"/>
      <w:divBdr>
        <w:top w:val="none" w:sz="0" w:space="0" w:color="auto"/>
        <w:left w:val="none" w:sz="0" w:space="0" w:color="auto"/>
        <w:bottom w:val="none" w:sz="0" w:space="0" w:color="auto"/>
        <w:right w:val="none" w:sz="0" w:space="0" w:color="auto"/>
      </w:divBdr>
    </w:div>
    <w:div w:id="901908887">
      <w:bodyDiv w:val="1"/>
      <w:marLeft w:val="0"/>
      <w:marRight w:val="0"/>
      <w:marTop w:val="0"/>
      <w:marBottom w:val="0"/>
      <w:divBdr>
        <w:top w:val="none" w:sz="0" w:space="0" w:color="auto"/>
        <w:left w:val="none" w:sz="0" w:space="0" w:color="auto"/>
        <w:bottom w:val="none" w:sz="0" w:space="0" w:color="auto"/>
        <w:right w:val="none" w:sz="0" w:space="0" w:color="auto"/>
      </w:divBdr>
    </w:div>
    <w:div w:id="936333286">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2">
          <w:marLeft w:val="0"/>
          <w:marRight w:val="0"/>
          <w:marTop w:val="0"/>
          <w:marBottom w:val="0"/>
          <w:divBdr>
            <w:top w:val="none" w:sz="0" w:space="0" w:color="auto"/>
            <w:left w:val="none" w:sz="0" w:space="0" w:color="auto"/>
            <w:bottom w:val="none" w:sz="0" w:space="0" w:color="auto"/>
            <w:right w:val="none" w:sz="0" w:space="0" w:color="auto"/>
          </w:divBdr>
          <w:divsChild>
            <w:div w:id="190941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3172951">
      <w:bodyDiv w:val="1"/>
      <w:marLeft w:val="0"/>
      <w:marRight w:val="0"/>
      <w:marTop w:val="0"/>
      <w:marBottom w:val="0"/>
      <w:divBdr>
        <w:top w:val="none" w:sz="0" w:space="0" w:color="auto"/>
        <w:left w:val="none" w:sz="0" w:space="0" w:color="auto"/>
        <w:bottom w:val="none" w:sz="0" w:space="0" w:color="auto"/>
        <w:right w:val="none" w:sz="0" w:space="0" w:color="auto"/>
      </w:divBdr>
    </w:div>
    <w:div w:id="954361662">
      <w:bodyDiv w:val="1"/>
      <w:marLeft w:val="0"/>
      <w:marRight w:val="0"/>
      <w:marTop w:val="0"/>
      <w:marBottom w:val="0"/>
      <w:divBdr>
        <w:top w:val="none" w:sz="0" w:space="0" w:color="auto"/>
        <w:left w:val="none" w:sz="0" w:space="0" w:color="auto"/>
        <w:bottom w:val="none" w:sz="0" w:space="0" w:color="auto"/>
        <w:right w:val="none" w:sz="0" w:space="0" w:color="auto"/>
      </w:divBdr>
    </w:div>
    <w:div w:id="995843736">
      <w:bodyDiv w:val="1"/>
      <w:marLeft w:val="0"/>
      <w:marRight w:val="0"/>
      <w:marTop w:val="0"/>
      <w:marBottom w:val="0"/>
      <w:divBdr>
        <w:top w:val="none" w:sz="0" w:space="0" w:color="auto"/>
        <w:left w:val="none" w:sz="0" w:space="0" w:color="auto"/>
        <w:bottom w:val="none" w:sz="0" w:space="0" w:color="auto"/>
        <w:right w:val="none" w:sz="0" w:space="0" w:color="auto"/>
      </w:divBdr>
      <w:divsChild>
        <w:div w:id="1683624599">
          <w:marLeft w:val="0"/>
          <w:marRight w:val="0"/>
          <w:marTop w:val="0"/>
          <w:marBottom w:val="0"/>
          <w:divBdr>
            <w:top w:val="none" w:sz="0" w:space="0" w:color="auto"/>
            <w:left w:val="none" w:sz="0" w:space="0" w:color="auto"/>
            <w:bottom w:val="none" w:sz="0" w:space="0" w:color="auto"/>
            <w:right w:val="none" w:sz="0" w:space="0" w:color="auto"/>
          </w:divBdr>
          <w:divsChild>
            <w:div w:id="1015956357">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608">
      <w:bodyDiv w:val="1"/>
      <w:marLeft w:val="0"/>
      <w:marRight w:val="0"/>
      <w:marTop w:val="0"/>
      <w:marBottom w:val="0"/>
      <w:divBdr>
        <w:top w:val="none" w:sz="0" w:space="0" w:color="auto"/>
        <w:left w:val="none" w:sz="0" w:space="0" w:color="auto"/>
        <w:bottom w:val="none" w:sz="0" w:space="0" w:color="auto"/>
        <w:right w:val="none" w:sz="0" w:space="0" w:color="auto"/>
      </w:divBdr>
    </w:div>
    <w:div w:id="1063869041">
      <w:bodyDiv w:val="1"/>
      <w:marLeft w:val="0"/>
      <w:marRight w:val="0"/>
      <w:marTop w:val="0"/>
      <w:marBottom w:val="0"/>
      <w:divBdr>
        <w:top w:val="none" w:sz="0" w:space="0" w:color="auto"/>
        <w:left w:val="none" w:sz="0" w:space="0" w:color="auto"/>
        <w:bottom w:val="none" w:sz="0" w:space="0" w:color="auto"/>
        <w:right w:val="none" w:sz="0" w:space="0" w:color="auto"/>
      </w:divBdr>
    </w:div>
    <w:div w:id="1068765380">
      <w:bodyDiv w:val="1"/>
      <w:marLeft w:val="0"/>
      <w:marRight w:val="0"/>
      <w:marTop w:val="0"/>
      <w:marBottom w:val="0"/>
      <w:divBdr>
        <w:top w:val="none" w:sz="0" w:space="0" w:color="auto"/>
        <w:left w:val="none" w:sz="0" w:space="0" w:color="auto"/>
        <w:bottom w:val="none" w:sz="0" w:space="0" w:color="auto"/>
        <w:right w:val="none" w:sz="0" w:space="0" w:color="auto"/>
      </w:divBdr>
    </w:div>
    <w:div w:id="1076245887">
      <w:bodyDiv w:val="1"/>
      <w:marLeft w:val="0"/>
      <w:marRight w:val="0"/>
      <w:marTop w:val="0"/>
      <w:marBottom w:val="0"/>
      <w:divBdr>
        <w:top w:val="none" w:sz="0" w:space="0" w:color="auto"/>
        <w:left w:val="none" w:sz="0" w:space="0" w:color="auto"/>
        <w:bottom w:val="none" w:sz="0" w:space="0" w:color="auto"/>
        <w:right w:val="none" w:sz="0" w:space="0" w:color="auto"/>
      </w:divBdr>
      <w:divsChild>
        <w:div w:id="557672387">
          <w:marLeft w:val="0"/>
          <w:marRight w:val="0"/>
          <w:marTop w:val="0"/>
          <w:marBottom w:val="0"/>
          <w:divBdr>
            <w:top w:val="none" w:sz="0" w:space="0" w:color="auto"/>
            <w:left w:val="none" w:sz="0" w:space="0" w:color="auto"/>
            <w:bottom w:val="none" w:sz="0" w:space="0" w:color="auto"/>
            <w:right w:val="none" w:sz="0" w:space="0" w:color="auto"/>
          </w:divBdr>
          <w:divsChild>
            <w:div w:id="2045133936">
              <w:marLeft w:val="0"/>
              <w:marRight w:val="0"/>
              <w:marTop w:val="0"/>
              <w:marBottom w:val="0"/>
              <w:divBdr>
                <w:top w:val="none" w:sz="0" w:space="0" w:color="auto"/>
                <w:left w:val="none" w:sz="0" w:space="0" w:color="auto"/>
                <w:bottom w:val="none" w:sz="0" w:space="0" w:color="auto"/>
                <w:right w:val="none" w:sz="0" w:space="0" w:color="auto"/>
              </w:divBdr>
              <w:divsChild>
                <w:div w:id="2144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5846">
      <w:bodyDiv w:val="1"/>
      <w:marLeft w:val="0"/>
      <w:marRight w:val="0"/>
      <w:marTop w:val="0"/>
      <w:marBottom w:val="0"/>
      <w:divBdr>
        <w:top w:val="none" w:sz="0" w:space="0" w:color="auto"/>
        <w:left w:val="none" w:sz="0" w:space="0" w:color="auto"/>
        <w:bottom w:val="none" w:sz="0" w:space="0" w:color="auto"/>
        <w:right w:val="none" w:sz="0" w:space="0" w:color="auto"/>
      </w:divBdr>
    </w:div>
    <w:div w:id="1102646859">
      <w:bodyDiv w:val="1"/>
      <w:marLeft w:val="0"/>
      <w:marRight w:val="0"/>
      <w:marTop w:val="0"/>
      <w:marBottom w:val="0"/>
      <w:divBdr>
        <w:top w:val="none" w:sz="0" w:space="0" w:color="auto"/>
        <w:left w:val="none" w:sz="0" w:space="0" w:color="auto"/>
        <w:bottom w:val="none" w:sz="0" w:space="0" w:color="auto"/>
        <w:right w:val="none" w:sz="0" w:space="0" w:color="auto"/>
      </w:divBdr>
      <w:divsChild>
        <w:div w:id="672420122">
          <w:marLeft w:val="0"/>
          <w:marRight w:val="0"/>
          <w:marTop w:val="240"/>
          <w:marBottom w:val="0"/>
          <w:divBdr>
            <w:top w:val="none" w:sz="0" w:space="0" w:color="auto"/>
            <w:left w:val="none" w:sz="0" w:space="0" w:color="auto"/>
            <w:bottom w:val="none" w:sz="0" w:space="0" w:color="auto"/>
            <w:right w:val="none" w:sz="0" w:space="0" w:color="auto"/>
          </w:divBdr>
          <w:divsChild>
            <w:div w:id="1475872636">
              <w:marLeft w:val="0"/>
              <w:marRight w:val="0"/>
              <w:marTop w:val="0"/>
              <w:marBottom w:val="0"/>
              <w:divBdr>
                <w:top w:val="none" w:sz="0" w:space="0" w:color="auto"/>
                <w:left w:val="none" w:sz="0" w:space="0" w:color="auto"/>
                <w:bottom w:val="none" w:sz="0" w:space="0" w:color="auto"/>
                <w:right w:val="none" w:sz="0" w:space="0" w:color="auto"/>
              </w:divBdr>
              <w:divsChild>
                <w:div w:id="905726586">
                  <w:marLeft w:val="0"/>
                  <w:marRight w:val="0"/>
                  <w:marTop w:val="0"/>
                  <w:marBottom w:val="0"/>
                  <w:divBdr>
                    <w:top w:val="none" w:sz="0" w:space="0" w:color="auto"/>
                    <w:left w:val="none" w:sz="0" w:space="0" w:color="auto"/>
                    <w:bottom w:val="none" w:sz="0" w:space="0" w:color="auto"/>
                    <w:right w:val="none" w:sz="0" w:space="0" w:color="auto"/>
                  </w:divBdr>
                  <w:divsChild>
                    <w:div w:id="518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20392">
          <w:marLeft w:val="0"/>
          <w:marRight w:val="0"/>
          <w:marTop w:val="260"/>
          <w:marBottom w:val="0"/>
          <w:divBdr>
            <w:top w:val="none" w:sz="0" w:space="0" w:color="auto"/>
            <w:left w:val="none" w:sz="0" w:space="0" w:color="auto"/>
            <w:bottom w:val="none" w:sz="0" w:space="0" w:color="auto"/>
            <w:right w:val="none" w:sz="0" w:space="0" w:color="auto"/>
          </w:divBdr>
          <w:divsChild>
            <w:div w:id="1158115836">
              <w:marLeft w:val="0"/>
              <w:marRight w:val="0"/>
              <w:marTop w:val="0"/>
              <w:marBottom w:val="0"/>
              <w:divBdr>
                <w:top w:val="none" w:sz="0" w:space="0" w:color="auto"/>
                <w:left w:val="none" w:sz="0" w:space="0" w:color="auto"/>
                <w:bottom w:val="none" w:sz="0" w:space="0" w:color="auto"/>
                <w:right w:val="none" w:sz="0" w:space="0" w:color="auto"/>
              </w:divBdr>
              <w:divsChild>
                <w:div w:id="615645973">
                  <w:marLeft w:val="0"/>
                  <w:marRight w:val="0"/>
                  <w:marTop w:val="0"/>
                  <w:marBottom w:val="0"/>
                  <w:divBdr>
                    <w:top w:val="none" w:sz="0" w:space="0" w:color="auto"/>
                    <w:left w:val="none" w:sz="0" w:space="0" w:color="auto"/>
                    <w:bottom w:val="none" w:sz="0" w:space="0" w:color="auto"/>
                    <w:right w:val="none" w:sz="0" w:space="0" w:color="auto"/>
                  </w:divBdr>
                  <w:divsChild>
                    <w:div w:id="186606877">
                      <w:marLeft w:val="0"/>
                      <w:marRight w:val="0"/>
                      <w:marTop w:val="0"/>
                      <w:marBottom w:val="0"/>
                      <w:divBdr>
                        <w:top w:val="none" w:sz="0" w:space="0" w:color="auto"/>
                        <w:left w:val="none" w:sz="0" w:space="0" w:color="auto"/>
                        <w:bottom w:val="none" w:sz="0" w:space="0" w:color="auto"/>
                        <w:right w:val="none" w:sz="0" w:space="0" w:color="auto"/>
                      </w:divBdr>
                      <w:divsChild>
                        <w:div w:id="2000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113">
          <w:marLeft w:val="0"/>
          <w:marRight w:val="0"/>
          <w:marTop w:val="60"/>
          <w:marBottom w:val="0"/>
          <w:divBdr>
            <w:top w:val="none" w:sz="0" w:space="0" w:color="auto"/>
            <w:left w:val="none" w:sz="0" w:space="0" w:color="auto"/>
            <w:bottom w:val="none" w:sz="0" w:space="0" w:color="auto"/>
            <w:right w:val="none" w:sz="0" w:space="0" w:color="auto"/>
          </w:divBdr>
          <w:divsChild>
            <w:div w:id="1304315897">
              <w:marLeft w:val="0"/>
              <w:marRight w:val="0"/>
              <w:marTop w:val="0"/>
              <w:marBottom w:val="0"/>
              <w:divBdr>
                <w:top w:val="none" w:sz="0" w:space="0" w:color="auto"/>
                <w:left w:val="none" w:sz="0" w:space="0" w:color="auto"/>
                <w:bottom w:val="none" w:sz="0" w:space="0" w:color="auto"/>
                <w:right w:val="none" w:sz="0" w:space="0" w:color="auto"/>
              </w:divBdr>
              <w:divsChild>
                <w:div w:id="15497567">
                  <w:marLeft w:val="0"/>
                  <w:marRight w:val="0"/>
                  <w:marTop w:val="0"/>
                  <w:marBottom w:val="0"/>
                  <w:divBdr>
                    <w:top w:val="none" w:sz="0" w:space="0" w:color="auto"/>
                    <w:left w:val="none" w:sz="0" w:space="0" w:color="auto"/>
                    <w:bottom w:val="none" w:sz="0" w:space="0" w:color="auto"/>
                    <w:right w:val="none" w:sz="0" w:space="0" w:color="auto"/>
                  </w:divBdr>
                  <w:divsChild>
                    <w:div w:id="1486774969">
                      <w:marLeft w:val="0"/>
                      <w:marRight w:val="0"/>
                      <w:marTop w:val="0"/>
                      <w:marBottom w:val="0"/>
                      <w:divBdr>
                        <w:top w:val="none" w:sz="0" w:space="0" w:color="auto"/>
                        <w:left w:val="none" w:sz="0" w:space="0" w:color="auto"/>
                        <w:bottom w:val="none" w:sz="0" w:space="0" w:color="auto"/>
                        <w:right w:val="none" w:sz="0" w:space="0" w:color="auto"/>
                      </w:divBdr>
                      <w:divsChild>
                        <w:div w:id="1851866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7281">
      <w:bodyDiv w:val="1"/>
      <w:marLeft w:val="0"/>
      <w:marRight w:val="0"/>
      <w:marTop w:val="0"/>
      <w:marBottom w:val="0"/>
      <w:divBdr>
        <w:top w:val="none" w:sz="0" w:space="0" w:color="auto"/>
        <w:left w:val="none" w:sz="0" w:space="0" w:color="auto"/>
        <w:bottom w:val="none" w:sz="0" w:space="0" w:color="auto"/>
        <w:right w:val="none" w:sz="0" w:space="0" w:color="auto"/>
      </w:divBdr>
    </w:div>
    <w:div w:id="1136795828">
      <w:bodyDiv w:val="1"/>
      <w:marLeft w:val="0"/>
      <w:marRight w:val="0"/>
      <w:marTop w:val="0"/>
      <w:marBottom w:val="0"/>
      <w:divBdr>
        <w:top w:val="none" w:sz="0" w:space="0" w:color="auto"/>
        <w:left w:val="none" w:sz="0" w:space="0" w:color="auto"/>
        <w:bottom w:val="none" w:sz="0" w:space="0" w:color="auto"/>
        <w:right w:val="none" w:sz="0" w:space="0" w:color="auto"/>
      </w:divBdr>
    </w:div>
    <w:div w:id="1138916748">
      <w:bodyDiv w:val="1"/>
      <w:marLeft w:val="0"/>
      <w:marRight w:val="0"/>
      <w:marTop w:val="0"/>
      <w:marBottom w:val="0"/>
      <w:divBdr>
        <w:top w:val="none" w:sz="0" w:space="0" w:color="auto"/>
        <w:left w:val="none" w:sz="0" w:space="0" w:color="auto"/>
        <w:bottom w:val="none" w:sz="0" w:space="0" w:color="auto"/>
        <w:right w:val="none" w:sz="0" w:space="0" w:color="auto"/>
      </w:divBdr>
    </w:div>
    <w:div w:id="1161311332">
      <w:bodyDiv w:val="1"/>
      <w:marLeft w:val="0"/>
      <w:marRight w:val="0"/>
      <w:marTop w:val="0"/>
      <w:marBottom w:val="0"/>
      <w:divBdr>
        <w:top w:val="none" w:sz="0" w:space="0" w:color="auto"/>
        <w:left w:val="none" w:sz="0" w:space="0" w:color="auto"/>
        <w:bottom w:val="none" w:sz="0" w:space="0" w:color="auto"/>
        <w:right w:val="none" w:sz="0" w:space="0" w:color="auto"/>
      </w:divBdr>
    </w:div>
    <w:div w:id="1198351109">
      <w:bodyDiv w:val="1"/>
      <w:marLeft w:val="0"/>
      <w:marRight w:val="0"/>
      <w:marTop w:val="0"/>
      <w:marBottom w:val="0"/>
      <w:divBdr>
        <w:top w:val="none" w:sz="0" w:space="0" w:color="auto"/>
        <w:left w:val="none" w:sz="0" w:space="0" w:color="auto"/>
        <w:bottom w:val="none" w:sz="0" w:space="0" w:color="auto"/>
        <w:right w:val="none" w:sz="0" w:space="0" w:color="auto"/>
      </w:divBdr>
      <w:divsChild>
        <w:div w:id="1723288031">
          <w:marLeft w:val="0"/>
          <w:marRight w:val="0"/>
          <w:marTop w:val="260"/>
          <w:marBottom w:val="0"/>
          <w:divBdr>
            <w:top w:val="none" w:sz="0" w:space="0" w:color="auto"/>
            <w:left w:val="none" w:sz="0" w:space="0" w:color="auto"/>
            <w:bottom w:val="none" w:sz="0" w:space="0" w:color="auto"/>
            <w:right w:val="none" w:sz="0" w:space="0" w:color="auto"/>
          </w:divBdr>
          <w:divsChild>
            <w:div w:id="59180155">
              <w:marLeft w:val="0"/>
              <w:marRight w:val="0"/>
              <w:marTop w:val="0"/>
              <w:marBottom w:val="0"/>
              <w:divBdr>
                <w:top w:val="none" w:sz="0" w:space="0" w:color="auto"/>
                <w:left w:val="none" w:sz="0" w:space="0" w:color="auto"/>
                <w:bottom w:val="none" w:sz="0" w:space="0" w:color="auto"/>
                <w:right w:val="none" w:sz="0" w:space="0" w:color="auto"/>
              </w:divBdr>
              <w:divsChild>
                <w:div w:id="1734043088">
                  <w:marLeft w:val="0"/>
                  <w:marRight w:val="0"/>
                  <w:marTop w:val="0"/>
                  <w:marBottom w:val="0"/>
                  <w:divBdr>
                    <w:top w:val="none" w:sz="0" w:space="0" w:color="auto"/>
                    <w:left w:val="none" w:sz="0" w:space="0" w:color="auto"/>
                    <w:bottom w:val="none" w:sz="0" w:space="0" w:color="auto"/>
                    <w:right w:val="none" w:sz="0" w:space="0" w:color="auto"/>
                  </w:divBdr>
                  <w:divsChild>
                    <w:div w:id="552959451">
                      <w:marLeft w:val="0"/>
                      <w:marRight w:val="0"/>
                      <w:marTop w:val="0"/>
                      <w:marBottom w:val="0"/>
                      <w:divBdr>
                        <w:top w:val="none" w:sz="0" w:space="0" w:color="auto"/>
                        <w:left w:val="none" w:sz="0" w:space="0" w:color="auto"/>
                        <w:bottom w:val="none" w:sz="0" w:space="0" w:color="auto"/>
                        <w:right w:val="none" w:sz="0" w:space="0" w:color="auto"/>
                      </w:divBdr>
                      <w:divsChild>
                        <w:div w:id="6560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8507">
          <w:marLeft w:val="0"/>
          <w:marRight w:val="0"/>
          <w:marTop w:val="60"/>
          <w:marBottom w:val="0"/>
          <w:divBdr>
            <w:top w:val="none" w:sz="0" w:space="0" w:color="auto"/>
            <w:left w:val="none" w:sz="0" w:space="0" w:color="auto"/>
            <w:bottom w:val="none" w:sz="0" w:space="0" w:color="auto"/>
            <w:right w:val="none" w:sz="0" w:space="0" w:color="auto"/>
          </w:divBdr>
          <w:divsChild>
            <w:div w:id="1508403781">
              <w:marLeft w:val="0"/>
              <w:marRight w:val="0"/>
              <w:marTop w:val="0"/>
              <w:marBottom w:val="0"/>
              <w:divBdr>
                <w:top w:val="none" w:sz="0" w:space="0" w:color="auto"/>
                <w:left w:val="none" w:sz="0" w:space="0" w:color="auto"/>
                <w:bottom w:val="none" w:sz="0" w:space="0" w:color="auto"/>
                <w:right w:val="none" w:sz="0" w:space="0" w:color="auto"/>
              </w:divBdr>
              <w:divsChild>
                <w:div w:id="1717462793">
                  <w:marLeft w:val="0"/>
                  <w:marRight w:val="0"/>
                  <w:marTop w:val="0"/>
                  <w:marBottom w:val="0"/>
                  <w:divBdr>
                    <w:top w:val="none" w:sz="0" w:space="0" w:color="auto"/>
                    <w:left w:val="none" w:sz="0" w:space="0" w:color="auto"/>
                    <w:bottom w:val="none" w:sz="0" w:space="0" w:color="auto"/>
                    <w:right w:val="none" w:sz="0" w:space="0" w:color="auto"/>
                  </w:divBdr>
                  <w:divsChild>
                    <w:div w:id="75245296">
                      <w:marLeft w:val="0"/>
                      <w:marRight w:val="0"/>
                      <w:marTop w:val="0"/>
                      <w:marBottom w:val="0"/>
                      <w:divBdr>
                        <w:top w:val="none" w:sz="0" w:space="0" w:color="auto"/>
                        <w:left w:val="none" w:sz="0" w:space="0" w:color="auto"/>
                        <w:bottom w:val="none" w:sz="0" w:space="0" w:color="auto"/>
                        <w:right w:val="none" w:sz="0" w:space="0" w:color="auto"/>
                      </w:divBdr>
                      <w:divsChild>
                        <w:div w:id="4581060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132">
      <w:bodyDiv w:val="1"/>
      <w:marLeft w:val="0"/>
      <w:marRight w:val="0"/>
      <w:marTop w:val="0"/>
      <w:marBottom w:val="0"/>
      <w:divBdr>
        <w:top w:val="none" w:sz="0" w:space="0" w:color="auto"/>
        <w:left w:val="none" w:sz="0" w:space="0" w:color="auto"/>
        <w:bottom w:val="none" w:sz="0" w:space="0" w:color="auto"/>
        <w:right w:val="none" w:sz="0" w:space="0" w:color="auto"/>
      </w:divBdr>
    </w:div>
    <w:div w:id="1209024740">
      <w:bodyDiv w:val="1"/>
      <w:marLeft w:val="0"/>
      <w:marRight w:val="0"/>
      <w:marTop w:val="0"/>
      <w:marBottom w:val="0"/>
      <w:divBdr>
        <w:top w:val="none" w:sz="0" w:space="0" w:color="auto"/>
        <w:left w:val="none" w:sz="0" w:space="0" w:color="auto"/>
        <w:bottom w:val="none" w:sz="0" w:space="0" w:color="auto"/>
        <w:right w:val="none" w:sz="0" w:space="0" w:color="auto"/>
      </w:divBdr>
    </w:div>
    <w:div w:id="1218518697">
      <w:bodyDiv w:val="1"/>
      <w:marLeft w:val="0"/>
      <w:marRight w:val="0"/>
      <w:marTop w:val="0"/>
      <w:marBottom w:val="0"/>
      <w:divBdr>
        <w:top w:val="none" w:sz="0" w:space="0" w:color="auto"/>
        <w:left w:val="none" w:sz="0" w:space="0" w:color="auto"/>
        <w:bottom w:val="none" w:sz="0" w:space="0" w:color="auto"/>
        <w:right w:val="none" w:sz="0" w:space="0" w:color="auto"/>
      </w:divBdr>
    </w:div>
    <w:div w:id="1235816215">
      <w:bodyDiv w:val="1"/>
      <w:marLeft w:val="0"/>
      <w:marRight w:val="0"/>
      <w:marTop w:val="0"/>
      <w:marBottom w:val="0"/>
      <w:divBdr>
        <w:top w:val="none" w:sz="0" w:space="0" w:color="auto"/>
        <w:left w:val="none" w:sz="0" w:space="0" w:color="auto"/>
        <w:bottom w:val="none" w:sz="0" w:space="0" w:color="auto"/>
        <w:right w:val="none" w:sz="0" w:space="0" w:color="auto"/>
      </w:divBdr>
    </w:div>
    <w:div w:id="1245263543">
      <w:bodyDiv w:val="1"/>
      <w:marLeft w:val="0"/>
      <w:marRight w:val="0"/>
      <w:marTop w:val="0"/>
      <w:marBottom w:val="0"/>
      <w:divBdr>
        <w:top w:val="none" w:sz="0" w:space="0" w:color="auto"/>
        <w:left w:val="none" w:sz="0" w:space="0" w:color="auto"/>
        <w:bottom w:val="none" w:sz="0" w:space="0" w:color="auto"/>
        <w:right w:val="none" w:sz="0" w:space="0" w:color="auto"/>
      </w:divBdr>
      <w:divsChild>
        <w:div w:id="2050181699">
          <w:marLeft w:val="0"/>
          <w:marRight w:val="0"/>
          <w:marTop w:val="0"/>
          <w:marBottom w:val="0"/>
          <w:divBdr>
            <w:top w:val="none" w:sz="0" w:space="0" w:color="auto"/>
            <w:left w:val="none" w:sz="0" w:space="0" w:color="auto"/>
            <w:bottom w:val="none" w:sz="0" w:space="0" w:color="auto"/>
            <w:right w:val="none" w:sz="0" w:space="0" w:color="auto"/>
          </w:divBdr>
        </w:div>
        <w:div w:id="374476519">
          <w:marLeft w:val="0"/>
          <w:marRight w:val="0"/>
          <w:marTop w:val="0"/>
          <w:marBottom w:val="0"/>
          <w:divBdr>
            <w:top w:val="none" w:sz="0" w:space="0" w:color="auto"/>
            <w:left w:val="none" w:sz="0" w:space="0" w:color="auto"/>
            <w:bottom w:val="none" w:sz="0" w:space="0" w:color="auto"/>
            <w:right w:val="none" w:sz="0" w:space="0" w:color="auto"/>
          </w:divBdr>
        </w:div>
      </w:divsChild>
    </w:div>
    <w:div w:id="1247223166">
      <w:bodyDiv w:val="1"/>
      <w:marLeft w:val="0"/>
      <w:marRight w:val="0"/>
      <w:marTop w:val="0"/>
      <w:marBottom w:val="0"/>
      <w:divBdr>
        <w:top w:val="none" w:sz="0" w:space="0" w:color="auto"/>
        <w:left w:val="none" w:sz="0" w:space="0" w:color="auto"/>
        <w:bottom w:val="none" w:sz="0" w:space="0" w:color="auto"/>
        <w:right w:val="none" w:sz="0" w:space="0" w:color="auto"/>
      </w:divBdr>
      <w:divsChild>
        <w:div w:id="279147935">
          <w:marLeft w:val="0"/>
          <w:marRight w:val="0"/>
          <w:marTop w:val="0"/>
          <w:marBottom w:val="0"/>
          <w:divBdr>
            <w:top w:val="none" w:sz="0" w:space="0" w:color="auto"/>
            <w:left w:val="none" w:sz="0" w:space="0" w:color="auto"/>
            <w:bottom w:val="none" w:sz="0" w:space="0" w:color="auto"/>
            <w:right w:val="none" w:sz="0" w:space="0" w:color="auto"/>
          </w:divBdr>
          <w:divsChild>
            <w:div w:id="1403522580">
              <w:marLeft w:val="0"/>
              <w:marRight w:val="0"/>
              <w:marTop w:val="0"/>
              <w:marBottom w:val="0"/>
              <w:divBdr>
                <w:top w:val="none" w:sz="0" w:space="0" w:color="auto"/>
                <w:left w:val="none" w:sz="0" w:space="0" w:color="auto"/>
                <w:bottom w:val="none" w:sz="0" w:space="0" w:color="auto"/>
                <w:right w:val="none" w:sz="0" w:space="0" w:color="auto"/>
              </w:divBdr>
            </w:div>
          </w:divsChild>
        </w:div>
        <w:div w:id="368384594">
          <w:marLeft w:val="0"/>
          <w:marRight w:val="0"/>
          <w:marTop w:val="0"/>
          <w:marBottom w:val="0"/>
          <w:divBdr>
            <w:top w:val="none" w:sz="0" w:space="0" w:color="auto"/>
            <w:left w:val="none" w:sz="0" w:space="0" w:color="auto"/>
            <w:bottom w:val="none" w:sz="0" w:space="0" w:color="auto"/>
            <w:right w:val="none" w:sz="0" w:space="0" w:color="auto"/>
          </w:divBdr>
          <w:divsChild>
            <w:div w:id="20297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8200">
      <w:bodyDiv w:val="1"/>
      <w:marLeft w:val="0"/>
      <w:marRight w:val="0"/>
      <w:marTop w:val="0"/>
      <w:marBottom w:val="0"/>
      <w:divBdr>
        <w:top w:val="none" w:sz="0" w:space="0" w:color="auto"/>
        <w:left w:val="none" w:sz="0" w:space="0" w:color="auto"/>
        <w:bottom w:val="none" w:sz="0" w:space="0" w:color="auto"/>
        <w:right w:val="none" w:sz="0" w:space="0" w:color="auto"/>
      </w:divBdr>
    </w:div>
    <w:div w:id="1254239071">
      <w:bodyDiv w:val="1"/>
      <w:marLeft w:val="0"/>
      <w:marRight w:val="0"/>
      <w:marTop w:val="0"/>
      <w:marBottom w:val="0"/>
      <w:divBdr>
        <w:top w:val="none" w:sz="0" w:space="0" w:color="auto"/>
        <w:left w:val="none" w:sz="0" w:space="0" w:color="auto"/>
        <w:bottom w:val="none" w:sz="0" w:space="0" w:color="auto"/>
        <w:right w:val="none" w:sz="0" w:space="0" w:color="auto"/>
      </w:divBdr>
    </w:div>
    <w:div w:id="1259630957">
      <w:bodyDiv w:val="1"/>
      <w:marLeft w:val="0"/>
      <w:marRight w:val="0"/>
      <w:marTop w:val="0"/>
      <w:marBottom w:val="0"/>
      <w:divBdr>
        <w:top w:val="none" w:sz="0" w:space="0" w:color="auto"/>
        <w:left w:val="none" w:sz="0" w:space="0" w:color="auto"/>
        <w:bottom w:val="none" w:sz="0" w:space="0" w:color="auto"/>
        <w:right w:val="none" w:sz="0" w:space="0" w:color="auto"/>
      </w:divBdr>
      <w:divsChild>
        <w:div w:id="421608411">
          <w:marLeft w:val="0"/>
          <w:marRight w:val="0"/>
          <w:marTop w:val="0"/>
          <w:marBottom w:val="0"/>
          <w:divBdr>
            <w:top w:val="none" w:sz="0" w:space="0" w:color="auto"/>
            <w:left w:val="none" w:sz="0" w:space="0" w:color="auto"/>
            <w:bottom w:val="none" w:sz="0" w:space="0" w:color="auto"/>
            <w:right w:val="none" w:sz="0" w:space="0" w:color="auto"/>
          </w:divBdr>
        </w:div>
      </w:divsChild>
    </w:div>
    <w:div w:id="1262911295">
      <w:bodyDiv w:val="1"/>
      <w:marLeft w:val="0"/>
      <w:marRight w:val="0"/>
      <w:marTop w:val="0"/>
      <w:marBottom w:val="0"/>
      <w:divBdr>
        <w:top w:val="none" w:sz="0" w:space="0" w:color="auto"/>
        <w:left w:val="none" w:sz="0" w:space="0" w:color="auto"/>
        <w:bottom w:val="none" w:sz="0" w:space="0" w:color="auto"/>
        <w:right w:val="none" w:sz="0" w:space="0" w:color="auto"/>
      </w:divBdr>
      <w:divsChild>
        <w:div w:id="279341546">
          <w:marLeft w:val="0"/>
          <w:marRight w:val="0"/>
          <w:marTop w:val="0"/>
          <w:marBottom w:val="0"/>
          <w:divBdr>
            <w:top w:val="none" w:sz="0" w:space="0" w:color="auto"/>
            <w:left w:val="none" w:sz="0" w:space="0" w:color="auto"/>
            <w:bottom w:val="none" w:sz="0" w:space="0" w:color="auto"/>
            <w:right w:val="none" w:sz="0" w:space="0" w:color="auto"/>
          </w:divBdr>
        </w:div>
        <w:div w:id="1438452302">
          <w:marLeft w:val="0"/>
          <w:marRight w:val="0"/>
          <w:marTop w:val="0"/>
          <w:marBottom w:val="0"/>
          <w:divBdr>
            <w:top w:val="none" w:sz="0" w:space="0" w:color="auto"/>
            <w:left w:val="none" w:sz="0" w:space="0" w:color="auto"/>
            <w:bottom w:val="none" w:sz="0" w:space="0" w:color="auto"/>
            <w:right w:val="none" w:sz="0" w:space="0" w:color="auto"/>
          </w:divBdr>
        </w:div>
        <w:div w:id="1821118439">
          <w:marLeft w:val="0"/>
          <w:marRight w:val="0"/>
          <w:marTop w:val="0"/>
          <w:marBottom w:val="0"/>
          <w:divBdr>
            <w:top w:val="none" w:sz="0" w:space="0" w:color="auto"/>
            <w:left w:val="none" w:sz="0" w:space="0" w:color="auto"/>
            <w:bottom w:val="none" w:sz="0" w:space="0" w:color="auto"/>
            <w:right w:val="none" w:sz="0" w:space="0" w:color="auto"/>
          </w:divBdr>
        </w:div>
      </w:divsChild>
    </w:div>
    <w:div w:id="1294867779">
      <w:bodyDiv w:val="1"/>
      <w:marLeft w:val="0"/>
      <w:marRight w:val="0"/>
      <w:marTop w:val="0"/>
      <w:marBottom w:val="0"/>
      <w:divBdr>
        <w:top w:val="none" w:sz="0" w:space="0" w:color="auto"/>
        <w:left w:val="none" w:sz="0" w:space="0" w:color="auto"/>
        <w:bottom w:val="none" w:sz="0" w:space="0" w:color="auto"/>
        <w:right w:val="none" w:sz="0" w:space="0" w:color="auto"/>
      </w:divBdr>
    </w:div>
    <w:div w:id="1310865189">
      <w:bodyDiv w:val="1"/>
      <w:marLeft w:val="0"/>
      <w:marRight w:val="0"/>
      <w:marTop w:val="0"/>
      <w:marBottom w:val="0"/>
      <w:divBdr>
        <w:top w:val="none" w:sz="0" w:space="0" w:color="auto"/>
        <w:left w:val="none" w:sz="0" w:space="0" w:color="auto"/>
        <w:bottom w:val="none" w:sz="0" w:space="0" w:color="auto"/>
        <w:right w:val="none" w:sz="0" w:space="0" w:color="auto"/>
      </w:divBdr>
      <w:divsChild>
        <w:div w:id="30158433">
          <w:marLeft w:val="0"/>
          <w:marRight w:val="0"/>
          <w:marTop w:val="0"/>
          <w:marBottom w:val="0"/>
          <w:divBdr>
            <w:top w:val="none" w:sz="0" w:space="0" w:color="auto"/>
            <w:left w:val="none" w:sz="0" w:space="0" w:color="auto"/>
            <w:bottom w:val="none" w:sz="0" w:space="0" w:color="auto"/>
            <w:right w:val="none" w:sz="0" w:space="0" w:color="auto"/>
          </w:divBdr>
        </w:div>
        <w:div w:id="63188819">
          <w:marLeft w:val="0"/>
          <w:marRight w:val="0"/>
          <w:marTop w:val="0"/>
          <w:marBottom w:val="0"/>
          <w:divBdr>
            <w:top w:val="none" w:sz="0" w:space="0" w:color="auto"/>
            <w:left w:val="none" w:sz="0" w:space="0" w:color="auto"/>
            <w:bottom w:val="none" w:sz="0" w:space="0" w:color="auto"/>
            <w:right w:val="none" w:sz="0" w:space="0" w:color="auto"/>
          </w:divBdr>
          <w:divsChild>
            <w:div w:id="825784288">
              <w:marLeft w:val="0"/>
              <w:marRight w:val="0"/>
              <w:marTop w:val="0"/>
              <w:marBottom w:val="0"/>
              <w:divBdr>
                <w:top w:val="none" w:sz="0" w:space="0" w:color="auto"/>
                <w:left w:val="none" w:sz="0" w:space="0" w:color="auto"/>
                <w:bottom w:val="none" w:sz="0" w:space="0" w:color="auto"/>
                <w:right w:val="none" w:sz="0" w:space="0" w:color="auto"/>
              </w:divBdr>
              <w:divsChild>
                <w:div w:id="942760551">
                  <w:marLeft w:val="0"/>
                  <w:marRight w:val="0"/>
                  <w:marTop w:val="0"/>
                  <w:marBottom w:val="0"/>
                  <w:divBdr>
                    <w:top w:val="none" w:sz="0" w:space="0" w:color="auto"/>
                    <w:left w:val="none" w:sz="0" w:space="0" w:color="auto"/>
                    <w:bottom w:val="none" w:sz="0" w:space="0" w:color="auto"/>
                    <w:right w:val="none" w:sz="0" w:space="0" w:color="auto"/>
                  </w:divBdr>
                </w:div>
                <w:div w:id="1106387271">
                  <w:marLeft w:val="0"/>
                  <w:marRight w:val="0"/>
                  <w:marTop w:val="0"/>
                  <w:marBottom w:val="0"/>
                  <w:divBdr>
                    <w:top w:val="none" w:sz="0" w:space="0" w:color="auto"/>
                    <w:left w:val="none" w:sz="0" w:space="0" w:color="auto"/>
                    <w:bottom w:val="none" w:sz="0" w:space="0" w:color="auto"/>
                    <w:right w:val="none" w:sz="0" w:space="0" w:color="auto"/>
                  </w:divBdr>
                  <w:divsChild>
                    <w:div w:id="1412855174">
                      <w:marLeft w:val="0"/>
                      <w:marRight w:val="0"/>
                      <w:marTop w:val="0"/>
                      <w:marBottom w:val="0"/>
                      <w:divBdr>
                        <w:top w:val="none" w:sz="0" w:space="0" w:color="auto"/>
                        <w:left w:val="none" w:sz="0" w:space="0" w:color="auto"/>
                        <w:bottom w:val="none" w:sz="0" w:space="0" w:color="auto"/>
                        <w:right w:val="none" w:sz="0" w:space="0" w:color="auto"/>
                      </w:divBdr>
                      <w:divsChild>
                        <w:div w:id="412161454">
                          <w:marLeft w:val="0"/>
                          <w:marRight w:val="0"/>
                          <w:marTop w:val="0"/>
                          <w:marBottom w:val="0"/>
                          <w:divBdr>
                            <w:top w:val="none" w:sz="0" w:space="0" w:color="auto"/>
                            <w:left w:val="none" w:sz="0" w:space="0" w:color="auto"/>
                            <w:bottom w:val="none" w:sz="0" w:space="0" w:color="auto"/>
                            <w:right w:val="none" w:sz="0" w:space="0" w:color="auto"/>
                          </w:divBdr>
                          <w:divsChild>
                            <w:div w:id="1959336228">
                              <w:marLeft w:val="0"/>
                              <w:marRight w:val="0"/>
                              <w:marTop w:val="0"/>
                              <w:marBottom w:val="0"/>
                              <w:divBdr>
                                <w:top w:val="none" w:sz="0" w:space="0" w:color="auto"/>
                                <w:left w:val="none" w:sz="0" w:space="0" w:color="auto"/>
                                <w:bottom w:val="none" w:sz="0" w:space="0" w:color="auto"/>
                                <w:right w:val="none" w:sz="0" w:space="0" w:color="auto"/>
                              </w:divBdr>
                              <w:divsChild>
                                <w:div w:id="843974409">
                                  <w:marLeft w:val="0"/>
                                  <w:marRight w:val="0"/>
                                  <w:marTop w:val="0"/>
                                  <w:marBottom w:val="0"/>
                                  <w:divBdr>
                                    <w:top w:val="none" w:sz="0" w:space="0" w:color="auto"/>
                                    <w:left w:val="none" w:sz="0" w:space="0" w:color="auto"/>
                                    <w:bottom w:val="none" w:sz="0" w:space="0" w:color="auto"/>
                                    <w:right w:val="none" w:sz="0" w:space="0" w:color="auto"/>
                                  </w:divBdr>
                                  <w:divsChild>
                                    <w:div w:id="1345984246">
                                      <w:marLeft w:val="0"/>
                                      <w:marRight w:val="0"/>
                                      <w:marTop w:val="0"/>
                                      <w:marBottom w:val="0"/>
                                      <w:divBdr>
                                        <w:top w:val="none" w:sz="0" w:space="0" w:color="auto"/>
                                        <w:left w:val="none" w:sz="0" w:space="0" w:color="auto"/>
                                        <w:bottom w:val="none" w:sz="0" w:space="0" w:color="auto"/>
                                        <w:right w:val="none" w:sz="0" w:space="0" w:color="auto"/>
                                      </w:divBdr>
                                    </w:div>
                                    <w:div w:id="1580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7144">
                  <w:marLeft w:val="0"/>
                  <w:marRight w:val="0"/>
                  <w:marTop w:val="0"/>
                  <w:marBottom w:val="0"/>
                  <w:divBdr>
                    <w:top w:val="none" w:sz="0" w:space="0" w:color="auto"/>
                    <w:left w:val="none" w:sz="0" w:space="0" w:color="auto"/>
                    <w:bottom w:val="none" w:sz="0" w:space="0" w:color="auto"/>
                    <w:right w:val="none" w:sz="0" w:space="0" w:color="auto"/>
                  </w:divBdr>
                </w:div>
                <w:div w:id="2010906953">
                  <w:marLeft w:val="0"/>
                  <w:marRight w:val="0"/>
                  <w:marTop w:val="0"/>
                  <w:marBottom w:val="0"/>
                  <w:divBdr>
                    <w:top w:val="none" w:sz="0" w:space="0" w:color="auto"/>
                    <w:left w:val="none" w:sz="0" w:space="0" w:color="auto"/>
                    <w:bottom w:val="none" w:sz="0" w:space="0" w:color="auto"/>
                    <w:right w:val="none" w:sz="0" w:space="0" w:color="auto"/>
                  </w:divBdr>
                  <w:divsChild>
                    <w:div w:id="963122020">
                      <w:marLeft w:val="0"/>
                      <w:marRight w:val="0"/>
                      <w:marTop w:val="0"/>
                      <w:marBottom w:val="0"/>
                      <w:divBdr>
                        <w:top w:val="none" w:sz="0" w:space="0" w:color="auto"/>
                        <w:left w:val="none" w:sz="0" w:space="0" w:color="auto"/>
                        <w:bottom w:val="none" w:sz="0" w:space="0" w:color="auto"/>
                        <w:right w:val="none" w:sz="0" w:space="0" w:color="auto"/>
                      </w:divBdr>
                      <w:divsChild>
                        <w:div w:id="620233446">
                          <w:marLeft w:val="0"/>
                          <w:marRight w:val="0"/>
                          <w:marTop w:val="0"/>
                          <w:marBottom w:val="0"/>
                          <w:divBdr>
                            <w:top w:val="none" w:sz="0" w:space="0" w:color="auto"/>
                            <w:left w:val="none" w:sz="0" w:space="0" w:color="auto"/>
                            <w:bottom w:val="none" w:sz="0" w:space="0" w:color="auto"/>
                            <w:right w:val="none" w:sz="0" w:space="0" w:color="auto"/>
                          </w:divBdr>
                          <w:divsChild>
                            <w:div w:id="1194727343">
                              <w:marLeft w:val="0"/>
                              <w:marRight w:val="0"/>
                              <w:marTop w:val="0"/>
                              <w:marBottom w:val="0"/>
                              <w:divBdr>
                                <w:top w:val="none" w:sz="0" w:space="0" w:color="auto"/>
                                <w:left w:val="none" w:sz="0" w:space="0" w:color="auto"/>
                                <w:bottom w:val="none" w:sz="0" w:space="0" w:color="auto"/>
                                <w:right w:val="none" w:sz="0" w:space="0" w:color="auto"/>
                              </w:divBdr>
                              <w:divsChild>
                                <w:div w:id="1855534839">
                                  <w:marLeft w:val="0"/>
                                  <w:marRight w:val="0"/>
                                  <w:marTop w:val="0"/>
                                  <w:marBottom w:val="0"/>
                                  <w:divBdr>
                                    <w:top w:val="none" w:sz="0" w:space="0" w:color="auto"/>
                                    <w:left w:val="none" w:sz="0" w:space="0" w:color="auto"/>
                                    <w:bottom w:val="none" w:sz="0" w:space="0" w:color="auto"/>
                                    <w:right w:val="none" w:sz="0" w:space="0" w:color="auto"/>
                                  </w:divBdr>
                                  <w:divsChild>
                                    <w:div w:id="108015005">
                                      <w:marLeft w:val="0"/>
                                      <w:marRight w:val="0"/>
                                      <w:marTop w:val="0"/>
                                      <w:marBottom w:val="0"/>
                                      <w:divBdr>
                                        <w:top w:val="none" w:sz="0" w:space="0" w:color="auto"/>
                                        <w:left w:val="none" w:sz="0" w:space="0" w:color="auto"/>
                                        <w:bottom w:val="none" w:sz="0" w:space="0" w:color="auto"/>
                                        <w:right w:val="none" w:sz="0" w:space="0" w:color="auto"/>
                                      </w:divBdr>
                                    </w:div>
                                    <w:div w:id="2117089700">
                                      <w:marLeft w:val="0"/>
                                      <w:marRight w:val="0"/>
                                      <w:marTop w:val="0"/>
                                      <w:marBottom w:val="0"/>
                                      <w:divBdr>
                                        <w:top w:val="none" w:sz="0" w:space="0" w:color="auto"/>
                                        <w:left w:val="none" w:sz="0" w:space="0" w:color="auto"/>
                                        <w:bottom w:val="none" w:sz="0" w:space="0" w:color="auto"/>
                                        <w:right w:val="none" w:sz="0" w:space="0" w:color="auto"/>
                                      </w:divBdr>
                                    </w:div>
                                  </w:divsChild>
                                </w:div>
                                <w:div w:id="2006664902">
                                  <w:marLeft w:val="0"/>
                                  <w:marRight w:val="0"/>
                                  <w:marTop w:val="0"/>
                                  <w:marBottom w:val="0"/>
                                  <w:divBdr>
                                    <w:top w:val="none" w:sz="0" w:space="0" w:color="auto"/>
                                    <w:left w:val="none" w:sz="0" w:space="0" w:color="auto"/>
                                    <w:bottom w:val="none" w:sz="0" w:space="0" w:color="auto"/>
                                    <w:right w:val="none" w:sz="0" w:space="0" w:color="auto"/>
                                  </w:divBdr>
                                  <w:divsChild>
                                    <w:div w:id="1009141361">
                                      <w:marLeft w:val="0"/>
                                      <w:marRight w:val="0"/>
                                      <w:marTop w:val="0"/>
                                      <w:marBottom w:val="0"/>
                                      <w:divBdr>
                                        <w:top w:val="none" w:sz="0" w:space="0" w:color="auto"/>
                                        <w:left w:val="none" w:sz="0" w:space="0" w:color="auto"/>
                                        <w:bottom w:val="none" w:sz="0" w:space="0" w:color="auto"/>
                                        <w:right w:val="none" w:sz="0" w:space="0" w:color="auto"/>
                                      </w:divBdr>
                                    </w:div>
                                    <w:div w:id="21263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157">
                          <w:marLeft w:val="0"/>
                          <w:marRight w:val="0"/>
                          <w:marTop w:val="0"/>
                          <w:marBottom w:val="0"/>
                          <w:divBdr>
                            <w:top w:val="none" w:sz="0" w:space="0" w:color="auto"/>
                            <w:left w:val="none" w:sz="0" w:space="0" w:color="auto"/>
                            <w:bottom w:val="none" w:sz="0" w:space="0" w:color="auto"/>
                            <w:right w:val="none" w:sz="0" w:space="0" w:color="auto"/>
                          </w:divBdr>
                          <w:divsChild>
                            <w:div w:id="1419596862">
                              <w:marLeft w:val="0"/>
                              <w:marRight w:val="0"/>
                              <w:marTop w:val="0"/>
                              <w:marBottom w:val="0"/>
                              <w:divBdr>
                                <w:top w:val="none" w:sz="0" w:space="0" w:color="auto"/>
                                <w:left w:val="none" w:sz="0" w:space="0" w:color="auto"/>
                                <w:bottom w:val="none" w:sz="0" w:space="0" w:color="auto"/>
                                <w:right w:val="none" w:sz="0" w:space="0" w:color="auto"/>
                              </w:divBdr>
                              <w:divsChild>
                                <w:div w:id="8855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411">
          <w:marLeft w:val="0"/>
          <w:marRight w:val="0"/>
          <w:marTop w:val="0"/>
          <w:marBottom w:val="0"/>
          <w:divBdr>
            <w:top w:val="none" w:sz="0" w:space="0" w:color="auto"/>
            <w:left w:val="none" w:sz="0" w:space="0" w:color="auto"/>
            <w:bottom w:val="none" w:sz="0" w:space="0" w:color="auto"/>
            <w:right w:val="none" w:sz="0" w:space="0" w:color="auto"/>
          </w:divBdr>
        </w:div>
        <w:div w:id="162166490">
          <w:marLeft w:val="0"/>
          <w:marRight w:val="0"/>
          <w:marTop w:val="0"/>
          <w:marBottom w:val="0"/>
          <w:divBdr>
            <w:top w:val="none" w:sz="0" w:space="0" w:color="auto"/>
            <w:left w:val="none" w:sz="0" w:space="0" w:color="auto"/>
            <w:bottom w:val="none" w:sz="0" w:space="0" w:color="auto"/>
            <w:right w:val="none" w:sz="0" w:space="0" w:color="auto"/>
          </w:divBdr>
        </w:div>
        <w:div w:id="162935612">
          <w:marLeft w:val="0"/>
          <w:marRight w:val="0"/>
          <w:marTop w:val="0"/>
          <w:marBottom w:val="0"/>
          <w:divBdr>
            <w:top w:val="none" w:sz="0" w:space="0" w:color="auto"/>
            <w:left w:val="none" w:sz="0" w:space="0" w:color="auto"/>
            <w:bottom w:val="none" w:sz="0" w:space="0" w:color="auto"/>
            <w:right w:val="none" w:sz="0" w:space="0" w:color="auto"/>
          </w:divBdr>
        </w:div>
        <w:div w:id="299118317">
          <w:marLeft w:val="0"/>
          <w:marRight w:val="0"/>
          <w:marTop w:val="0"/>
          <w:marBottom w:val="0"/>
          <w:divBdr>
            <w:top w:val="none" w:sz="0" w:space="0" w:color="auto"/>
            <w:left w:val="none" w:sz="0" w:space="0" w:color="auto"/>
            <w:bottom w:val="none" w:sz="0" w:space="0" w:color="auto"/>
            <w:right w:val="none" w:sz="0" w:space="0" w:color="auto"/>
          </w:divBdr>
        </w:div>
        <w:div w:id="440152528">
          <w:marLeft w:val="0"/>
          <w:marRight w:val="0"/>
          <w:marTop w:val="0"/>
          <w:marBottom w:val="0"/>
          <w:divBdr>
            <w:top w:val="none" w:sz="0" w:space="0" w:color="auto"/>
            <w:left w:val="none" w:sz="0" w:space="0" w:color="auto"/>
            <w:bottom w:val="none" w:sz="0" w:space="0" w:color="auto"/>
            <w:right w:val="none" w:sz="0" w:space="0" w:color="auto"/>
          </w:divBdr>
        </w:div>
        <w:div w:id="494952065">
          <w:marLeft w:val="0"/>
          <w:marRight w:val="0"/>
          <w:marTop w:val="0"/>
          <w:marBottom w:val="0"/>
          <w:divBdr>
            <w:top w:val="none" w:sz="0" w:space="0" w:color="auto"/>
            <w:left w:val="none" w:sz="0" w:space="0" w:color="auto"/>
            <w:bottom w:val="none" w:sz="0" w:space="0" w:color="auto"/>
            <w:right w:val="none" w:sz="0" w:space="0" w:color="auto"/>
          </w:divBdr>
        </w:div>
        <w:div w:id="584999008">
          <w:marLeft w:val="0"/>
          <w:marRight w:val="0"/>
          <w:marTop w:val="0"/>
          <w:marBottom w:val="0"/>
          <w:divBdr>
            <w:top w:val="none" w:sz="0" w:space="0" w:color="auto"/>
            <w:left w:val="none" w:sz="0" w:space="0" w:color="auto"/>
            <w:bottom w:val="none" w:sz="0" w:space="0" w:color="auto"/>
            <w:right w:val="none" w:sz="0" w:space="0" w:color="auto"/>
          </w:divBdr>
        </w:div>
        <w:div w:id="623579577">
          <w:marLeft w:val="0"/>
          <w:marRight w:val="0"/>
          <w:marTop w:val="0"/>
          <w:marBottom w:val="0"/>
          <w:divBdr>
            <w:top w:val="none" w:sz="0" w:space="0" w:color="auto"/>
            <w:left w:val="none" w:sz="0" w:space="0" w:color="auto"/>
            <w:bottom w:val="none" w:sz="0" w:space="0" w:color="auto"/>
            <w:right w:val="none" w:sz="0" w:space="0" w:color="auto"/>
          </w:divBdr>
        </w:div>
        <w:div w:id="630601659">
          <w:marLeft w:val="0"/>
          <w:marRight w:val="0"/>
          <w:marTop w:val="0"/>
          <w:marBottom w:val="0"/>
          <w:divBdr>
            <w:top w:val="none" w:sz="0" w:space="0" w:color="auto"/>
            <w:left w:val="none" w:sz="0" w:space="0" w:color="auto"/>
            <w:bottom w:val="none" w:sz="0" w:space="0" w:color="auto"/>
            <w:right w:val="none" w:sz="0" w:space="0" w:color="auto"/>
          </w:divBdr>
        </w:div>
        <w:div w:id="693069348">
          <w:marLeft w:val="0"/>
          <w:marRight w:val="0"/>
          <w:marTop w:val="0"/>
          <w:marBottom w:val="0"/>
          <w:divBdr>
            <w:top w:val="none" w:sz="0" w:space="0" w:color="auto"/>
            <w:left w:val="none" w:sz="0" w:space="0" w:color="auto"/>
            <w:bottom w:val="none" w:sz="0" w:space="0" w:color="auto"/>
            <w:right w:val="none" w:sz="0" w:space="0" w:color="auto"/>
          </w:divBdr>
        </w:div>
        <w:div w:id="698354352">
          <w:marLeft w:val="0"/>
          <w:marRight w:val="0"/>
          <w:marTop w:val="0"/>
          <w:marBottom w:val="0"/>
          <w:divBdr>
            <w:top w:val="none" w:sz="0" w:space="0" w:color="auto"/>
            <w:left w:val="none" w:sz="0" w:space="0" w:color="auto"/>
            <w:bottom w:val="none" w:sz="0" w:space="0" w:color="auto"/>
            <w:right w:val="none" w:sz="0" w:space="0" w:color="auto"/>
          </w:divBdr>
        </w:div>
        <w:div w:id="714084852">
          <w:marLeft w:val="0"/>
          <w:marRight w:val="0"/>
          <w:marTop w:val="0"/>
          <w:marBottom w:val="0"/>
          <w:divBdr>
            <w:top w:val="none" w:sz="0" w:space="0" w:color="auto"/>
            <w:left w:val="none" w:sz="0" w:space="0" w:color="auto"/>
            <w:bottom w:val="none" w:sz="0" w:space="0" w:color="auto"/>
            <w:right w:val="none" w:sz="0" w:space="0" w:color="auto"/>
          </w:divBdr>
        </w:div>
        <w:div w:id="733285133">
          <w:marLeft w:val="0"/>
          <w:marRight w:val="0"/>
          <w:marTop w:val="0"/>
          <w:marBottom w:val="0"/>
          <w:divBdr>
            <w:top w:val="none" w:sz="0" w:space="0" w:color="auto"/>
            <w:left w:val="none" w:sz="0" w:space="0" w:color="auto"/>
            <w:bottom w:val="none" w:sz="0" w:space="0" w:color="auto"/>
            <w:right w:val="none" w:sz="0" w:space="0" w:color="auto"/>
          </w:divBdr>
        </w:div>
        <w:div w:id="735517683">
          <w:marLeft w:val="0"/>
          <w:marRight w:val="0"/>
          <w:marTop w:val="0"/>
          <w:marBottom w:val="0"/>
          <w:divBdr>
            <w:top w:val="none" w:sz="0" w:space="0" w:color="auto"/>
            <w:left w:val="none" w:sz="0" w:space="0" w:color="auto"/>
            <w:bottom w:val="none" w:sz="0" w:space="0" w:color="auto"/>
            <w:right w:val="none" w:sz="0" w:space="0" w:color="auto"/>
          </w:divBdr>
        </w:div>
        <w:div w:id="739209592">
          <w:marLeft w:val="0"/>
          <w:marRight w:val="0"/>
          <w:marTop w:val="0"/>
          <w:marBottom w:val="0"/>
          <w:divBdr>
            <w:top w:val="none" w:sz="0" w:space="0" w:color="auto"/>
            <w:left w:val="none" w:sz="0" w:space="0" w:color="auto"/>
            <w:bottom w:val="none" w:sz="0" w:space="0" w:color="auto"/>
            <w:right w:val="none" w:sz="0" w:space="0" w:color="auto"/>
          </w:divBdr>
        </w:div>
        <w:div w:id="759838758">
          <w:marLeft w:val="0"/>
          <w:marRight w:val="0"/>
          <w:marTop w:val="0"/>
          <w:marBottom w:val="0"/>
          <w:divBdr>
            <w:top w:val="none" w:sz="0" w:space="0" w:color="auto"/>
            <w:left w:val="none" w:sz="0" w:space="0" w:color="auto"/>
            <w:bottom w:val="none" w:sz="0" w:space="0" w:color="auto"/>
            <w:right w:val="none" w:sz="0" w:space="0" w:color="auto"/>
          </w:divBdr>
        </w:div>
        <w:div w:id="846822320">
          <w:marLeft w:val="0"/>
          <w:marRight w:val="0"/>
          <w:marTop w:val="0"/>
          <w:marBottom w:val="0"/>
          <w:divBdr>
            <w:top w:val="none" w:sz="0" w:space="0" w:color="auto"/>
            <w:left w:val="none" w:sz="0" w:space="0" w:color="auto"/>
            <w:bottom w:val="none" w:sz="0" w:space="0" w:color="auto"/>
            <w:right w:val="none" w:sz="0" w:space="0" w:color="auto"/>
          </w:divBdr>
        </w:div>
        <w:div w:id="877350819">
          <w:marLeft w:val="0"/>
          <w:marRight w:val="0"/>
          <w:marTop w:val="0"/>
          <w:marBottom w:val="0"/>
          <w:divBdr>
            <w:top w:val="none" w:sz="0" w:space="0" w:color="auto"/>
            <w:left w:val="none" w:sz="0" w:space="0" w:color="auto"/>
            <w:bottom w:val="none" w:sz="0" w:space="0" w:color="auto"/>
            <w:right w:val="none" w:sz="0" w:space="0" w:color="auto"/>
          </w:divBdr>
        </w:div>
        <w:div w:id="929586932">
          <w:marLeft w:val="0"/>
          <w:marRight w:val="0"/>
          <w:marTop w:val="0"/>
          <w:marBottom w:val="0"/>
          <w:divBdr>
            <w:top w:val="none" w:sz="0" w:space="0" w:color="auto"/>
            <w:left w:val="none" w:sz="0" w:space="0" w:color="auto"/>
            <w:bottom w:val="none" w:sz="0" w:space="0" w:color="auto"/>
            <w:right w:val="none" w:sz="0" w:space="0" w:color="auto"/>
          </w:divBdr>
        </w:div>
        <w:div w:id="956375724">
          <w:marLeft w:val="0"/>
          <w:marRight w:val="0"/>
          <w:marTop w:val="0"/>
          <w:marBottom w:val="0"/>
          <w:divBdr>
            <w:top w:val="none" w:sz="0" w:space="0" w:color="auto"/>
            <w:left w:val="none" w:sz="0" w:space="0" w:color="auto"/>
            <w:bottom w:val="none" w:sz="0" w:space="0" w:color="auto"/>
            <w:right w:val="none" w:sz="0" w:space="0" w:color="auto"/>
          </w:divBdr>
        </w:div>
        <w:div w:id="977345436">
          <w:marLeft w:val="0"/>
          <w:marRight w:val="0"/>
          <w:marTop w:val="0"/>
          <w:marBottom w:val="0"/>
          <w:divBdr>
            <w:top w:val="none" w:sz="0" w:space="0" w:color="auto"/>
            <w:left w:val="none" w:sz="0" w:space="0" w:color="auto"/>
            <w:bottom w:val="none" w:sz="0" w:space="0" w:color="auto"/>
            <w:right w:val="none" w:sz="0" w:space="0" w:color="auto"/>
          </w:divBdr>
        </w:div>
        <w:div w:id="986857794">
          <w:marLeft w:val="0"/>
          <w:marRight w:val="0"/>
          <w:marTop w:val="0"/>
          <w:marBottom w:val="0"/>
          <w:divBdr>
            <w:top w:val="none" w:sz="0" w:space="0" w:color="auto"/>
            <w:left w:val="none" w:sz="0" w:space="0" w:color="auto"/>
            <w:bottom w:val="none" w:sz="0" w:space="0" w:color="auto"/>
            <w:right w:val="none" w:sz="0" w:space="0" w:color="auto"/>
          </w:divBdr>
        </w:div>
        <w:div w:id="1019622527">
          <w:marLeft w:val="0"/>
          <w:marRight w:val="0"/>
          <w:marTop w:val="0"/>
          <w:marBottom w:val="0"/>
          <w:divBdr>
            <w:top w:val="none" w:sz="0" w:space="0" w:color="auto"/>
            <w:left w:val="none" w:sz="0" w:space="0" w:color="auto"/>
            <w:bottom w:val="none" w:sz="0" w:space="0" w:color="auto"/>
            <w:right w:val="none" w:sz="0" w:space="0" w:color="auto"/>
          </w:divBdr>
        </w:div>
        <w:div w:id="1066874746">
          <w:marLeft w:val="0"/>
          <w:marRight w:val="0"/>
          <w:marTop w:val="0"/>
          <w:marBottom w:val="0"/>
          <w:divBdr>
            <w:top w:val="none" w:sz="0" w:space="0" w:color="auto"/>
            <w:left w:val="none" w:sz="0" w:space="0" w:color="auto"/>
            <w:bottom w:val="none" w:sz="0" w:space="0" w:color="auto"/>
            <w:right w:val="none" w:sz="0" w:space="0" w:color="auto"/>
          </w:divBdr>
        </w:div>
        <w:div w:id="1112671244">
          <w:marLeft w:val="0"/>
          <w:marRight w:val="0"/>
          <w:marTop w:val="0"/>
          <w:marBottom w:val="0"/>
          <w:divBdr>
            <w:top w:val="none" w:sz="0" w:space="0" w:color="auto"/>
            <w:left w:val="none" w:sz="0" w:space="0" w:color="auto"/>
            <w:bottom w:val="none" w:sz="0" w:space="0" w:color="auto"/>
            <w:right w:val="none" w:sz="0" w:space="0" w:color="auto"/>
          </w:divBdr>
        </w:div>
        <w:div w:id="1174684846">
          <w:marLeft w:val="0"/>
          <w:marRight w:val="0"/>
          <w:marTop w:val="0"/>
          <w:marBottom w:val="0"/>
          <w:divBdr>
            <w:top w:val="none" w:sz="0" w:space="0" w:color="auto"/>
            <w:left w:val="none" w:sz="0" w:space="0" w:color="auto"/>
            <w:bottom w:val="none" w:sz="0" w:space="0" w:color="auto"/>
            <w:right w:val="none" w:sz="0" w:space="0" w:color="auto"/>
          </w:divBdr>
        </w:div>
        <w:div w:id="1193955470">
          <w:marLeft w:val="0"/>
          <w:marRight w:val="0"/>
          <w:marTop w:val="0"/>
          <w:marBottom w:val="0"/>
          <w:divBdr>
            <w:top w:val="none" w:sz="0" w:space="0" w:color="auto"/>
            <w:left w:val="none" w:sz="0" w:space="0" w:color="auto"/>
            <w:bottom w:val="none" w:sz="0" w:space="0" w:color="auto"/>
            <w:right w:val="none" w:sz="0" w:space="0" w:color="auto"/>
          </w:divBdr>
        </w:div>
        <w:div w:id="1305311097">
          <w:marLeft w:val="0"/>
          <w:marRight w:val="0"/>
          <w:marTop w:val="0"/>
          <w:marBottom w:val="0"/>
          <w:divBdr>
            <w:top w:val="none" w:sz="0" w:space="0" w:color="auto"/>
            <w:left w:val="none" w:sz="0" w:space="0" w:color="auto"/>
            <w:bottom w:val="none" w:sz="0" w:space="0" w:color="auto"/>
            <w:right w:val="none" w:sz="0" w:space="0" w:color="auto"/>
          </w:divBdr>
        </w:div>
        <w:div w:id="1313368392">
          <w:marLeft w:val="0"/>
          <w:marRight w:val="0"/>
          <w:marTop w:val="0"/>
          <w:marBottom w:val="0"/>
          <w:divBdr>
            <w:top w:val="none" w:sz="0" w:space="0" w:color="auto"/>
            <w:left w:val="none" w:sz="0" w:space="0" w:color="auto"/>
            <w:bottom w:val="none" w:sz="0" w:space="0" w:color="auto"/>
            <w:right w:val="none" w:sz="0" w:space="0" w:color="auto"/>
          </w:divBdr>
        </w:div>
        <w:div w:id="1327590570">
          <w:marLeft w:val="0"/>
          <w:marRight w:val="0"/>
          <w:marTop w:val="0"/>
          <w:marBottom w:val="0"/>
          <w:divBdr>
            <w:top w:val="none" w:sz="0" w:space="0" w:color="auto"/>
            <w:left w:val="none" w:sz="0" w:space="0" w:color="auto"/>
            <w:bottom w:val="none" w:sz="0" w:space="0" w:color="auto"/>
            <w:right w:val="none" w:sz="0" w:space="0" w:color="auto"/>
          </w:divBdr>
        </w:div>
        <w:div w:id="1476145633">
          <w:marLeft w:val="0"/>
          <w:marRight w:val="0"/>
          <w:marTop w:val="0"/>
          <w:marBottom w:val="0"/>
          <w:divBdr>
            <w:top w:val="none" w:sz="0" w:space="0" w:color="auto"/>
            <w:left w:val="none" w:sz="0" w:space="0" w:color="auto"/>
            <w:bottom w:val="none" w:sz="0" w:space="0" w:color="auto"/>
            <w:right w:val="none" w:sz="0" w:space="0" w:color="auto"/>
          </w:divBdr>
        </w:div>
        <w:div w:id="1495026875">
          <w:marLeft w:val="0"/>
          <w:marRight w:val="0"/>
          <w:marTop w:val="0"/>
          <w:marBottom w:val="0"/>
          <w:divBdr>
            <w:top w:val="none" w:sz="0" w:space="0" w:color="auto"/>
            <w:left w:val="none" w:sz="0" w:space="0" w:color="auto"/>
            <w:bottom w:val="none" w:sz="0" w:space="0" w:color="auto"/>
            <w:right w:val="none" w:sz="0" w:space="0" w:color="auto"/>
          </w:divBdr>
        </w:div>
        <w:div w:id="1526209741">
          <w:marLeft w:val="0"/>
          <w:marRight w:val="0"/>
          <w:marTop w:val="0"/>
          <w:marBottom w:val="0"/>
          <w:divBdr>
            <w:top w:val="none" w:sz="0" w:space="0" w:color="auto"/>
            <w:left w:val="none" w:sz="0" w:space="0" w:color="auto"/>
            <w:bottom w:val="none" w:sz="0" w:space="0" w:color="auto"/>
            <w:right w:val="none" w:sz="0" w:space="0" w:color="auto"/>
          </w:divBdr>
        </w:div>
        <w:div w:id="1536308938">
          <w:marLeft w:val="0"/>
          <w:marRight w:val="0"/>
          <w:marTop w:val="0"/>
          <w:marBottom w:val="0"/>
          <w:divBdr>
            <w:top w:val="none" w:sz="0" w:space="0" w:color="auto"/>
            <w:left w:val="none" w:sz="0" w:space="0" w:color="auto"/>
            <w:bottom w:val="none" w:sz="0" w:space="0" w:color="auto"/>
            <w:right w:val="none" w:sz="0" w:space="0" w:color="auto"/>
          </w:divBdr>
        </w:div>
        <w:div w:id="1574048090">
          <w:marLeft w:val="0"/>
          <w:marRight w:val="0"/>
          <w:marTop w:val="0"/>
          <w:marBottom w:val="0"/>
          <w:divBdr>
            <w:top w:val="none" w:sz="0" w:space="0" w:color="auto"/>
            <w:left w:val="none" w:sz="0" w:space="0" w:color="auto"/>
            <w:bottom w:val="none" w:sz="0" w:space="0" w:color="auto"/>
            <w:right w:val="none" w:sz="0" w:space="0" w:color="auto"/>
          </w:divBdr>
        </w:div>
        <w:div w:id="1590194323">
          <w:marLeft w:val="0"/>
          <w:marRight w:val="0"/>
          <w:marTop w:val="0"/>
          <w:marBottom w:val="0"/>
          <w:divBdr>
            <w:top w:val="none" w:sz="0" w:space="0" w:color="auto"/>
            <w:left w:val="none" w:sz="0" w:space="0" w:color="auto"/>
            <w:bottom w:val="none" w:sz="0" w:space="0" w:color="auto"/>
            <w:right w:val="none" w:sz="0" w:space="0" w:color="auto"/>
          </w:divBdr>
        </w:div>
        <w:div w:id="1633827265">
          <w:marLeft w:val="0"/>
          <w:marRight w:val="0"/>
          <w:marTop w:val="0"/>
          <w:marBottom w:val="0"/>
          <w:divBdr>
            <w:top w:val="none" w:sz="0" w:space="0" w:color="auto"/>
            <w:left w:val="none" w:sz="0" w:space="0" w:color="auto"/>
            <w:bottom w:val="none" w:sz="0" w:space="0" w:color="auto"/>
            <w:right w:val="none" w:sz="0" w:space="0" w:color="auto"/>
          </w:divBdr>
        </w:div>
        <w:div w:id="1688798293">
          <w:marLeft w:val="0"/>
          <w:marRight w:val="0"/>
          <w:marTop w:val="0"/>
          <w:marBottom w:val="0"/>
          <w:divBdr>
            <w:top w:val="none" w:sz="0" w:space="0" w:color="auto"/>
            <w:left w:val="none" w:sz="0" w:space="0" w:color="auto"/>
            <w:bottom w:val="none" w:sz="0" w:space="0" w:color="auto"/>
            <w:right w:val="none" w:sz="0" w:space="0" w:color="auto"/>
          </w:divBdr>
        </w:div>
        <w:div w:id="1813056211">
          <w:marLeft w:val="0"/>
          <w:marRight w:val="0"/>
          <w:marTop w:val="0"/>
          <w:marBottom w:val="0"/>
          <w:divBdr>
            <w:top w:val="none" w:sz="0" w:space="0" w:color="auto"/>
            <w:left w:val="none" w:sz="0" w:space="0" w:color="auto"/>
            <w:bottom w:val="none" w:sz="0" w:space="0" w:color="auto"/>
            <w:right w:val="none" w:sz="0" w:space="0" w:color="auto"/>
          </w:divBdr>
        </w:div>
        <w:div w:id="1829662977">
          <w:marLeft w:val="0"/>
          <w:marRight w:val="0"/>
          <w:marTop w:val="0"/>
          <w:marBottom w:val="0"/>
          <w:divBdr>
            <w:top w:val="none" w:sz="0" w:space="0" w:color="auto"/>
            <w:left w:val="none" w:sz="0" w:space="0" w:color="auto"/>
            <w:bottom w:val="none" w:sz="0" w:space="0" w:color="auto"/>
            <w:right w:val="none" w:sz="0" w:space="0" w:color="auto"/>
          </w:divBdr>
        </w:div>
        <w:div w:id="1847936654">
          <w:marLeft w:val="0"/>
          <w:marRight w:val="0"/>
          <w:marTop w:val="0"/>
          <w:marBottom w:val="0"/>
          <w:divBdr>
            <w:top w:val="none" w:sz="0" w:space="0" w:color="auto"/>
            <w:left w:val="none" w:sz="0" w:space="0" w:color="auto"/>
            <w:bottom w:val="none" w:sz="0" w:space="0" w:color="auto"/>
            <w:right w:val="none" w:sz="0" w:space="0" w:color="auto"/>
          </w:divBdr>
        </w:div>
        <w:div w:id="1917936005">
          <w:marLeft w:val="0"/>
          <w:marRight w:val="0"/>
          <w:marTop w:val="0"/>
          <w:marBottom w:val="0"/>
          <w:divBdr>
            <w:top w:val="none" w:sz="0" w:space="0" w:color="auto"/>
            <w:left w:val="none" w:sz="0" w:space="0" w:color="auto"/>
            <w:bottom w:val="none" w:sz="0" w:space="0" w:color="auto"/>
            <w:right w:val="none" w:sz="0" w:space="0" w:color="auto"/>
          </w:divBdr>
        </w:div>
        <w:div w:id="2014916746">
          <w:marLeft w:val="0"/>
          <w:marRight w:val="0"/>
          <w:marTop w:val="0"/>
          <w:marBottom w:val="0"/>
          <w:divBdr>
            <w:top w:val="none" w:sz="0" w:space="0" w:color="auto"/>
            <w:left w:val="none" w:sz="0" w:space="0" w:color="auto"/>
            <w:bottom w:val="none" w:sz="0" w:space="0" w:color="auto"/>
            <w:right w:val="none" w:sz="0" w:space="0" w:color="auto"/>
          </w:divBdr>
        </w:div>
        <w:div w:id="2040927685">
          <w:marLeft w:val="0"/>
          <w:marRight w:val="0"/>
          <w:marTop w:val="0"/>
          <w:marBottom w:val="0"/>
          <w:divBdr>
            <w:top w:val="none" w:sz="0" w:space="0" w:color="auto"/>
            <w:left w:val="none" w:sz="0" w:space="0" w:color="auto"/>
            <w:bottom w:val="none" w:sz="0" w:space="0" w:color="auto"/>
            <w:right w:val="none" w:sz="0" w:space="0" w:color="auto"/>
          </w:divBdr>
        </w:div>
      </w:divsChild>
    </w:div>
    <w:div w:id="1315601396">
      <w:bodyDiv w:val="1"/>
      <w:marLeft w:val="0"/>
      <w:marRight w:val="0"/>
      <w:marTop w:val="0"/>
      <w:marBottom w:val="0"/>
      <w:divBdr>
        <w:top w:val="none" w:sz="0" w:space="0" w:color="auto"/>
        <w:left w:val="none" w:sz="0" w:space="0" w:color="auto"/>
        <w:bottom w:val="none" w:sz="0" w:space="0" w:color="auto"/>
        <w:right w:val="none" w:sz="0" w:space="0" w:color="auto"/>
      </w:divBdr>
    </w:div>
    <w:div w:id="1335302488">
      <w:bodyDiv w:val="1"/>
      <w:marLeft w:val="0"/>
      <w:marRight w:val="0"/>
      <w:marTop w:val="0"/>
      <w:marBottom w:val="0"/>
      <w:divBdr>
        <w:top w:val="none" w:sz="0" w:space="0" w:color="auto"/>
        <w:left w:val="none" w:sz="0" w:space="0" w:color="auto"/>
        <w:bottom w:val="none" w:sz="0" w:space="0" w:color="auto"/>
        <w:right w:val="none" w:sz="0" w:space="0" w:color="auto"/>
      </w:divBdr>
      <w:divsChild>
        <w:div w:id="98913827">
          <w:marLeft w:val="0"/>
          <w:marRight w:val="0"/>
          <w:marTop w:val="0"/>
          <w:marBottom w:val="0"/>
          <w:divBdr>
            <w:top w:val="none" w:sz="0" w:space="0" w:color="auto"/>
            <w:left w:val="none" w:sz="0" w:space="0" w:color="auto"/>
            <w:bottom w:val="none" w:sz="0" w:space="0" w:color="auto"/>
            <w:right w:val="none" w:sz="0" w:space="0" w:color="auto"/>
          </w:divBdr>
        </w:div>
        <w:div w:id="183566759">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251284419">
          <w:marLeft w:val="0"/>
          <w:marRight w:val="0"/>
          <w:marTop w:val="0"/>
          <w:marBottom w:val="0"/>
          <w:divBdr>
            <w:top w:val="none" w:sz="0" w:space="0" w:color="auto"/>
            <w:left w:val="none" w:sz="0" w:space="0" w:color="auto"/>
            <w:bottom w:val="none" w:sz="0" w:space="0" w:color="auto"/>
            <w:right w:val="none" w:sz="0" w:space="0" w:color="auto"/>
          </w:divBdr>
        </w:div>
        <w:div w:id="298387740">
          <w:marLeft w:val="0"/>
          <w:marRight w:val="0"/>
          <w:marTop w:val="0"/>
          <w:marBottom w:val="0"/>
          <w:divBdr>
            <w:top w:val="none" w:sz="0" w:space="0" w:color="auto"/>
            <w:left w:val="none" w:sz="0" w:space="0" w:color="auto"/>
            <w:bottom w:val="none" w:sz="0" w:space="0" w:color="auto"/>
            <w:right w:val="none" w:sz="0" w:space="0" w:color="auto"/>
          </w:divBdr>
        </w:div>
        <w:div w:id="367073065">
          <w:marLeft w:val="0"/>
          <w:marRight w:val="0"/>
          <w:marTop w:val="0"/>
          <w:marBottom w:val="0"/>
          <w:divBdr>
            <w:top w:val="none" w:sz="0" w:space="0" w:color="auto"/>
            <w:left w:val="none" w:sz="0" w:space="0" w:color="auto"/>
            <w:bottom w:val="none" w:sz="0" w:space="0" w:color="auto"/>
            <w:right w:val="none" w:sz="0" w:space="0" w:color="auto"/>
          </w:divBdr>
        </w:div>
        <w:div w:id="375547004">
          <w:marLeft w:val="0"/>
          <w:marRight w:val="0"/>
          <w:marTop w:val="0"/>
          <w:marBottom w:val="0"/>
          <w:divBdr>
            <w:top w:val="none" w:sz="0" w:space="0" w:color="auto"/>
            <w:left w:val="none" w:sz="0" w:space="0" w:color="auto"/>
            <w:bottom w:val="none" w:sz="0" w:space="0" w:color="auto"/>
            <w:right w:val="none" w:sz="0" w:space="0" w:color="auto"/>
          </w:divBdr>
        </w:div>
        <w:div w:id="379015256">
          <w:marLeft w:val="0"/>
          <w:marRight w:val="0"/>
          <w:marTop w:val="0"/>
          <w:marBottom w:val="0"/>
          <w:divBdr>
            <w:top w:val="none" w:sz="0" w:space="0" w:color="auto"/>
            <w:left w:val="none" w:sz="0" w:space="0" w:color="auto"/>
            <w:bottom w:val="none" w:sz="0" w:space="0" w:color="auto"/>
            <w:right w:val="none" w:sz="0" w:space="0" w:color="auto"/>
          </w:divBdr>
        </w:div>
        <w:div w:id="430472601">
          <w:marLeft w:val="0"/>
          <w:marRight w:val="0"/>
          <w:marTop w:val="0"/>
          <w:marBottom w:val="0"/>
          <w:divBdr>
            <w:top w:val="none" w:sz="0" w:space="0" w:color="auto"/>
            <w:left w:val="none" w:sz="0" w:space="0" w:color="auto"/>
            <w:bottom w:val="none" w:sz="0" w:space="0" w:color="auto"/>
            <w:right w:val="none" w:sz="0" w:space="0" w:color="auto"/>
          </w:divBdr>
        </w:div>
        <w:div w:id="473565654">
          <w:marLeft w:val="0"/>
          <w:marRight w:val="0"/>
          <w:marTop w:val="0"/>
          <w:marBottom w:val="0"/>
          <w:divBdr>
            <w:top w:val="none" w:sz="0" w:space="0" w:color="auto"/>
            <w:left w:val="none" w:sz="0" w:space="0" w:color="auto"/>
            <w:bottom w:val="none" w:sz="0" w:space="0" w:color="auto"/>
            <w:right w:val="none" w:sz="0" w:space="0" w:color="auto"/>
          </w:divBdr>
        </w:div>
        <w:div w:id="572856891">
          <w:marLeft w:val="0"/>
          <w:marRight w:val="0"/>
          <w:marTop w:val="0"/>
          <w:marBottom w:val="0"/>
          <w:divBdr>
            <w:top w:val="none" w:sz="0" w:space="0" w:color="auto"/>
            <w:left w:val="none" w:sz="0" w:space="0" w:color="auto"/>
            <w:bottom w:val="none" w:sz="0" w:space="0" w:color="auto"/>
            <w:right w:val="none" w:sz="0" w:space="0" w:color="auto"/>
          </w:divBdr>
        </w:div>
        <w:div w:id="586812363">
          <w:marLeft w:val="0"/>
          <w:marRight w:val="0"/>
          <w:marTop w:val="0"/>
          <w:marBottom w:val="0"/>
          <w:divBdr>
            <w:top w:val="none" w:sz="0" w:space="0" w:color="auto"/>
            <w:left w:val="none" w:sz="0" w:space="0" w:color="auto"/>
            <w:bottom w:val="none" w:sz="0" w:space="0" w:color="auto"/>
            <w:right w:val="none" w:sz="0" w:space="0" w:color="auto"/>
          </w:divBdr>
        </w:div>
        <w:div w:id="590549203">
          <w:marLeft w:val="0"/>
          <w:marRight w:val="0"/>
          <w:marTop w:val="0"/>
          <w:marBottom w:val="0"/>
          <w:divBdr>
            <w:top w:val="none" w:sz="0" w:space="0" w:color="auto"/>
            <w:left w:val="none" w:sz="0" w:space="0" w:color="auto"/>
            <w:bottom w:val="none" w:sz="0" w:space="0" w:color="auto"/>
            <w:right w:val="none" w:sz="0" w:space="0" w:color="auto"/>
          </w:divBdr>
        </w:div>
        <w:div w:id="608901867">
          <w:marLeft w:val="0"/>
          <w:marRight w:val="0"/>
          <w:marTop w:val="0"/>
          <w:marBottom w:val="0"/>
          <w:divBdr>
            <w:top w:val="none" w:sz="0" w:space="0" w:color="auto"/>
            <w:left w:val="none" w:sz="0" w:space="0" w:color="auto"/>
            <w:bottom w:val="none" w:sz="0" w:space="0" w:color="auto"/>
            <w:right w:val="none" w:sz="0" w:space="0" w:color="auto"/>
          </w:divBdr>
        </w:div>
        <w:div w:id="761029116">
          <w:marLeft w:val="0"/>
          <w:marRight w:val="0"/>
          <w:marTop w:val="0"/>
          <w:marBottom w:val="0"/>
          <w:divBdr>
            <w:top w:val="none" w:sz="0" w:space="0" w:color="auto"/>
            <w:left w:val="none" w:sz="0" w:space="0" w:color="auto"/>
            <w:bottom w:val="none" w:sz="0" w:space="0" w:color="auto"/>
            <w:right w:val="none" w:sz="0" w:space="0" w:color="auto"/>
          </w:divBdr>
        </w:div>
        <w:div w:id="779108488">
          <w:marLeft w:val="0"/>
          <w:marRight w:val="0"/>
          <w:marTop w:val="0"/>
          <w:marBottom w:val="0"/>
          <w:divBdr>
            <w:top w:val="none" w:sz="0" w:space="0" w:color="auto"/>
            <w:left w:val="none" w:sz="0" w:space="0" w:color="auto"/>
            <w:bottom w:val="none" w:sz="0" w:space="0" w:color="auto"/>
            <w:right w:val="none" w:sz="0" w:space="0" w:color="auto"/>
          </w:divBdr>
        </w:div>
        <w:div w:id="910697008">
          <w:marLeft w:val="0"/>
          <w:marRight w:val="0"/>
          <w:marTop w:val="0"/>
          <w:marBottom w:val="0"/>
          <w:divBdr>
            <w:top w:val="none" w:sz="0" w:space="0" w:color="auto"/>
            <w:left w:val="none" w:sz="0" w:space="0" w:color="auto"/>
            <w:bottom w:val="none" w:sz="0" w:space="0" w:color="auto"/>
            <w:right w:val="none" w:sz="0" w:space="0" w:color="auto"/>
          </w:divBdr>
        </w:div>
        <w:div w:id="930970198">
          <w:marLeft w:val="0"/>
          <w:marRight w:val="0"/>
          <w:marTop w:val="0"/>
          <w:marBottom w:val="0"/>
          <w:divBdr>
            <w:top w:val="none" w:sz="0" w:space="0" w:color="auto"/>
            <w:left w:val="none" w:sz="0" w:space="0" w:color="auto"/>
            <w:bottom w:val="none" w:sz="0" w:space="0" w:color="auto"/>
            <w:right w:val="none" w:sz="0" w:space="0" w:color="auto"/>
          </w:divBdr>
        </w:div>
        <w:div w:id="962804192">
          <w:marLeft w:val="0"/>
          <w:marRight w:val="0"/>
          <w:marTop w:val="0"/>
          <w:marBottom w:val="0"/>
          <w:divBdr>
            <w:top w:val="none" w:sz="0" w:space="0" w:color="auto"/>
            <w:left w:val="none" w:sz="0" w:space="0" w:color="auto"/>
            <w:bottom w:val="none" w:sz="0" w:space="0" w:color="auto"/>
            <w:right w:val="none" w:sz="0" w:space="0" w:color="auto"/>
          </w:divBdr>
        </w:div>
        <w:div w:id="1138306772">
          <w:marLeft w:val="0"/>
          <w:marRight w:val="0"/>
          <w:marTop w:val="0"/>
          <w:marBottom w:val="0"/>
          <w:divBdr>
            <w:top w:val="none" w:sz="0" w:space="0" w:color="auto"/>
            <w:left w:val="none" w:sz="0" w:space="0" w:color="auto"/>
            <w:bottom w:val="none" w:sz="0" w:space="0" w:color="auto"/>
            <w:right w:val="none" w:sz="0" w:space="0" w:color="auto"/>
          </w:divBdr>
        </w:div>
        <w:div w:id="1153983647">
          <w:marLeft w:val="0"/>
          <w:marRight w:val="0"/>
          <w:marTop w:val="0"/>
          <w:marBottom w:val="0"/>
          <w:divBdr>
            <w:top w:val="none" w:sz="0" w:space="0" w:color="auto"/>
            <w:left w:val="none" w:sz="0" w:space="0" w:color="auto"/>
            <w:bottom w:val="none" w:sz="0" w:space="0" w:color="auto"/>
            <w:right w:val="none" w:sz="0" w:space="0" w:color="auto"/>
          </w:divBdr>
        </w:div>
        <w:div w:id="1310675300">
          <w:marLeft w:val="0"/>
          <w:marRight w:val="0"/>
          <w:marTop w:val="0"/>
          <w:marBottom w:val="0"/>
          <w:divBdr>
            <w:top w:val="none" w:sz="0" w:space="0" w:color="auto"/>
            <w:left w:val="none" w:sz="0" w:space="0" w:color="auto"/>
            <w:bottom w:val="none" w:sz="0" w:space="0" w:color="auto"/>
            <w:right w:val="none" w:sz="0" w:space="0" w:color="auto"/>
          </w:divBdr>
        </w:div>
        <w:div w:id="1339041124">
          <w:marLeft w:val="0"/>
          <w:marRight w:val="0"/>
          <w:marTop w:val="0"/>
          <w:marBottom w:val="0"/>
          <w:divBdr>
            <w:top w:val="none" w:sz="0" w:space="0" w:color="auto"/>
            <w:left w:val="none" w:sz="0" w:space="0" w:color="auto"/>
            <w:bottom w:val="none" w:sz="0" w:space="0" w:color="auto"/>
            <w:right w:val="none" w:sz="0" w:space="0" w:color="auto"/>
          </w:divBdr>
        </w:div>
        <w:div w:id="1364401972">
          <w:marLeft w:val="0"/>
          <w:marRight w:val="0"/>
          <w:marTop w:val="0"/>
          <w:marBottom w:val="0"/>
          <w:divBdr>
            <w:top w:val="none" w:sz="0" w:space="0" w:color="auto"/>
            <w:left w:val="none" w:sz="0" w:space="0" w:color="auto"/>
            <w:bottom w:val="none" w:sz="0" w:space="0" w:color="auto"/>
            <w:right w:val="none" w:sz="0" w:space="0" w:color="auto"/>
          </w:divBdr>
        </w:div>
        <w:div w:id="1373655908">
          <w:marLeft w:val="0"/>
          <w:marRight w:val="0"/>
          <w:marTop w:val="0"/>
          <w:marBottom w:val="0"/>
          <w:divBdr>
            <w:top w:val="none" w:sz="0" w:space="0" w:color="auto"/>
            <w:left w:val="none" w:sz="0" w:space="0" w:color="auto"/>
            <w:bottom w:val="none" w:sz="0" w:space="0" w:color="auto"/>
            <w:right w:val="none" w:sz="0" w:space="0" w:color="auto"/>
          </w:divBdr>
        </w:div>
        <w:div w:id="1536432048">
          <w:marLeft w:val="0"/>
          <w:marRight w:val="0"/>
          <w:marTop w:val="0"/>
          <w:marBottom w:val="0"/>
          <w:divBdr>
            <w:top w:val="none" w:sz="0" w:space="0" w:color="auto"/>
            <w:left w:val="none" w:sz="0" w:space="0" w:color="auto"/>
            <w:bottom w:val="none" w:sz="0" w:space="0" w:color="auto"/>
            <w:right w:val="none" w:sz="0" w:space="0" w:color="auto"/>
          </w:divBdr>
        </w:div>
        <w:div w:id="1563908686">
          <w:marLeft w:val="0"/>
          <w:marRight w:val="0"/>
          <w:marTop w:val="0"/>
          <w:marBottom w:val="0"/>
          <w:divBdr>
            <w:top w:val="none" w:sz="0" w:space="0" w:color="auto"/>
            <w:left w:val="none" w:sz="0" w:space="0" w:color="auto"/>
            <w:bottom w:val="none" w:sz="0" w:space="0" w:color="auto"/>
            <w:right w:val="none" w:sz="0" w:space="0" w:color="auto"/>
          </w:divBdr>
        </w:div>
        <w:div w:id="1578058499">
          <w:marLeft w:val="0"/>
          <w:marRight w:val="0"/>
          <w:marTop w:val="0"/>
          <w:marBottom w:val="0"/>
          <w:divBdr>
            <w:top w:val="none" w:sz="0" w:space="0" w:color="auto"/>
            <w:left w:val="none" w:sz="0" w:space="0" w:color="auto"/>
            <w:bottom w:val="none" w:sz="0" w:space="0" w:color="auto"/>
            <w:right w:val="none" w:sz="0" w:space="0" w:color="auto"/>
          </w:divBdr>
        </w:div>
        <w:div w:id="1581603010">
          <w:marLeft w:val="0"/>
          <w:marRight w:val="0"/>
          <w:marTop w:val="0"/>
          <w:marBottom w:val="0"/>
          <w:divBdr>
            <w:top w:val="none" w:sz="0" w:space="0" w:color="auto"/>
            <w:left w:val="none" w:sz="0" w:space="0" w:color="auto"/>
            <w:bottom w:val="none" w:sz="0" w:space="0" w:color="auto"/>
            <w:right w:val="none" w:sz="0" w:space="0" w:color="auto"/>
          </w:divBdr>
        </w:div>
        <w:div w:id="1612779176">
          <w:marLeft w:val="0"/>
          <w:marRight w:val="0"/>
          <w:marTop w:val="0"/>
          <w:marBottom w:val="0"/>
          <w:divBdr>
            <w:top w:val="none" w:sz="0" w:space="0" w:color="auto"/>
            <w:left w:val="none" w:sz="0" w:space="0" w:color="auto"/>
            <w:bottom w:val="none" w:sz="0" w:space="0" w:color="auto"/>
            <w:right w:val="none" w:sz="0" w:space="0" w:color="auto"/>
          </w:divBdr>
        </w:div>
        <w:div w:id="1660963878">
          <w:marLeft w:val="0"/>
          <w:marRight w:val="0"/>
          <w:marTop w:val="0"/>
          <w:marBottom w:val="0"/>
          <w:divBdr>
            <w:top w:val="none" w:sz="0" w:space="0" w:color="auto"/>
            <w:left w:val="none" w:sz="0" w:space="0" w:color="auto"/>
            <w:bottom w:val="none" w:sz="0" w:space="0" w:color="auto"/>
            <w:right w:val="none" w:sz="0" w:space="0" w:color="auto"/>
          </w:divBdr>
        </w:div>
        <w:div w:id="1763069207">
          <w:marLeft w:val="0"/>
          <w:marRight w:val="0"/>
          <w:marTop w:val="0"/>
          <w:marBottom w:val="0"/>
          <w:divBdr>
            <w:top w:val="none" w:sz="0" w:space="0" w:color="auto"/>
            <w:left w:val="none" w:sz="0" w:space="0" w:color="auto"/>
            <w:bottom w:val="none" w:sz="0" w:space="0" w:color="auto"/>
            <w:right w:val="none" w:sz="0" w:space="0" w:color="auto"/>
          </w:divBdr>
        </w:div>
        <w:div w:id="1819180327">
          <w:marLeft w:val="0"/>
          <w:marRight w:val="0"/>
          <w:marTop w:val="0"/>
          <w:marBottom w:val="0"/>
          <w:divBdr>
            <w:top w:val="none" w:sz="0" w:space="0" w:color="auto"/>
            <w:left w:val="none" w:sz="0" w:space="0" w:color="auto"/>
            <w:bottom w:val="none" w:sz="0" w:space="0" w:color="auto"/>
            <w:right w:val="none" w:sz="0" w:space="0" w:color="auto"/>
          </w:divBdr>
        </w:div>
        <w:div w:id="1844733739">
          <w:marLeft w:val="0"/>
          <w:marRight w:val="0"/>
          <w:marTop w:val="0"/>
          <w:marBottom w:val="0"/>
          <w:divBdr>
            <w:top w:val="none" w:sz="0" w:space="0" w:color="auto"/>
            <w:left w:val="none" w:sz="0" w:space="0" w:color="auto"/>
            <w:bottom w:val="none" w:sz="0" w:space="0" w:color="auto"/>
            <w:right w:val="none" w:sz="0" w:space="0" w:color="auto"/>
          </w:divBdr>
        </w:div>
        <w:div w:id="1887333944">
          <w:marLeft w:val="0"/>
          <w:marRight w:val="0"/>
          <w:marTop w:val="0"/>
          <w:marBottom w:val="0"/>
          <w:divBdr>
            <w:top w:val="none" w:sz="0" w:space="0" w:color="auto"/>
            <w:left w:val="none" w:sz="0" w:space="0" w:color="auto"/>
            <w:bottom w:val="none" w:sz="0" w:space="0" w:color="auto"/>
            <w:right w:val="none" w:sz="0" w:space="0" w:color="auto"/>
          </w:divBdr>
        </w:div>
        <w:div w:id="1995835488">
          <w:marLeft w:val="0"/>
          <w:marRight w:val="0"/>
          <w:marTop w:val="0"/>
          <w:marBottom w:val="0"/>
          <w:divBdr>
            <w:top w:val="none" w:sz="0" w:space="0" w:color="auto"/>
            <w:left w:val="none" w:sz="0" w:space="0" w:color="auto"/>
            <w:bottom w:val="none" w:sz="0" w:space="0" w:color="auto"/>
            <w:right w:val="none" w:sz="0" w:space="0" w:color="auto"/>
          </w:divBdr>
        </w:div>
        <w:div w:id="2084253714">
          <w:marLeft w:val="0"/>
          <w:marRight w:val="0"/>
          <w:marTop w:val="0"/>
          <w:marBottom w:val="0"/>
          <w:divBdr>
            <w:top w:val="none" w:sz="0" w:space="0" w:color="auto"/>
            <w:left w:val="none" w:sz="0" w:space="0" w:color="auto"/>
            <w:bottom w:val="none" w:sz="0" w:space="0" w:color="auto"/>
            <w:right w:val="none" w:sz="0" w:space="0" w:color="auto"/>
          </w:divBdr>
        </w:div>
        <w:div w:id="2109037488">
          <w:marLeft w:val="0"/>
          <w:marRight w:val="0"/>
          <w:marTop w:val="0"/>
          <w:marBottom w:val="0"/>
          <w:divBdr>
            <w:top w:val="none" w:sz="0" w:space="0" w:color="auto"/>
            <w:left w:val="none" w:sz="0" w:space="0" w:color="auto"/>
            <w:bottom w:val="none" w:sz="0" w:space="0" w:color="auto"/>
            <w:right w:val="none" w:sz="0" w:space="0" w:color="auto"/>
          </w:divBdr>
        </w:div>
        <w:div w:id="2111775702">
          <w:marLeft w:val="0"/>
          <w:marRight w:val="0"/>
          <w:marTop w:val="0"/>
          <w:marBottom w:val="0"/>
          <w:divBdr>
            <w:top w:val="none" w:sz="0" w:space="0" w:color="auto"/>
            <w:left w:val="none" w:sz="0" w:space="0" w:color="auto"/>
            <w:bottom w:val="none" w:sz="0" w:space="0" w:color="auto"/>
            <w:right w:val="none" w:sz="0" w:space="0" w:color="auto"/>
          </w:divBdr>
        </w:div>
        <w:div w:id="2123449740">
          <w:marLeft w:val="0"/>
          <w:marRight w:val="0"/>
          <w:marTop w:val="0"/>
          <w:marBottom w:val="0"/>
          <w:divBdr>
            <w:top w:val="none" w:sz="0" w:space="0" w:color="auto"/>
            <w:left w:val="none" w:sz="0" w:space="0" w:color="auto"/>
            <w:bottom w:val="none" w:sz="0" w:space="0" w:color="auto"/>
            <w:right w:val="none" w:sz="0" w:space="0" w:color="auto"/>
          </w:divBdr>
        </w:div>
        <w:div w:id="2146384088">
          <w:marLeft w:val="0"/>
          <w:marRight w:val="0"/>
          <w:marTop w:val="0"/>
          <w:marBottom w:val="0"/>
          <w:divBdr>
            <w:top w:val="none" w:sz="0" w:space="0" w:color="auto"/>
            <w:left w:val="none" w:sz="0" w:space="0" w:color="auto"/>
            <w:bottom w:val="none" w:sz="0" w:space="0" w:color="auto"/>
            <w:right w:val="none" w:sz="0" w:space="0" w:color="auto"/>
          </w:divBdr>
        </w:div>
      </w:divsChild>
    </w:div>
    <w:div w:id="1341930960">
      <w:bodyDiv w:val="1"/>
      <w:marLeft w:val="0"/>
      <w:marRight w:val="0"/>
      <w:marTop w:val="0"/>
      <w:marBottom w:val="0"/>
      <w:divBdr>
        <w:top w:val="none" w:sz="0" w:space="0" w:color="auto"/>
        <w:left w:val="none" w:sz="0" w:space="0" w:color="auto"/>
        <w:bottom w:val="none" w:sz="0" w:space="0" w:color="auto"/>
        <w:right w:val="none" w:sz="0" w:space="0" w:color="auto"/>
      </w:divBdr>
      <w:divsChild>
        <w:div w:id="1992824375">
          <w:marLeft w:val="0"/>
          <w:marRight w:val="0"/>
          <w:marTop w:val="0"/>
          <w:marBottom w:val="0"/>
          <w:divBdr>
            <w:top w:val="none" w:sz="0" w:space="0" w:color="auto"/>
            <w:left w:val="none" w:sz="0" w:space="0" w:color="auto"/>
            <w:bottom w:val="none" w:sz="0" w:space="0" w:color="auto"/>
            <w:right w:val="none" w:sz="0" w:space="0" w:color="auto"/>
          </w:divBdr>
        </w:div>
      </w:divsChild>
    </w:div>
    <w:div w:id="1363704314">
      <w:bodyDiv w:val="1"/>
      <w:marLeft w:val="0"/>
      <w:marRight w:val="0"/>
      <w:marTop w:val="0"/>
      <w:marBottom w:val="0"/>
      <w:divBdr>
        <w:top w:val="none" w:sz="0" w:space="0" w:color="auto"/>
        <w:left w:val="none" w:sz="0" w:space="0" w:color="auto"/>
        <w:bottom w:val="none" w:sz="0" w:space="0" w:color="auto"/>
        <w:right w:val="none" w:sz="0" w:space="0" w:color="auto"/>
      </w:divBdr>
      <w:divsChild>
        <w:div w:id="440685212">
          <w:marLeft w:val="0"/>
          <w:marRight w:val="0"/>
          <w:marTop w:val="0"/>
          <w:marBottom w:val="0"/>
          <w:divBdr>
            <w:top w:val="none" w:sz="0" w:space="0" w:color="auto"/>
            <w:left w:val="none" w:sz="0" w:space="0" w:color="auto"/>
            <w:bottom w:val="none" w:sz="0" w:space="0" w:color="auto"/>
            <w:right w:val="none" w:sz="0" w:space="0" w:color="auto"/>
          </w:divBdr>
          <w:divsChild>
            <w:div w:id="819419618">
              <w:marLeft w:val="0"/>
              <w:marRight w:val="0"/>
              <w:marTop w:val="0"/>
              <w:marBottom w:val="0"/>
              <w:divBdr>
                <w:top w:val="none" w:sz="0" w:space="0" w:color="auto"/>
                <w:left w:val="none" w:sz="0" w:space="0" w:color="auto"/>
                <w:bottom w:val="none" w:sz="0" w:space="0" w:color="auto"/>
                <w:right w:val="none" w:sz="0" w:space="0" w:color="auto"/>
              </w:divBdr>
            </w:div>
            <w:div w:id="876308567">
              <w:marLeft w:val="0"/>
              <w:marRight w:val="0"/>
              <w:marTop w:val="0"/>
              <w:marBottom w:val="0"/>
              <w:divBdr>
                <w:top w:val="none" w:sz="0" w:space="0" w:color="auto"/>
                <w:left w:val="none" w:sz="0" w:space="0" w:color="auto"/>
                <w:bottom w:val="none" w:sz="0" w:space="0" w:color="auto"/>
                <w:right w:val="none" w:sz="0" w:space="0" w:color="auto"/>
              </w:divBdr>
              <w:divsChild>
                <w:div w:id="2070837922">
                  <w:marLeft w:val="0"/>
                  <w:marRight w:val="0"/>
                  <w:marTop w:val="0"/>
                  <w:marBottom w:val="0"/>
                  <w:divBdr>
                    <w:top w:val="none" w:sz="0" w:space="0" w:color="auto"/>
                    <w:left w:val="none" w:sz="0" w:space="0" w:color="auto"/>
                    <w:bottom w:val="none" w:sz="0" w:space="0" w:color="auto"/>
                    <w:right w:val="none" w:sz="0" w:space="0" w:color="auto"/>
                  </w:divBdr>
                </w:div>
              </w:divsChild>
            </w:div>
            <w:div w:id="1263418189">
              <w:marLeft w:val="0"/>
              <w:marRight w:val="0"/>
              <w:marTop w:val="0"/>
              <w:marBottom w:val="0"/>
              <w:divBdr>
                <w:top w:val="none" w:sz="0" w:space="0" w:color="auto"/>
                <w:left w:val="none" w:sz="0" w:space="0" w:color="auto"/>
                <w:bottom w:val="none" w:sz="0" w:space="0" w:color="auto"/>
                <w:right w:val="none" w:sz="0" w:space="0" w:color="auto"/>
              </w:divBdr>
            </w:div>
            <w:div w:id="1491560667">
              <w:marLeft w:val="0"/>
              <w:marRight w:val="0"/>
              <w:marTop w:val="0"/>
              <w:marBottom w:val="0"/>
              <w:divBdr>
                <w:top w:val="none" w:sz="0" w:space="0" w:color="auto"/>
                <w:left w:val="none" w:sz="0" w:space="0" w:color="auto"/>
                <w:bottom w:val="none" w:sz="0" w:space="0" w:color="auto"/>
                <w:right w:val="none" w:sz="0" w:space="0" w:color="auto"/>
              </w:divBdr>
            </w:div>
            <w:div w:id="1871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846">
      <w:bodyDiv w:val="1"/>
      <w:marLeft w:val="0"/>
      <w:marRight w:val="0"/>
      <w:marTop w:val="0"/>
      <w:marBottom w:val="0"/>
      <w:divBdr>
        <w:top w:val="none" w:sz="0" w:space="0" w:color="auto"/>
        <w:left w:val="none" w:sz="0" w:space="0" w:color="auto"/>
        <w:bottom w:val="none" w:sz="0" w:space="0" w:color="auto"/>
        <w:right w:val="none" w:sz="0" w:space="0" w:color="auto"/>
      </w:divBdr>
      <w:divsChild>
        <w:div w:id="1140222274">
          <w:marLeft w:val="0"/>
          <w:marRight w:val="0"/>
          <w:marTop w:val="0"/>
          <w:marBottom w:val="0"/>
          <w:divBdr>
            <w:top w:val="none" w:sz="0" w:space="0" w:color="auto"/>
            <w:left w:val="none" w:sz="0" w:space="0" w:color="auto"/>
            <w:bottom w:val="none" w:sz="0" w:space="0" w:color="auto"/>
            <w:right w:val="none" w:sz="0" w:space="0" w:color="auto"/>
          </w:divBdr>
          <w:divsChild>
            <w:div w:id="715932472">
              <w:marLeft w:val="0"/>
              <w:marRight w:val="0"/>
              <w:marTop w:val="0"/>
              <w:marBottom w:val="0"/>
              <w:divBdr>
                <w:top w:val="none" w:sz="0" w:space="0" w:color="auto"/>
                <w:left w:val="none" w:sz="0" w:space="0" w:color="auto"/>
                <w:bottom w:val="none" w:sz="0" w:space="0" w:color="auto"/>
                <w:right w:val="none" w:sz="0" w:space="0" w:color="auto"/>
              </w:divBdr>
            </w:div>
            <w:div w:id="1609579520">
              <w:marLeft w:val="0"/>
              <w:marRight w:val="0"/>
              <w:marTop w:val="0"/>
              <w:marBottom w:val="0"/>
              <w:divBdr>
                <w:top w:val="none" w:sz="0" w:space="0" w:color="auto"/>
                <w:left w:val="none" w:sz="0" w:space="0" w:color="auto"/>
                <w:bottom w:val="none" w:sz="0" w:space="0" w:color="auto"/>
                <w:right w:val="none" w:sz="0" w:space="0" w:color="auto"/>
              </w:divBdr>
            </w:div>
            <w:div w:id="1575968495">
              <w:marLeft w:val="0"/>
              <w:marRight w:val="0"/>
              <w:marTop w:val="0"/>
              <w:marBottom w:val="0"/>
              <w:divBdr>
                <w:top w:val="none" w:sz="0" w:space="0" w:color="auto"/>
                <w:left w:val="none" w:sz="0" w:space="0" w:color="auto"/>
                <w:bottom w:val="none" w:sz="0" w:space="0" w:color="auto"/>
                <w:right w:val="none" w:sz="0" w:space="0" w:color="auto"/>
              </w:divBdr>
            </w:div>
            <w:div w:id="585384853">
              <w:marLeft w:val="600"/>
              <w:marRight w:val="0"/>
              <w:marTop w:val="0"/>
              <w:marBottom w:val="0"/>
              <w:divBdr>
                <w:top w:val="none" w:sz="0" w:space="0" w:color="auto"/>
                <w:left w:val="none" w:sz="0" w:space="0" w:color="auto"/>
                <w:bottom w:val="none" w:sz="0" w:space="0" w:color="auto"/>
                <w:right w:val="none" w:sz="0" w:space="0" w:color="auto"/>
              </w:divBdr>
            </w:div>
            <w:div w:id="901260257">
              <w:marLeft w:val="600"/>
              <w:marRight w:val="0"/>
              <w:marTop w:val="0"/>
              <w:marBottom w:val="0"/>
              <w:divBdr>
                <w:top w:val="none" w:sz="0" w:space="0" w:color="auto"/>
                <w:left w:val="none" w:sz="0" w:space="0" w:color="auto"/>
                <w:bottom w:val="none" w:sz="0" w:space="0" w:color="auto"/>
                <w:right w:val="none" w:sz="0" w:space="0" w:color="auto"/>
              </w:divBdr>
            </w:div>
            <w:div w:id="1876194918">
              <w:marLeft w:val="0"/>
              <w:marRight w:val="0"/>
              <w:marTop w:val="0"/>
              <w:marBottom w:val="0"/>
              <w:divBdr>
                <w:top w:val="none" w:sz="0" w:space="0" w:color="auto"/>
                <w:left w:val="none" w:sz="0" w:space="0" w:color="auto"/>
                <w:bottom w:val="none" w:sz="0" w:space="0" w:color="auto"/>
                <w:right w:val="none" w:sz="0" w:space="0" w:color="auto"/>
              </w:divBdr>
            </w:div>
          </w:divsChild>
        </w:div>
        <w:div w:id="992367460">
          <w:marLeft w:val="0"/>
          <w:marRight w:val="0"/>
          <w:marTop w:val="0"/>
          <w:marBottom w:val="0"/>
          <w:divBdr>
            <w:top w:val="none" w:sz="0" w:space="0" w:color="auto"/>
            <w:left w:val="none" w:sz="0" w:space="0" w:color="auto"/>
            <w:bottom w:val="none" w:sz="0" w:space="0" w:color="auto"/>
            <w:right w:val="none" w:sz="0" w:space="0" w:color="auto"/>
          </w:divBdr>
        </w:div>
      </w:divsChild>
    </w:div>
    <w:div w:id="1376662211">
      <w:bodyDiv w:val="1"/>
      <w:marLeft w:val="0"/>
      <w:marRight w:val="0"/>
      <w:marTop w:val="0"/>
      <w:marBottom w:val="0"/>
      <w:divBdr>
        <w:top w:val="none" w:sz="0" w:space="0" w:color="auto"/>
        <w:left w:val="none" w:sz="0" w:space="0" w:color="auto"/>
        <w:bottom w:val="none" w:sz="0" w:space="0" w:color="auto"/>
        <w:right w:val="none" w:sz="0" w:space="0" w:color="auto"/>
      </w:divBdr>
      <w:divsChild>
        <w:div w:id="1928230979">
          <w:marLeft w:val="0"/>
          <w:marRight w:val="0"/>
          <w:marTop w:val="0"/>
          <w:marBottom w:val="0"/>
          <w:divBdr>
            <w:top w:val="none" w:sz="0" w:space="0" w:color="auto"/>
            <w:left w:val="none" w:sz="0" w:space="0" w:color="auto"/>
            <w:bottom w:val="none" w:sz="0" w:space="0" w:color="auto"/>
            <w:right w:val="none" w:sz="0" w:space="0" w:color="auto"/>
          </w:divBdr>
        </w:div>
      </w:divsChild>
    </w:div>
    <w:div w:id="1385713430">
      <w:bodyDiv w:val="1"/>
      <w:marLeft w:val="0"/>
      <w:marRight w:val="0"/>
      <w:marTop w:val="0"/>
      <w:marBottom w:val="0"/>
      <w:divBdr>
        <w:top w:val="none" w:sz="0" w:space="0" w:color="auto"/>
        <w:left w:val="none" w:sz="0" w:space="0" w:color="auto"/>
        <w:bottom w:val="none" w:sz="0" w:space="0" w:color="auto"/>
        <w:right w:val="none" w:sz="0" w:space="0" w:color="auto"/>
      </w:divBdr>
    </w:div>
    <w:div w:id="1388068811">
      <w:bodyDiv w:val="1"/>
      <w:marLeft w:val="0"/>
      <w:marRight w:val="0"/>
      <w:marTop w:val="0"/>
      <w:marBottom w:val="0"/>
      <w:divBdr>
        <w:top w:val="none" w:sz="0" w:space="0" w:color="auto"/>
        <w:left w:val="none" w:sz="0" w:space="0" w:color="auto"/>
        <w:bottom w:val="none" w:sz="0" w:space="0" w:color="auto"/>
        <w:right w:val="none" w:sz="0" w:space="0" w:color="auto"/>
      </w:divBdr>
    </w:div>
    <w:div w:id="1399014663">
      <w:bodyDiv w:val="1"/>
      <w:marLeft w:val="0"/>
      <w:marRight w:val="0"/>
      <w:marTop w:val="0"/>
      <w:marBottom w:val="0"/>
      <w:divBdr>
        <w:top w:val="none" w:sz="0" w:space="0" w:color="auto"/>
        <w:left w:val="none" w:sz="0" w:space="0" w:color="auto"/>
        <w:bottom w:val="none" w:sz="0" w:space="0" w:color="auto"/>
        <w:right w:val="none" w:sz="0" w:space="0" w:color="auto"/>
      </w:divBdr>
      <w:divsChild>
        <w:div w:id="395665787">
          <w:marLeft w:val="0"/>
          <w:marRight w:val="0"/>
          <w:marTop w:val="260"/>
          <w:marBottom w:val="0"/>
          <w:divBdr>
            <w:top w:val="none" w:sz="0" w:space="0" w:color="auto"/>
            <w:left w:val="none" w:sz="0" w:space="0" w:color="auto"/>
            <w:bottom w:val="none" w:sz="0" w:space="0" w:color="auto"/>
            <w:right w:val="none" w:sz="0" w:space="0" w:color="auto"/>
          </w:divBdr>
          <w:divsChild>
            <w:div w:id="925505448">
              <w:marLeft w:val="0"/>
              <w:marRight w:val="0"/>
              <w:marTop w:val="0"/>
              <w:marBottom w:val="0"/>
              <w:divBdr>
                <w:top w:val="none" w:sz="0" w:space="0" w:color="auto"/>
                <w:left w:val="none" w:sz="0" w:space="0" w:color="auto"/>
                <w:bottom w:val="none" w:sz="0" w:space="0" w:color="auto"/>
                <w:right w:val="none" w:sz="0" w:space="0" w:color="auto"/>
              </w:divBdr>
              <w:divsChild>
                <w:div w:id="751856482">
                  <w:marLeft w:val="0"/>
                  <w:marRight w:val="0"/>
                  <w:marTop w:val="0"/>
                  <w:marBottom w:val="0"/>
                  <w:divBdr>
                    <w:top w:val="none" w:sz="0" w:space="0" w:color="auto"/>
                    <w:left w:val="none" w:sz="0" w:space="0" w:color="auto"/>
                    <w:bottom w:val="none" w:sz="0" w:space="0" w:color="auto"/>
                    <w:right w:val="none" w:sz="0" w:space="0" w:color="auto"/>
                  </w:divBdr>
                  <w:divsChild>
                    <w:div w:id="408890255">
                      <w:marLeft w:val="0"/>
                      <w:marRight w:val="0"/>
                      <w:marTop w:val="0"/>
                      <w:marBottom w:val="0"/>
                      <w:divBdr>
                        <w:top w:val="none" w:sz="0" w:space="0" w:color="auto"/>
                        <w:left w:val="none" w:sz="0" w:space="0" w:color="auto"/>
                        <w:bottom w:val="none" w:sz="0" w:space="0" w:color="auto"/>
                        <w:right w:val="none" w:sz="0" w:space="0" w:color="auto"/>
                      </w:divBdr>
                      <w:divsChild>
                        <w:div w:id="5113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4067">
          <w:marLeft w:val="0"/>
          <w:marRight w:val="0"/>
          <w:marTop w:val="60"/>
          <w:marBottom w:val="0"/>
          <w:divBdr>
            <w:top w:val="none" w:sz="0" w:space="0" w:color="auto"/>
            <w:left w:val="none" w:sz="0" w:space="0" w:color="auto"/>
            <w:bottom w:val="none" w:sz="0" w:space="0" w:color="auto"/>
            <w:right w:val="none" w:sz="0" w:space="0" w:color="auto"/>
          </w:divBdr>
          <w:divsChild>
            <w:div w:id="737898549">
              <w:marLeft w:val="0"/>
              <w:marRight w:val="0"/>
              <w:marTop w:val="0"/>
              <w:marBottom w:val="0"/>
              <w:divBdr>
                <w:top w:val="none" w:sz="0" w:space="0" w:color="auto"/>
                <w:left w:val="none" w:sz="0" w:space="0" w:color="auto"/>
                <w:bottom w:val="none" w:sz="0" w:space="0" w:color="auto"/>
                <w:right w:val="none" w:sz="0" w:space="0" w:color="auto"/>
              </w:divBdr>
              <w:divsChild>
                <w:div w:id="420683215">
                  <w:marLeft w:val="0"/>
                  <w:marRight w:val="0"/>
                  <w:marTop w:val="0"/>
                  <w:marBottom w:val="0"/>
                  <w:divBdr>
                    <w:top w:val="none" w:sz="0" w:space="0" w:color="auto"/>
                    <w:left w:val="none" w:sz="0" w:space="0" w:color="auto"/>
                    <w:bottom w:val="none" w:sz="0" w:space="0" w:color="auto"/>
                    <w:right w:val="none" w:sz="0" w:space="0" w:color="auto"/>
                  </w:divBdr>
                  <w:divsChild>
                    <w:div w:id="77793825">
                      <w:marLeft w:val="0"/>
                      <w:marRight w:val="0"/>
                      <w:marTop w:val="0"/>
                      <w:marBottom w:val="0"/>
                      <w:divBdr>
                        <w:top w:val="none" w:sz="0" w:space="0" w:color="auto"/>
                        <w:left w:val="none" w:sz="0" w:space="0" w:color="auto"/>
                        <w:bottom w:val="none" w:sz="0" w:space="0" w:color="auto"/>
                        <w:right w:val="none" w:sz="0" w:space="0" w:color="auto"/>
                      </w:divBdr>
                      <w:divsChild>
                        <w:div w:id="10385129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446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84">
          <w:marLeft w:val="0"/>
          <w:marRight w:val="0"/>
          <w:marTop w:val="0"/>
          <w:marBottom w:val="0"/>
          <w:divBdr>
            <w:top w:val="none" w:sz="0" w:space="0" w:color="auto"/>
            <w:left w:val="none" w:sz="0" w:space="0" w:color="auto"/>
            <w:bottom w:val="none" w:sz="0" w:space="0" w:color="auto"/>
            <w:right w:val="none" w:sz="0" w:space="0" w:color="auto"/>
          </w:divBdr>
        </w:div>
        <w:div w:id="772672434">
          <w:marLeft w:val="0"/>
          <w:marRight w:val="0"/>
          <w:marTop w:val="0"/>
          <w:marBottom w:val="0"/>
          <w:divBdr>
            <w:top w:val="none" w:sz="0" w:space="0" w:color="auto"/>
            <w:left w:val="none" w:sz="0" w:space="0" w:color="auto"/>
            <w:bottom w:val="none" w:sz="0" w:space="0" w:color="auto"/>
            <w:right w:val="none" w:sz="0" w:space="0" w:color="auto"/>
          </w:divBdr>
        </w:div>
        <w:div w:id="786974350">
          <w:marLeft w:val="0"/>
          <w:marRight w:val="0"/>
          <w:marTop w:val="0"/>
          <w:marBottom w:val="0"/>
          <w:divBdr>
            <w:top w:val="none" w:sz="0" w:space="0" w:color="auto"/>
            <w:left w:val="none" w:sz="0" w:space="0" w:color="auto"/>
            <w:bottom w:val="none" w:sz="0" w:space="0" w:color="auto"/>
            <w:right w:val="none" w:sz="0" w:space="0" w:color="auto"/>
          </w:divBdr>
        </w:div>
      </w:divsChild>
    </w:div>
    <w:div w:id="1410882038">
      <w:bodyDiv w:val="1"/>
      <w:marLeft w:val="0"/>
      <w:marRight w:val="0"/>
      <w:marTop w:val="0"/>
      <w:marBottom w:val="0"/>
      <w:divBdr>
        <w:top w:val="none" w:sz="0" w:space="0" w:color="auto"/>
        <w:left w:val="none" w:sz="0" w:space="0" w:color="auto"/>
        <w:bottom w:val="none" w:sz="0" w:space="0" w:color="auto"/>
        <w:right w:val="none" w:sz="0" w:space="0" w:color="auto"/>
      </w:divBdr>
    </w:div>
    <w:div w:id="1419521068">
      <w:bodyDiv w:val="1"/>
      <w:marLeft w:val="0"/>
      <w:marRight w:val="0"/>
      <w:marTop w:val="0"/>
      <w:marBottom w:val="0"/>
      <w:divBdr>
        <w:top w:val="none" w:sz="0" w:space="0" w:color="auto"/>
        <w:left w:val="none" w:sz="0" w:space="0" w:color="auto"/>
        <w:bottom w:val="none" w:sz="0" w:space="0" w:color="auto"/>
        <w:right w:val="none" w:sz="0" w:space="0" w:color="auto"/>
      </w:divBdr>
    </w:div>
    <w:div w:id="1425685747">
      <w:bodyDiv w:val="1"/>
      <w:marLeft w:val="0"/>
      <w:marRight w:val="0"/>
      <w:marTop w:val="0"/>
      <w:marBottom w:val="0"/>
      <w:divBdr>
        <w:top w:val="none" w:sz="0" w:space="0" w:color="auto"/>
        <w:left w:val="none" w:sz="0" w:space="0" w:color="auto"/>
        <w:bottom w:val="none" w:sz="0" w:space="0" w:color="auto"/>
        <w:right w:val="none" w:sz="0" w:space="0" w:color="auto"/>
      </w:divBdr>
      <w:divsChild>
        <w:div w:id="1377503655">
          <w:marLeft w:val="0"/>
          <w:marRight w:val="0"/>
          <w:marTop w:val="0"/>
          <w:marBottom w:val="0"/>
          <w:divBdr>
            <w:top w:val="none" w:sz="0" w:space="0" w:color="auto"/>
            <w:left w:val="none" w:sz="0" w:space="0" w:color="auto"/>
            <w:bottom w:val="none" w:sz="0" w:space="0" w:color="auto"/>
            <w:right w:val="none" w:sz="0" w:space="0" w:color="auto"/>
          </w:divBdr>
        </w:div>
      </w:divsChild>
    </w:div>
    <w:div w:id="1456175825">
      <w:bodyDiv w:val="1"/>
      <w:marLeft w:val="0"/>
      <w:marRight w:val="0"/>
      <w:marTop w:val="0"/>
      <w:marBottom w:val="0"/>
      <w:divBdr>
        <w:top w:val="none" w:sz="0" w:space="0" w:color="auto"/>
        <w:left w:val="none" w:sz="0" w:space="0" w:color="auto"/>
        <w:bottom w:val="none" w:sz="0" w:space="0" w:color="auto"/>
        <w:right w:val="none" w:sz="0" w:space="0" w:color="auto"/>
      </w:divBdr>
    </w:div>
    <w:div w:id="1464350977">
      <w:bodyDiv w:val="1"/>
      <w:marLeft w:val="0"/>
      <w:marRight w:val="0"/>
      <w:marTop w:val="0"/>
      <w:marBottom w:val="0"/>
      <w:divBdr>
        <w:top w:val="none" w:sz="0" w:space="0" w:color="auto"/>
        <w:left w:val="none" w:sz="0" w:space="0" w:color="auto"/>
        <w:bottom w:val="none" w:sz="0" w:space="0" w:color="auto"/>
        <w:right w:val="none" w:sz="0" w:space="0" w:color="auto"/>
      </w:divBdr>
    </w:div>
    <w:div w:id="1475947141">
      <w:bodyDiv w:val="1"/>
      <w:marLeft w:val="0"/>
      <w:marRight w:val="0"/>
      <w:marTop w:val="0"/>
      <w:marBottom w:val="0"/>
      <w:divBdr>
        <w:top w:val="none" w:sz="0" w:space="0" w:color="auto"/>
        <w:left w:val="none" w:sz="0" w:space="0" w:color="auto"/>
        <w:bottom w:val="none" w:sz="0" w:space="0" w:color="auto"/>
        <w:right w:val="none" w:sz="0" w:space="0" w:color="auto"/>
      </w:divBdr>
      <w:divsChild>
        <w:div w:id="623268892">
          <w:marLeft w:val="0"/>
          <w:marRight w:val="0"/>
          <w:marTop w:val="0"/>
          <w:marBottom w:val="0"/>
          <w:divBdr>
            <w:top w:val="none" w:sz="0" w:space="0" w:color="auto"/>
            <w:left w:val="none" w:sz="0" w:space="0" w:color="auto"/>
            <w:bottom w:val="none" w:sz="0" w:space="0" w:color="auto"/>
            <w:right w:val="none" w:sz="0" w:space="0" w:color="auto"/>
          </w:divBdr>
        </w:div>
      </w:divsChild>
    </w:div>
    <w:div w:id="1487475818">
      <w:bodyDiv w:val="1"/>
      <w:marLeft w:val="0"/>
      <w:marRight w:val="0"/>
      <w:marTop w:val="0"/>
      <w:marBottom w:val="0"/>
      <w:divBdr>
        <w:top w:val="none" w:sz="0" w:space="0" w:color="auto"/>
        <w:left w:val="none" w:sz="0" w:space="0" w:color="auto"/>
        <w:bottom w:val="none" w:sz="0" w:space="0" w:color="auto"/>
        <w:right w:val="none" w:sz="0" w:space="0" w:color="auto"/>
      </w:divBdr>
      <w:divsChild>
        <w:div w:id="714694965">
          <w:marLeft w:val="0"/>
          <w:marRight w:val="0"/>
          <w:marTop w:val="0"/>
          <w:marBottom w:val="0"/>
          <w:divBdr>
            <w:top w:val="none" w:sz="0" w:space="0" w:color="auto"/>
            <w:left w:val="none" w:sz="0" w:space="0" w:color="auto"/>
            <w:bottom w:val="none" w:sz="0" w:space="0" w:color="auto"/>
            <w:right w:val="none" w:sz="0" w:space="0" w:color="auto"/>
          </w:divBdr>
        </w:div>
        <w:div w:id="1480925262">
          <w:marLeft w:val="0"/>
          <w:marRight w:val="0"/>
          <w:marTop w:val="0"/>
          <w:marBottom w:val="0"/>
          <w:divBdr>
            <w:top w:val="none" w:sz="0" w:space="0" w:color="auto"/>
            <w:left w:val="none" w:sz="0" w:space="0" w:color="auto"/>
            <w:bottom w:val="none" w:sz="0" w:space="0" w:color="auto"/>
            <w:right w:val="none" w:sz="0" w:space="0" w:color="auto"/>
          </w:divBdr>
        </w:div>
      </w:divsChild>
    </w:div>
    <w:div w:id="1488016317">
      <w:bodyDiv w:val="1"/>
      <w:marLeft w:val="0"/>
      <w:marRight w:val="0"/>
      <w:marTop w:val="0"/>
      <w:marBottom w:val="0"/>
      <w:divBdr>
        <w:top w:val="none" w:sz="0" w:space="0" w:color="auto"/>
        <w:left w:val="none" w:sz="0" w:space="0" w:color="auto"/>
        <w:bottom w:val="none" w:sz="0" w:space="0" w:color="auto"/>
        <w:right w:val="none" w:sz="0" w:space="0" w:color="auto"/>
      </w:divBdr>
    </w:div>
    <w:div w:id="1489135077">
      <w:bodyDiv w:val="1"/>
      <w:marLeft w:val="0"/>
      <w:marRight w:val="0"/>
      <w:marTop w:val="0"/>
      <w:marBottom w:val="0"/>
      <w:divBdr>
        <w:top w:val="none" w:sz="0" w:space="0" w:color="auto"/>
        <w:left w:val="none" w:sz="0" w:space="0" w:color="auto"/>
        <w:bottom w:val="none" w:sz="0" w:space="0" w:color="auto"/>
        <w:right w:val="none" w:sz="0" w:space="0" w:color="auto"/>
      </w:divBdr>
    </w:div>
    <w:div w:id="1519924202">
      <w:bodyDiv w:val="1"/>
      <w:marLeft w:val="0"/>
      <w:marRight w:val="0"/>
      <w:marTop w:val="0"/>
      <w:marBottom w:val="0"/>
      <w:divBdr>
        <w:top w:val="none" w:sz="0" w:space="0" w:color="auto"/>
        <w:left w:val="none" w:sz="0" w:space="0" w:color="auto"/>
        <w:bottom w:val="none" w:sz="0" w:space="0" w:color="auto"/>
        <w:right w:val="none" w:sz="0" w:space="0" w:color="auto"/>
      </w:divBdr>
      <w:divsChild>
        <w:div w:id="1160459095">
          <w:marLeft w:val="0"/>
          <w:marRight w:val="0"/>
          <w:marTop w:val="60"/>
          <w:marBottom w:val="0"/>
          <w:divBdr>
            <w:top w:val="none" w:sz="0" w:space="0" w:color="auto"/>
            <w:left w:val="none" w:sz="0" w:space="0" w:color="auto"/>
            <w:bottom w:val="none" w:sz="0" w:space="0" w:color="auto"/>
            <w:right w:val="none" w:sz="0" w:space="0" w:color="auto"/>
          </w:divBdr>
        </w:div>
        <w:div w:id="1818574444">
          <w:marLeft w:val="240"/>
          <w:marRight w:val="0"/>
          <w:marTop w:val="0"/>
          <w:marBottom w:val="0"/>
          <w:divBdr>
            <w:top w:val="none" w:sz="0" w:space="0" w:color="auto"/>
            <w:left w:val="none" w:sz="0" w:space="0" w:color="auto"/>
            <w:bottom w:val="none" w:sz="0" w:space="0" w:color="auto"/>
            <w:right w:val="none" w:sz="0" w:space="0" w:color="auto"/>
          </w:divBdr>
          <w:divsChild>
            <w:div w:id="8596615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25899190">
      <w:bodyDiv w:val="1"/>
      <w:marLeft w:val="0"/>
      <w:marRight w:val="0"/>
      <w:marTop w:val="0"/>
      <w:marBottom w:val="0"/>
      <w:divBdr>
        <w:top w:val="none" w:sz="0" w:space="0" w:color="auto"/>
        <w:left w:val="none" w:sz="0" w:space="0" w:color="auto"/>
        <w:bottom w:val="none" w:sz="0" w:space="0" w:color="auto"/>
        <w:right w:val="none" w:sz="0" w:space="0" w:color="auto"/>
      </w:divBdr>
      <w:divsChild>
        <w:div w:id="1043214585">
          <w:marLeft w:val="0"/>
          <w:marRight w:val="0"/>
          <w:marTop w:val="0"/>
          <w:marBottom w:val="0"/>
          <w:divBdr>
            <w:top w:val="none" w:sz="0" w:space="0" w:color="auto"/>
            <w:left w:val="none" w:sz="0" w:space="0" w:color="auto"/>
            <w:bottom w:val="none" w:sz="0" w:space="0" w:color="auto"/>
            <w:right w:val="none" w:sz="0" w:space="0" w:color="auto"/>
          </w:divBdr>
        </w:div>
      </w:divsChild>
    </w:div>
    <w:div w:id="1542940511">
      <w:bodyDiv w:val="1"/>
      <w:marLeft w:val="0"/>
      <w:marRight w:val="0"/>
      <w:marTop w:val="0"/>
      <w:marBottom w:val="0"/>
      <w:divBdr>
        <w:top w:val="none" w:sz="0" w:space="0" w:color="auto"/>
        <w:left w:val="none" w:sz="0" w:space="0" w:color="auto"/>
        <w:bottom w:val="none" w:sz="0" w:space="0" w:color="auto"/>
        <w:right w:val="none" w:sz="0" w:space="0" w:color="auto"/>
      </w:divBdr>
      <w:divsChild>
        <w:div w:id="1194730884">
          <w:marLeft w:val="0"/>
          <w:marRight w:val="0"/>
          <w:marTop w:val="0"/>
          <w:marBottom w:val="0"/>
          <w:divBdr>
            <w:top w:val="none" w:sz="0" w:space="0" w:color="auto"/>
            <w:left w:val="none" w:sz="0" w:space="0" w:color="auto"/>
            <w:bottom w:val="none" w:sz="0" w:space="0" w:color="auto"/>
            <w:right w:val="none" w:sz="0" w:space="0" w:color="auto"/>
          </w:divBdr>
          <w:divsChild>
            <w:div w:id="1673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817">
      <w:bodyDiv w:val="1"/>
      <w:marLeft w:val="0"/>
      <w:marRight w:val="0"/>
      <w:marTop w:val="0"/>
      <w:marBottom w:val="0"/>
      <w:divBdr>
        <w:top w:val="none" w:sz="0" w:space="0" w:color="auto"/>
        <w:left w:val="none" w:sz="0" w:space="0" w:color="auto"/>
        <w:bottom w:val="none" w:sz="0" w:space="0" w:color="auto"/>
        <w:right w:val="none" w:sz="0" w:space="0" w:color="auto"/>
      </w:divBdr>
      <w:divsChild>
        <w:div w:id="952134938">
          <w:marLeft w:val="0"/>
          <w:marRight w:val="0"/>
          <w:marTop w:val="0"/>
          <w:marBottom w:val="0"/>
          <w:divBdr>
            <w:top w:val="none" w:sz="0" w:space="0" w:color="auto"/>
            <w:left w:val="none" w:sz="0" w:space="0" w:color="auto"/>
            <w:bottom w:val="none" w:sz="0" w:space="0" w:color="auto"/>
            <w:right w:val="none" w:sz="0" w:space="0" w:color="auto"/>
          </w:divBdr>
        </w:div>
        <w:div w:id="838470496">
          <w:marLeft w:val="0"/>
          <w:marRight w:val="0"/>
          <w:marTop w:val="0"/>
          <w:marBottom w:val="0"/>
          <w:divBdr>
            <w:top w:val="none" w:sz="0" w:space="0" w:color="auto"/>
            <w:left w:val="none" w:sz="0" w:space="0" w:color="auto"/>
            <w:bottom w:val="none" w:sz="0" w:space="0" w:color="auto"/>
            <w:right w:val="none" w:sz="0" w:space="0" w:color="auto"/>
          </w:divBdr>
        </w:div>
        <w:div w:id="1724937460">
          <w:marLeft w:val="0"/>
          <w:marRight w:val="0"/>
          <w:marTop w:val="0"/>
          <w:marBottom w:val="0"/>
          <w:divBdr>
            <w:top w:val="none" w:sz="0" w:space="0" w:color="auto"/>
            <w:left w:val="none" w:sz="0" w:space="0" w:color="auto"/>
            <w:bottom w:val="none" w:sz="0" w:space="0" w:color="auto"/>
            <w:right w:val="none" w:sz="0" w:space="0" w:color="auto"/>
          </w:divBdr>
        </w:div>
        <w:div w:id="1428576289">
          <w:marLeft w:val="0"/>
          <w:marRight w:val="0"/>
          <w:marTop w:val="0"/>
          <w:marBottom w:val="0"/>
          <w:divBdr>
            <w:top w:val="none" w:sz="0" w:space="0" w:color="auto"/>
            <w:left w:val="none" w:sz="0" w:space="0" w:color="auto"/>
            <w:bottom w:val="none" w:sz="0" w:space="0" w:color="auto"/>
            <w:right w:val="none" w:sz="0" w:space="0" w:color="auto"/>
          </w:divBdr>
        </w:div>
        <w:div w:id="322970362">
          <w:marLeft w:val="0"/>
          <w:marRight w:val="0"/>
          <w:marTop w:val="0"/>
          <w:marBottom w:val="0"/>
          <w:divBdr>
            <w:top w:val="none" w:sz="0" w:space="0" w:color="auto"/>
            <w:left w:val="none" w:sz="0" w:space="0" w:color="auto"/>
            <w:bottom w:val="none" w:sz="0" w:space="0" w:color="auto"/>
            <w:right w:val="none" w:sz="0" w:space="0" w:color="auto"/>
          </w:divBdr>
        </w:div>
      </w:divsChild>
    </w:div>
    <w:div w:id="1586189564">
      <w:bodyDiv w:val="1"/>
      <w:marLeft w:val="0"/>
      <w:marRight w:val="0"/>
      <w:marTop w:val="0"/>
      <w:marBottom w:val="0"/>
      <w:divBdr>
        <w:top w:val="none" w:sz="0" w:space="0" w:color="auto"/>
        <w:left w:val="none" w:sz="0" w:space="0" w:color="auto"/>
        <w:bottom w:val="none" w:sz="0" w:space="0" w:color="auto"/>
        <w:right w:val="none" w:sz="0" w:space="0" w:color="auto"/>
      </w:divBdr>
    </w:div>
    <w:div w:id="1590580064">
      <w:bodyDiv w:val="1"/>
      <w:marLeft w:val="0"/>
      <w:marRight w:val="0"/>
      <w:marTop w:val="0"/>
      <w:marBottom w:val="0"/>
      <w:divBdr>
        <w:top w:val="none" w:sz="0" w:space="0" w:color="auto"/>
        <w:left w:val="none" w:sz="0" w:space="0" w:color="auto"/>
        <w:bottom w:val="none" w:sz="0" w:space="0" w:color="auto"/>
        <w:right w:val="none" w:sz="0" w:space="0" w:color="auto"/>
      </w:divBdr>
    </w:div>
    <w:div w:id="1593586789">
      <w:bodyDiv w:val="1"/>
      <w:marLeft w:val="0"/>
      <w:marRight w:val="0"/>
      <w:marTop w:val="0"/>
      <w:marBottom w:val="0"/>
      <w:divBdr>
        <w:top w:val="none" w:sz="0" w:space="0" w:color="auto"/>
        <w:left w:val="none" w:sz="0" w:space="0" w:color="auto"/>
        <w:bottom w:val="none" w:sz="0" w:space="0" w:color="auto"/>
        <w:right w:val="none" w:sz="0" w:space="0" w:color="auto"/>
      </w:divBdr>
    </w:div>
    <w:div w:id="1668704995">
      <w:bodyDiv w:val="1"/>
      <w:marLeft w:val="0"/>
      <w:marRight w:val="0"/>
      <w:marTop w:val="0"/>
      <w:marBottom w:val="0"/>
      <w:divBdr>
        <w:top w:val="none" w:sz="0" w:space="0" w:color="auto"/>
        <w:left w:val="none" w:sz="0" w:space="0" w:color="auto"/>
        <w:bottom w:val="none" w:sz="0" w:space="0" w:color="auto"/>
        <w:right w:val="none" w:sz="0" w:space="0" w:color="auto"/>
      </w:divBdr>
      <w:divsChild>
        <w:div w:id="1361471041">
          <w:marLeft w:val="0"/>
          <w:marRight w:val="0"/>
          <w:marTop w:val="0"/>
          <w:marBottom w:val="0"/>
          <w:divBdr>
            <w:top w:val="none" w:sz="0" w:space="0" w:color="auto"/>
            <w:left w:val="none" w:sz="0" w:space="0" w:color="auto"/>
            <w:bottom w:val="none" w:sz="0" w:space="0" w:color="auto"/>
            <w:right w:val="none" w:sz="0" w:space="0" w:color="auto"/>
          </w:divBdr>
        </w:div>
      </w:divsChild>
    </w:div>
    <w:div w:id="1670210570">
      <w:bodyDiv w:val="1"/>
      <w:marLeft w:val="0"/>
      <w:marRight w:val="0"/>
      <w:marTop w:val="0"/>
      <w:marBottom w:val="0"/>
      <w:divBdr>
        <w:top w:val="none" w:sz="0" w:space="0" w:color="auto"/>
        <w:left w:val="none" w:sz="0" w:space="0" w:color="auto"/>
        <w:bottom w:val="none" w:sz="0" w:space="0" w:color="auto"/>
        <w:right w:val="none" w:sz="0" w:space="0" w:color="auto"/>
      </w:divBdr>
      <w:divsChild>
        <w:div w:id="1057706609">
          <w:marLeft w:val="0"/>
          <w:marRight w:val="0"/>
          <w:marTop w:val="0"/>
          <w:marBottom w:val="0"/>
          <w:divBdr>
            <w:top w:val="none" w:sz="0" w:space="0" w:color="auto"/>
            <w:left w:val="none" w:sz="0" w:space="0" w:color="auto"/>
            <w:bottom w:val="none" w:sz="0" w:space="0" w:color="auto"/>
            <w:right w:val="none" w:sz="0" w:space="0" w:color="auto"/>
          </w:divBdr>
        </w:div>
      </w:divsChild>
    </w:div>
    <w:div w:id="1693799367">
      <w:bodyDiv w:val="1"/>
      <w:marLeft w:val="0"/>
      <w:marRight w:val="0"/>
      <w:marTop w:val="0"/>
      <w:marBottom w:val="0"/>
      <w:divBdr>
        <w:top w:val="none" w:sz="0" w:space="0" w:color="auto"/>
        <w:left w:val="none" w:sz="0" w:space="0" w:color="auto"/>
        <w:bottom w:val="none" w:sz="0" w:space="0" w:color="auto"/>
        <w:right w:val="none" w:sz="0" w:space="0" w:color="auto"/>
      </w:divBdr>
      <w:divsChild>
        <w:div w:id="456529864">
          <w:marLeft w:val="0"/>
          <w:marRight w:val="0"/>
          <w:marTop w:val="0"/>
          <w:marBottom w:val="0"/>
          <w:divBdr>
            <w:top w:val="none" w:sz="0" w:space="0" w:color="auto"/>
            <w:left w:val="none" w:sz="0" w:space="0" w:color="auto"/>
            <w:bottom w:val="none" w:sz="0" w:space="0" w:color="auto"/>
            <w:right w:val="none" w:sz="0" w:space="0" w:color="auto"/>
          </w:divBdr>
        </w:div>
      </w:divsChild>
    </w:div>
    <w:div w:id="1700400247">
      <w:bodyDiv w:val="1"/>
      <w:marLeft w:val="0"/>
      <w:marRight w:val="0"/>
      <w:marTop w:val="0"/>
      <w:marBottom w:val="0"/>
      <w:divBdr>
        <w:top w:val="none" w:sz="0" w:space="0" w:color="auto"/>
        <w:left w:val="none" w:sz="0" w:space="0" w:color="auto"/>
        <w:bottom w:val="none" w:sz="0" w:space="0" w:color="auto"/>
        <w:right w:val="none" w:sz="0" w:space="0" w:color="auto"/>
      </w:divBdr>
      <w:divsChild>
        <w:div w:id="1324092153">
          <w:marLeft w:val="0"/>
          <w:marRight w:val="0"/>
          <w:marTop w:val="0"/>
          <w:marBottom w:val="0"/>
          <w:divBdr>
            <w:top w:val="none" w:sz="0" w:space="0" w:color="auto"/>
            <w:left w:val="none" w:sz="0" w:space="0" w:color="auto"/>
            <w:bottom w:val="none" w:sz="0" w:space="0" w:color="auto"/>
            <w:right w:val="none" w:sz="0" w:space="0" w:color="auto"/>
          </w:divBdr>
        </w:div>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1717895431">
      <w:bodyDiv w:val="1"/>
      <w:marLeft w:val="0"/>
      <w:marRight w:val="0"/>
      <w:marTop w:val="0"/>
      <w:marBottom w:val="0"/>
      <w:divBdr>
        <w:top w:val="none" w:sz="0" w:space="0" w:color="auto"/>
        <w:left w:val="none" w:sz="0" w:space="0" w:color="auto"/>
        <w:bottom w:val="none" w:sz="0" w:space="0" w:color="auto"/>
        <w:right w:val="none" w:sz="0" w:space="0" w:color="auto"/>
      </w:divBdr>
    </w:div>
    <w:div w:id="1724712842">
      <w:bodyDiv w:val="1"/>
      <w:marLeft w:val="0"/>
      <w:marRight w:val="0"/>
      <w:marTop w:val="0"/>
      <w:marBottom w:val="0"/>
      <w:divBdr>
        <w:top w:val="none" w:sz="0" w:space="0" w:color="auto"/>
        <w:left w:val="none" w:sz="0" w:space="0" w:color="auto"/>
        <w:bottom w:val="none" w:sz="0" w:space="0" w:color="auto"/>
        <w:right w:val="none" w:sz="0" w:space="0" w:color="auto"/>
      </w:divBdr>
      <w:divsChild>
        <w:div w:id="1139492788">
          <w:marLeft w:val="0"/>
          <w:marRight w:val="0"/>
          <w:marTop w:val="0"/>
          <w:marBottom w:val="0"/>
          <w:divBdr>
            <w:top w:val="none" w:sz="0" w:space="0" w:color="auto"/>
            <w:left w:val="none" w:sz="0" w:space="0" w:color="auto"/>
            <w:bottom w:val="none" w:sz="0" w:space="0" w:color="auto"/>
            <w:right w:val="none" w:sz="0" w:space="0" w:color="auto"/>
          </w:divBdr>
        </w:div>
      </w:divsChild>
    </w:div>
    <w:div w:id="1728843098">
      <w:bodyDiv w:val="1"/>
      <w:marLeft w:val="0"/>
      <w:marRight w:val="0"/>
      <w:marTop w:val="0"/>
      <w:marBottom w:val="0"/>
      <w:divBdr>
        <w:top w:val="none" w:sz="0" w:space="0" w:color="auto"/>
        <w:left w:val="none" w:sz="0" w:space="0" w:color="auto"/>
        <w:bottom w:val="none" w:sz="0" w:space="0" w:color="auto"/>
        <w:right w:val="none" w:sz="0" w:space="0" w:color="auto"/>
      </w:divBdr>
    </w:div>
    <w:div w:id="1775904313">
      <w:bodyDiv w:val="1"/>
      <w:marLeft w:val="0"/>
      <w:marRight w:val="0"/>
      <w:marTop w:val="0"/>
      <w:marBottom w:val="0"/>
      <w:divBdr>
        <w:top w:val="none" w:sz="0" w:space="0" w:color="auto"/>
        <w:left w:val="none" w:sz="0" w:space="0" w:color="auto"/>
        <w:bottom w:val="none" w:sz="0" w:space="0" w:color="auto"/>
        <w:right w:val="none" w:sz="0" w:space="0" w:color="auto"/>
      </w:divBdr>
    </w:div>
    <w:div w:id="1778913217">
      <w:bodyDiv w:val="1"/>
      <w:marLeft w:val="0"/>
      <w:marRight w:val="0"/>
      <w:marTop w:val="0"/>
      <w:marBottom w:val="0"/>
      <w:divBdr>
        <w:top w:val="none" w:sz="0" w:space="0" w:color="auto"/>
        <w:left w:val="none" w:sz="0" w:space="0" w:color="auto"/>
        <w:bottom w:val="none" w:sz="0" w:space="0" w:color="auto"/>
        <w:right w:val="none" w:sz="0" w:space="0" w:color="auto"/>
      </w:divBdr>
      <w:divsChild>
        <w:div w:id="100272738">
          <w:marLeft w:val="0"/>
          <w:marRight w:val="0"/>
          <w:marTop w:val="0"/>
          <w:marBottom w:val="0"/>
          <w:divBdr>
            <w:top w:val="none" w:sz="0" w:space="0" w:color="auto"/>
            <w:left w:val="none" w:sz="0" w:space="0" w:color="auto"/>
            <w:bottom w:val="none" w:sz="0" w:space="0" w:color="auto"/>
            <w:right w:val="none" w:sz="0" w:space="0" w:color="auto"/>
          </w:divBdr>
          <w:divsChild>
            <w:div w:id="1224826293">
              <w:marLeft w:val="0"/>
              <w:marRight w:val="0"/>
              <w:marTop w:val="0"/>
              <w:marBottom w:val="0"/>
              <w:divBdr>
                <w:top w:val="none" w:sz="0" w:space="0" w:color="auto"/>
                <w:left w:val="none" w:sz="0" w:space="0" w:color="auto"/>
                <w:bottom w:val="none" w:sz="0" w:space="0" w:color="auto"/>
                <w:right w:val="none" w:sz="0" w:space="0" w:color="auto"/>
              </w:divBdr>
              <w:divsChild>
                <w:div w:id="119417370">
                  <w:marLeft w:val="0"/>
                  <w:marRight w:val="0"/>
                  <w:marTop w:val="0"/>
                  <w:marBottom w:val="0"/>
                  <w:divBdr>
                    <w:top w:val="none" w:sz="0" w:space="0" w:color="auto"/>
                    <w:left w:val="none" w:sz="0" w:space="0" w:color="auto"/>
                    <w:bottom w:val="none" w:sz="0" w:space="0" w:color="auto"/>
                    <w:right w:val="none" w:sz="0" w:space="0" w:color="auto"/>
                  </w:divBdr>
                  <w:divsChild>
                    <w:div w:id="8186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9288">
          <w:marLeft w:val="0"/>
          <w:marRight w:val="0"/>
          <w:marTop w:val="0"/>
          <w:marBottom w:val="0"/>
          <w:divBdr>
            <w:top w:val="none" w:sz="0" w:space="0" w:color="auto"/>
            <w:left w:val="none" w:sz="0" w:space="0" w:color="auto"/>
            <w:bottom w:val="none" w:sz="0" w:space="0" w:color="auto"/>
            <w:right w:val="none" w:sz="0" w:space="0" w:color="auto"/>
          </w:divBdr>
          <w:divsChild>
            <w:div w:id="252009112">
              <w:marLeft w:val="0"/>
              <w:marRight w:val="0"/>
              <w:marTop w:val="0"/>
              <w:marBottom w:val="0"/>
              <w:divBdr>
                <w:top w:val="none" w:sz="0" w:space="0" w:color="auto"/>
                <w:left w:val="none" w:sz="0" w:space="0" w:color="auto"/>
                <w:bottom w:val="none" w:sz="0" w:space="0" w:color="auto"/>
                <w:right w:val="none" w:sz="0" w:space="0" w:color="auto"/>
              </w:divBdr>
              <w:divsChild>
                <w:div w:id="932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699">
          <w:marLeft w:val="0"/>
          <w:marRight w:val="0"/>
          <w:marTop w:val="0"/>
          <w:marBottom w:val="0"/>
          <w:divBdr>
            <w:top w:val="none" w:sz="0" w:space="0" w:color="auto"/>
            <w:left w:val="none" w:sz="0" w:space="0" w:color="auto"/>
            <w:bottom w:val="none" w:sz="0" w:space="0" w:color="auto"/>
            <w:right w:val="none" w:sz="0" w:space="0" w:color="auto"/>
          </w:divBdr>
          <w:divsChild>
            <w:div w:id="843324374">
              <w:marLeft w:val="0"/>
              <w:marRight w:val="0"/>
              <w:marTop w:val="0"/>
              <w:marBottom w:val="0"/>
              <w:divBdr>
                <w:top w:val="none" w:sz="0" w:space="0" w:color="auto"/>
                <w:left w:val="none" w:sz="0" w:space="0" w:color="auto"/>
                <w:bottom w:val="none" w:sz="0" w:space="0" w:color="auto"/>
                <w:right w:val="none" w:sz="0" w:space="0" w:color="auto"/>
              </w:divBdr>
              <w:divsChild>
                <w:div w:id="1714114894">
                  <w:marLeft w:val="0"/>
                  <w:marRight w:val="0"/>
                  <w:marTop w:val="0"/>
                  <w:marBottom w:val="0"/>
                  <w:divBdr>
                    <w:top w:val="none" w:sz="0" w:space="0" w:color="auto"/>
                    <w:left w:val="none" w:sz="0" w:space="0" w:color="auto"/>
                    <w:bottom w:val="none" w:sz="0" w:space="0" w:color="auto"/>
                    <w:right w:val="none" w:sz="0" w:space="0" w:color="auto"/>
                  </w:divBdr>
                  <w:divsChild>
                    <w:div w:id="1234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2374">
      <w:bodyDiv w:val="1"/>
      <w:marLeft w:val="0"/>
      <w:marRight w:val="0"/>
      <w:marTop w:val="0"/>
      <w:marBottom w:val="0"/>
      <w:divBdr>
        <w:top w:val="none" w:sz="0" w:space="0" w:color="auto"/>
        <w:left w:val="none" w:sz="0" w:space="0" w:color="auto"/>
        <w:bottom w:val="none" w:sz="0" w:space="0" w:color="auto"/>
        <w:right w:val="none" w:sz="0" w:space="0" w:color="auto"/>
      </w:divBdr>
      <w:divsChild>
        <w:div w:id="177816453">
          <w:marLeft w:val="0"/>
          <w:marRight w:val="0"/>
          <w:marTop w:val="0"/>
          <w:marBottom w:val="0"/>
          <w:divBdr>
            <w:top w:val="none" w:sz="0" w:space="0" w:color="auto"/>
            <w:left w:val="none" w:sz="0" w:space="0" w:color="auto"/>
            <w:bottom w:val="none" w:sz="0" w:space="0" w:color="auto"/>
            <w:right w:val="none" w:sz="0" w:space="0" w:color="auto"/>
          </w:divBdr>
          <w:divsChild>
            <w:div w:id="337584455">
              <w:marLeft w:val="0"/>
              <w:marRight w:val="0"/>
              <w:marTop w:val="0"/>
              <w:marBottom w:val="0"/>
              <w:divBdr>
                <w:top w:val="none" w:sz="0" w:space="0" w:color="auto"/>
                <w:left w:val="none" w:sz="0" w:space="0" w:color="auto"/>
                <w:bottom w:val="none" w:sz="0" w:space="0" w:color="auto"/>
                <w:right w:val="none" w:sz="0" w:space="0" w:color="auto"/>
              </w:divBdr>
              <w:divsChild>
                <w:div w:id="885141348">
                  <w:marLeft w:val="0"/>
                  <w:marRight w:val="0"/>
                  <w:marTop w:val="0"/>
                  <w:marBottom w:val="0"/>
                  <w:divBdr>
                    <w:top w:val="none" w:sz="0" w:space="0" w:color="auto"/>
                    <w:left w:val="none" w:sz="0" w:space="0" w:color="auto"/>
                    <w:bottom w:val="none" w:sz="0" w:space="0" w:color="auto"/>
                    <w:right w:val="none" w:sz="0" w:space="0" w:color="auto"/>
                  </w:divBdr>
                </w:div>
              </w:divsChild>
            </w:div>
            <w:div w:id="702176462">
              <w:marLeft w:val="0"/>
              <w:marRight w:val="0"/>
              <w:marTop w:val="0"/>
              <w:marBottom w:val="0"/>
              <w:divBdr>
                <w:top w:val="none" w:sz="0" w:space="0" w:color="auto"/>
                <w:left w:val="none" w:sz="0" w:space="0" w:color="auto"/>
                <w:bottom w:val="none" w:sz="0" w:space="0" w:color="auto"/>
                <w:right w:val="none" w:sz="0" w:space="0" w:color="auto"/>
              </w:divBdr>
            </w:div>
            <w:div w:id="2074547711">
              <w:marLeft w:val="0"/>
              <w:marRight w:val="0"/>
              <w:marTop w:val="0"/>
              <w:marBottom w:val="0"/>
              <w:divBdr>
                <w:top w:val="none" w:sz="0" w:space="0" w:color="auto"/>
                <w:left w:val="none" w:sz="0" w:space="0" w:color="auto"/>
                <w:bottom w:val="none" w:sz="0" w:space="0" w:color="auto"/>
                <w:right w:val="none" w:sz="0" w:space="0" w:color="auto"/>
              </w:divBdr>
            </w:div>
            <w:div w:id="1441529949">
              <w:marLeft w:val="0"/>
              <w:marRight w:val="0"/>
              <w:marTop w:val="0"/>
              <w:marBottom w:val="0"/>
              <w:divBdr>
                <w:top w:val="none" w:sz="0" w:space="0" w:color="auto"/>
                <w:left w:val="none" w:sz="0" w:space="0" w:color="auto"/>
                <w:bottom w:val="none" w:sz="0" w:space="0" w:color="auto"/>
                <w:right w:val="none" w:sz="0" w:space="0" w:color="auto"/>
              </w:divBdr>
            </w:div>
            <w:div w:id="2076123770">
              <w:marLeft w:val="0"/>
              <w:marRight w:val="0"/>
              <w:marTop w:val="0"/>
              <w:marBottom w:val="0"/>
              <w:divBdr>
                <w:top w:val="none" w:sz="0" w:space="0" w:color="auto"/>
                <w:left w:val="none" w:sz="0" w:space="0" w:color="auto"/>
                <w:bottom w:val="none" w:sz="0" w:space="0" w:color="auto"/>
                <w:right w:val="none" w:sz="0" w:space="0" w:color="auto"/>
              </w:divBdr>
            </w:div>
            <w:div w:id="9115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693">
      <w:bodyDiv w:val="1"/>
      <w:marLeft w:val="0"/>
      <w:marRight w:val="0"/>
      <w:marTop w:val="0"/>
      <w:marBottom w:val="0"/>
      <w:divBdr>
        <w:top w:val="none" w:sz="0" w:space="0" w:color="auto"/>
        <w:left w:val="none" w:sz="0" w:space="0" w:color="auto"/>
        <w:bottom w:val="none" w:sz="0" w:space="0" w:color="auto"/>
        <w:right w:val="none" w:sz="0" w:space="0" w:color="auto"/>
      </w:divBdr>
    </w:div>
    <w:div w:id="1819034694">
      <w:bodyDiv w:val="1"/>
      <w:marLeft w:val="0"/>
      <w:marRight w:val="0"/>
      <w:marTop w:val="0"/>
      <w:marBottom w:val="0"/>
      <w:divBdr>
        <w:top w:val="none" w:sz="0" w:space="0" w:color="auto"/>
        <w:left w:val="none" w:sz="0" w:space="0" w:color="auto"/>
        <w:bottom w:val="none" w:sz="0" w:space="0" w:color="auto"/>
        <w:right w:val="none" w:sz="0" w:space="0" w:color="auto"/>
      </w:divBdr>
    </w:div>
    <w:div w:id="1819688347">
      <w:bodyDiv w:val="1"/>
      <w:marLeft w:val="0"/>
      <w:marRight w:val="0"/>
      <w:marTop w:val="0"/>
      <w:marBottom w:val="0"/>
      <w:divBdr>
        <w:top w:val="none" w:sz="0" w:space="0" w:color="auto"/>
        <w:left w:val="none" w:sz="0" w:space="0" w:color="auto"/>
        <w:bottom w:val="none" w:sz="0" w:space="0" w:color="auto"/>
        <w:right w:val="none" w:sz="0" w:space="0" w:color="auto"/>
      </w:divBdr>
      <w:divsChild>
        <w:div w:id="2141419474">
          <w:marLeft w:val="0"/>
          <w:marRight w:val="0"/>
          <w:marTop w:val="0"/>
          <w:marBottom w:val="0"/>
          <w:divBdr>
            <w:top w:val="none" w:sz="0" w:space="0" w:color="auto"/>
            <w:left w:val="none" w:sz="0" w:space="0" w:color="auto"/>
            <w:bottom w:val="none" w:sz="0" w:space="0" w:color="auto"/>
            <w:right w:val="none" w:sz="0" w:space="0" w:color="auto"/>
          </w:divBdr>
        </w:div>
      </w:divsChild>
    </w:div>
    <w:div w:id="1820070910">
      <w:bodyDiv w:val="1"/>
      <w:marLeft w:val="0"/>
      <w:marRight w:val="0"/>
      <w:marTop w:val="0"/>
      <w:marBottom w:val="0"/>
      <w:divBdr>
        <w:top w:val="none" w:sz="0" w:space="0" w:color="auto"/>
        <w:left w:val="none" w:sz="0" w:space="0" w:color="auto"/>
        <w:bottom w:val="none" w:sz="0" w:space="0" w:color="auto"/>
        <w:right w:val="none" w:sz="0" w:space="0" w:color="auto"/>
      </w:divBdr>
      <w:divsChild>
        <w:div w:id="514197299">
          <w:marLeft w:val="0"/>
          <w:marRight w:val="0"/>
          <w:marTop w:val="0"/>
          <w:marBottom w:val="0"/>
          <w:divBdr>
            <w:top w:val="none" w:sz="0" w:space="0" w:color="auto"/>
            <w:left w:val="none" w:sz="0" w:space="0" w:color="auto"/>
            <w:bottom w:val="none" w:sz="0" w:space="0" w:color="auto"/>
            <w:right w:val="none" w:sz="0" w:space="0" w:color="auto"/>
          </w:divBdr>
          <w:divsChild>
            <w:div w:id="261500018">
              <w:marLeft w:val="0"/>
              <w:marRight w:val="0"/>
              <w:marTop w:val="0"/>
              <w:marBottom w:val="0"/>
              <w:divBdr>
                <w:top w:val="none" w:sz="0" w:space="0" w:color="auto"/>
                <w:left w:val="none" w:sz="0" w:space="0" w:color="auto"/>
                <w:bottom w:val="none" w:sz="0" w:space="0" w:color="auto"/>
                <w:right w:val="none" w:sz="0" w:space="0" w:color="auto"/>
              </w:divBdr>
            </w:div>
          </w:divsChild>
        </w:div>
        <w:div w:id="1403332310">
          <w:marLeft w:val="0"/>
          <w:marRight w:val="0"/>
          <w:marTop w:val="0"/>
          <w:marBottom w:val="0"/>
          <w:divBdr>
            <w:top w:val="none" w:sz="0" w:space="0" w:color="auto"/>
            <w:left w:val="none" w:sz="0" w:space="0" w:color="auto"/>
            <w:bottom w:val="none" w:sz="0" w:space="0" w:color="auto"/>
            <w:right w:val="none" w:sz="0" w:space="0" w:color="auto"/>
          </w:divBdr>
          <w:divsChild>
            <w:div w:id="772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40191">
      <w:bodyDiv w:val="1"/>
      <w:marLeft w:val="0"/>
      <w:marRight w:val="0"/>
      <w:marTop w:val="0"/>
      <w:marBottom w:val="0"/>
      <w:divBdr>
        <w:top w:val="none" w:sz="0" w:space="0" w:color="auto"/>
        <w:left w:val="none" w:sz="0" w:space="0" w:color="auto"/>
        <w:bottom w:val="none" w:sz="0" w:space="0" w:color="auto"/>
        <w:right w:val="none" w:sz="0" w:space="0" w:color="auto"/>
      </w:divBdr>
      <w:divsChild>
        <w:div w:id="1478721377">
          <w:marLeft w:val="0"/>
          <w:marRight w:val="0"/>
          <w:marTop w:val="0"/>
          <w:marBottom w:val="0"/>
          <w:divBdr>
            <w:top w:val="none" w:sz="0" w:space="0" w:color="auto"/>
            <w:left w:val="none" w:sz="0" w:space="0" w:color="auto"/>
            <w:bottom w:val="none" w:sz="0" w:space="0" w:color="auto"/>
            <w:right w:val="none" w:sz="0" w:space="0" w:color="auto"/>
          </w:divBdr>
          <w:divsChild>
            <w:div w:id="88234386">
              <w:marLeft w:val="0"/>
              <w:marRight w:val="0"/>
              <w:marTop w:val="0"/>
              <w:marBottom w:val="0"/>
              <w:divBdr>
                <w:top w:val="none" w:sz="0" w:space="0" w:color="auto"/>
                <w:left w:val="none" w:sz="0" w:space="0" w:color="auto"/>
                <w:bottom w:val="none" w:sz="0" w:space="0" w:color="auto"/>
                <w:right w:val="none" w:sz="0" w:space="0" w:color="auto"/>
              </w:divBdr>
              <w:divsChild>
                <w:div w:id="1744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9286">
      <w:bodyDiv w:val="1"/>
      <w:marLeft w:val="0"/>
      <w:marRight w:val="0"/>
      <w:marTop w:val="0"/>
      <w:marBottom w:val="0"/>
      <w:divBdr>
        <w:top w:val="none" w:sz="0" w:space="0" w:color="auto"/>
        <w:left w:val="none" w:sz="0" w:space="0" w:color="auto"/>
        <w:bottom w:val="none" w:sz="0" w:space="0" w:color="auto"/>
        <w:right w:val="none" w:sz="0" w:space="0" w:color="auto"/>
      </w:divBdr>
      <w:divsChild>
        <w:div w:id="1660890804">
          <w:marLeft w:val="0"/>
          <w:marRight w:val="0"/>
          <w:marTop w:val="0"/>
          <w:marBottom w:val="0"/>
          <w:divBdr>
            <w:top w:val="none" w:sz="0" w:space="0" w:color="auto"/>
            <w:left w:val="none" w:sz="0" w:space="0" w:color="auto"/>
            <w:bottom w:val="none" w:sz="0" w:space="0" w:color="auto"/>
            <w:right w:val="none" w:sz="0" w:space="0" w:color="auto"/>
          </w:divBdr>
          <w:divsChild>
            <w:div w:id="241063234">
              <w:marLeft w:val="0"/>
              <w:marRight w:val="0"/>
              <w:marTop w:val="0"/>
              <w:marBottom w:val="0"/>
              <w:divBdr>
                <w:top w:val="none" w:sz="0" w:space="0" w:color="auto"/>
                <w:left w:val="none" w:sz="0" w:space="0" w:color="auto"/>
                <w:bottom w:val="none" w:sz="0" w:space="0" w:color="auto"/>
                <w:right w:val="none" w:sz="0" w:space="0" w:color="auto"/>
              </w:divBdr>
            </w:div>
          </w:divsChild>
        </w:div>
        <w:div w:id="1307663845">
          <w:marLeft w:val="0"/>
          <w:marRight w:val="0"/>
          <w:marTop w:val="0"/>
          <w:marBottom w:val="0"/>
          <w:divBdr>
            <w:top w:val="none" w:sz="0" w:space="0" w:color="auto"/>
            <w:left w:val="none" w:sz="0" w:space="0" w:color="auto"/>
            <w:bottom w:val="none" w:sz="0" w:space="0" w:color="auto"/>
            <w:right w:val="none" w:sz="0" w:space="0" w:color="auto"/>
          </w:divBdr>
        </w:div>
        <w:div w:id="975795866">
          <w:marLeft w:val="0"/>
          <w:marRight w:val="0"/>
          <w:marTop w:val="0"/>
          <w:marBottom w:val="0"/>
          <w:divBdr>
            <w:top w:val="none" w:sz="0" w:space="0" w:color="auto"/>
            <w:left w:val="none" w:sz="0" w:space="0" w:color="auto"/>
            <w:bottom w:val="none" w:sz="0" w:space="0" w:color="auto"/>
            <w:right w:val="none" w:sz="0" w:space="0" w:color="auto"/>
          </w:divBdr>
        </w:div>
        <w:div w:id="659162568">
          <w:marLeft w:val="0"/>
          <w:marRight w:val="0"/>
          <w:marTop w:val="0"/>
          <w:marBottom w:val="0"/>
          <w:divBdr>
            <w:top w:val="none" w:sz="0" w:space="0" w:color="auto"/>
            <w:left w:val="none" w:sz="0" w:space="0" w:color="auto"/>
            <w:bottom w:val="none" w:sz="0" w:space="0" w:color="auto"/>
            <w:right w:val="none" w:sz="0" w:space="0" w:color="auto"/>
          </w:divBdr>
        </w:div>
        <w:div w:id="1432705770">
          <w:marLeft w:val="0"/>
          <w:marRight w:val="0"/>
          <w:marTop w:val="0"/>
          <w:marBottom w:val="0"/>
          <w:divBdr>
            <w:top w:val="none" w:sz="0" w:space="0" w:color="auto"/>
            <w:left w:val="none" w:sz="0" w:space="0" w:color="auto"/>
            <w:bottom w:val="none" w:sz="0" w:space="0" w:color="auto"/>
            <w:right w:val="none" w:sz="0" w:space="0" w:color="auto"/>
          </w:divBdr>
        </w:div>
      </w:divsChild>
    </w:div>
    <w:div w:id="1893229701">
      <w:bodyDiv w:val="1"/>
      <w:marLeft w:val="0"/>
      <w:marRight w:val="0"/>
      <w:marTop w:val="0"/>
      <w:marBottom w:val="0"/>
      <w:divBdr>
        <w:top w:val="none" w:sz="0" w:space="0" w:color="auto"/>
        <w:left w:val="none" w:sz="0" w:space="0" w:color="auto"/>
        <w:bottom w:val="none" w:sz="0" w:space="0" w:color="auto"/>
        <w:right w:val="none" w:sz="0" w:space="0" w:color="auto"/>
      </w:divBdr>
    </w:div>
    <w:div w:id="1895774515">
      <w:bodyDiv w:val="1"/>
      <w:marLeft w:val="0"/>
      <w:marRight w:val="0"/>
      <w:marTop w:val="0"/>
      <w:marBottom w:val="0"/>
      <w:divBdr>
        <w:top w:val="none" w:sz="0" w:space="0" w:color="auto"/>
        <w:left w:val="none" w:sz="0" w:space="0" w:color="auto"/>
        <w:bottom w:val="none" w:sz="0" w:space="0" w:color="auto"/>
        <w:right w:val="none" w:sz="0" w:space="0" w:color="auto"/>
      </w:divBdr>
      <w:divsChild>
        <w:div w:id="169947695">
          <w:marLeft w:val="0"/>
          <w:marRight w:val="0"/>
          <w:marTop w:val="260"/>
          <w:marBottom w:val="0"/>
          <w:divBdr>
            <w:top w:val="none" w:sz="0" w:space="0" w:color="auto"/>
            <w:left w:val="none" w:sz="0" w:space="0" w:color="auto"/>
            <w:bottom w:val="none" w:sz="0" w:space="0" w:color="auto"/>
            <w:right w:val="none" w:sz="0" w:space="0" w:color="auto"/>
          </w:divBdr>
          <w:divsChild>
            <w:div w:id="995187632">
              <w:marLeft w:val="0"/>
              <w:marRight w:val="0"/>
              <w:marTop w:val="0"/>
              <w:marBottom w:val="0"/>
              <w:divBdr>
                <w:top w:val="none" w:sz="0" w:space="0" w:color="auto"/>
                <w:left w:val="none" w:sz="0" w:space="0" w:color="auto"/>
                <w:bottom w:val="none" w:sz="0" w:space="0" w:color="auto"/>
                <w:right w:val="none" w:sz="0" w:space="0" w:color="auto"/>
              </w:divBdr>
              <w:divsChild>
                <w:div w:id="825391701">
                  <w:marLeft w:val="0"/>
                  <w:marRight w:val="0"/>
                  <w:marTop w:val="0"/>
                  <w:marBottom w:val="0"/>
                  <w:divBdr>
                    <w:top w:val="none" w:sz="0" w:space="0" w:color="auto"/>
                    <w:left w:val="none" w:sz="0" w:space="0" w:color="auto"/>
                    <w:bottom w:val="none" w:sz="0" w:space="0" w:color="auto"/>
                    <w:right w:val="none" w:sz="0" w:space="0" w:color="auto"/>
                  </w:divBdr>
                  <w:divsChild>
                    <w:div w:id="307365843">
                      <w:marLeft w:val="0"/>
                      <w:marRight w:val="0"/>
                      <w:marTop w:val="0"/>
                      <w:marBottom w:val="0"/>
                      <w:divBdr>
                        <w:top w:val="none" w:sz="0" w:space="0" w:color="auto"/>
                        <w:left w:val="none" w:sz="0" w:space="0" w:color="auto"/>
                        <w:bottom w:val="none" w:sz="0" w:space="0" w:color="auto"/>
                        <w:right w:val="none" w:sz="0" w:space="0" w:color="auto"/>
                      </w:divBdr>
                      <w:divsChild>
                        <w:div w:id="1205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73685">
          <w:marLeft w:val="0"/>
          <w:marRight w:val="0"/>
          <w:marTop w:val="60"/>
          <w:marBottom w:val="0"/>
          <w:divBdr>
            <w:top w:val="none" w:sz="0" w:space="0" w:color="auto"/>
            <w:left w:val="none" w:sz="0" w:space="0" w:color="auto"/>
            <w:bottom w:val="none" w:sz="0" w:space="0" w:color="auto"/>
            <w:right w:val="none" w:sz="0" w:space="0" w:color="auto"/>
          </w:divBdr>
          <w:divsChild>
            <w:div w:id="1496646861">
              <w:marLeft w:val="0"/>
              <w:marRight w:val="0"/>
              <w:marTop w:val="0"/>
              <w:marBottom w:val="0"/>
              <w:divBdr>
                <w:top w:val="none" w:sz="0" w:space="0" w:color="auto"/>
                <w:left w:val="none" w:sz="0" w:space="0" w:color="auto"/>
                <w:bottom w:val="none" w:sz="0" w:space="0" w:color="auto"/>
                <w:right w:val="none" w:sz="0" w:space="0" w:color="auto"/>
              </w:divBdr>
              <w:divsChild>
                <w:div w:id="302661305">
                  <w:marLeft w:val="0"/>
                  <w:marRight w:val="0"/>
                  <w:marTop w:val="0"/>
                  <w:marBottom w:val="0"/>
                  <w:divBdr>
                    <w:top w:val="none" w:sz="0" w:space="0" w:color="auto"/>
                    <w:left w:val="none" w:sz="0" w:space="0" w:color="auto"/>
                    <w:bottom w:val="none" w:sz="0" w:space="0" w:color="auto"/>
                    <w:right w:val="none" w:sz="0" w:space="0" w:color="auto"/>
                  </w:divBdr>
                  <w:divsChild>
                    <w:div w:id="1634939728">
                      <w:marLeft w:val="0"/>
                      <w:marRight w:val="0"/>
                      <w:marTop w:val="0"/>
                      <w:marBottom w:val="0"/>
                      <w:divBdr>
                        <w:top w:val="none" w:sz="0" w:space="0" w:color="auto"/>
                        <w:left w:val="none" w:sz="0" w:space="0" w:color="auto"/>
                        <w:bottom w:val="none" w:sz="0" w:space="0" w:color="auto"/>
                        <w:right w:val="none" w:sz="0" w:space="0" w:color="auto"/>
                      </w:divBdr>
                      <w:divsChild>
                        <w:div w:id="1318877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820">
      <w:bodyDiv w:val="1"/>
      <w:marLeft w:val="0"/>
      <w:marRight w:val="0"/>
      <w:marTop w:val="0"/>
      <w:marBottom w:val="0"/>
      <w:divBdr>
        <w:top w:val="none" w:sz="0" w:space="0" w:color="auto"/>
        <w:left w:val="none" w:sz="0" w:space="0" w:color="auto"/>
        <w:bottom w:val="none" w:sz="0" w:space="0" w:color="auto"/>
        <w:right w:val="none" w:sz="0" w:space="0" w:color="auto"/>
      </w:divBdr>
    </w:div>
    <w:div w:id="1919897906">
      <w:bodyDiv w:val="1"/>
      <w:marLeft w:val="0"/>
      <w:marRight w:val="0"/>
      <w:marTop w:val="0"/>
      <w:marBottom w:val="0"/>
      <w:divBdr>
        <w:top w:val="none" w:sz="0" w:space="0" w:color="auto"/>
        <w:left w:val="none" w:sz="0" w:space="0" w:color="auto"/>
        <w:bottom w:val="none" w:sz="0" w:space="0" w:color="auto"/>
        <w:right w:val="none" w:sz="0" w:space="0" w:color="auto"/>
      </w:divBdr>
      <w:divsChild>
        <w:div w:id="1445927487">
          <w:marLeft w:val="0"/>
          <w:marRight w:val="0"/>
          <w:marTop w:val="0"/>
          <w:marBottom w:val="0"/>
          <w:divBdr>
            <w:top w:val="none" w:sz="0" w:space="0" w:color="auto"/>
            <w:left w:val="none" w:sz="0" w:space="0" w:color="auto"/>
            <w:bottom w:val="none" w:sz="0" w:space="0" w:color="auto"/>
            <w:right w:val="none" w:sz="0" w:space="0" w:color="auto"/>
          </w:divBdr>
        </w:div>
      </w:divsChild>
    </w:div>
    <w:div w:id="1956671240">
      <w:bodyDiv w:val="1"/>
      <w:marLeft w:val="0"/>
      <w:marRight w:val="0"/>
      <w:marTop w:val="0"/>
      <w:marBottom w:val="0"/>
      <w:divBdr>
        <w:top w:val="none" w:sz="0" w:space="0" w:color="auto"/>
        <w:left w:val="none" w:sz="0" w:space="0" w:color="auto"/>
        <w:bottom w:val="none" w:sz="0" w:space="0" w:color="auto"/>
        <w:right w:val="none" w:sz="0" w:space="0" w:color="auto"/>
      </w:divBdr>
    </w:div>
    <w:div w:id="1961641235">
      <w:bodyDiv w:val="1"/>
      <w:marLeft w:val="0"/>
      <w:marRight w:val="0"/>
      <w:marTop w:val="0"/>
      <w:marBottom w:val="0"/>
      <w:divBdr>
        <w:top w:val="none" w:sz="0" w:space="0" w:color="auto"/>
        <w:left w:val="none" w:sz="0" w:space="0" w:color="auto"/>
        <w:bottom w:val="none" w:sz="0" w:space="0" w:color="auto"/>
        <w:right w:val="none" w:sz="0" w:space="0" w:color="auto"/>
      </w:divBdr>
    </w:div>
    <w:div w:id="1995142441">
      <w:bodyDiv w:val="1"/>
      <w:marLeft w:val="0"/>
      <w:marRight w:val="0"/>
      <w:marTop w:val="0"/>
      <w:marBottom w:val="0"/>
      <w:divBdr>
        <w:top w:val="none" w:sz="0" w:space="0" w:color="auto"/>
        <w:left w:val="none" w:sz="0" w:space="0" w:color="auto"/>
        <w:bottom w:val="none" w:sz="0" w:space="0" w:color="auto"/>
        <w:right w:val="none" w:sz="0" w:space="0" w:color="auto"/>
      </w:divBdr>
    </w:div>
    <w:div w:id="1995178019">
      <w:bodyDiv w:val="1"/>
      <w:marLeft w:val="0"/>
      <w:marRight w:val="0"/>
      <w:marTop w:val="0"/>
      <w:marBottom w:val="0"/>
      <w:divBdr>
        <w:top w:val="none" w:sz="0" w:space="0" w:color="auto"/>
        <w:left w:val="none" w:sz="0" w:space="0" w:color="auto"/>
        <w:bottom w:val="none" w:sz="0" w:space="0" w:color="auto"/>
        <w:right w:val="none" w:sz="0" w:space="0" w:color="auto"/>
      </w:divBdr>
      <w:divsChild>
        <w:div w:id="1635214880">
          <w:marLeft w:val="0"/>
          <w:marRight w:val="0"/>
          <w:marTop w:val="0"/>
          <w:marBottom w:val="0"/>
          <w:divBdr>
            <w:top w:val="none" w:sz="0" w:space="0" w:color="auto"/>
            <w:left w:val="none" w:sz="0" w:space="0" w:color="auto"/>
            <w:bottom w:val="none" w:sz="0" w:space="0" w:color="auto"/>
            <w:right w:val="none" w:sz="0" w:space="0" w:color="auto"/>
          </w:divBdr>
          <w:divsChild>
            <w:div w:id="1776097590">
              <w:marLeft w:val="0"/>
              <w:marRight w:val="0"/>
              <w:marTop w:val="0"/>
              <w:marBottom w:val="0"/>
              <w:divBdr>
                <w:top w:val="none" w:sz="0" w:space="0" w:color="auto"/>
                <w:left w:val="none" w:sz="0" w:space="0" w:color="auto"/>
                <w:bottom w:val="none" w:sz="0" w:space="0" w:color="auto"/>
                <w:right w:val="none" w:sz="0" w:space="0" w:color="auto"/>
              </w:divBdr>
            </w:div>
            <w:div w:id="858009791">
              <w:marLeft w:val="0"/>
              <w:marRight w:val="0"/>
              <w:marTop w:val="0"/>
              <w:marBottom w:val="0"/>
              <w:divBdr>
                <w:top w:val="none" w:sz="0" w:space="0" w:color="auto"/>
                <w:left w:val="none" w:sz="0" w:space="0" w:color="auto"/>
                <w:bottom w:val="none" w:sz="0" w:space="0" w:color="auto"/>
                <w:right w:val="none" w:sz="0" w:space="0" w:color="auto"/>
              </w:divBdr>
            </w:div>
            <w:div w:id="854077142">
              <w:marLeft w:val="0"/>
              <w:marRight w:val="0"/>
              <w:marTop w:val="0"/>
              <w:marBottom w:val="0"/>
              <w:divBdr>
                <w:top w:val="none" w:sz="0" w:space="0" w:color="auto"/>
                <w:left w:val="none" w:sz="0" w:space="0" w:color="auto"/>
                <w:bottom w:val="none" w:sz="0" w:space="0" w:color="auto"/>
                <w:right w:val="none" w:sz="0" w:space="0" w:color="auto"/>
              </w:divBdr>
            </w:div>
            <w:div w:id="1717047185">
              <w:marLeft w:val="0"/>
              <w:marRight w:val="0"/>
              <w:marTop w:val="0"/>
              <w:marBottom w:val="0"/>
              <w:divBdr>
                <w:top w:val="none" w:sz="0" w:space="0" w:color="auto"/>
                <w:left w:val="none" w:sz="0" w:space="0" w:color="auto"/>
                <w:bottom w:val="none" w:sz="0" w:space="0" w:color="auto"/>
                <w:right w:val="none" w:sz="0" w:space="0" w:color="auto"/>
              </w:divBdr>
            </w:div>
            <w:div w:id="1287076834">
              <w:marLeft w:val="0"/>
              <w:marRight w:val="0"/>
              <w:marTop w:val="0"/>
              <w:marBottom w:val="0"/>
              <w:divBdr>
                <w:top w:val="none" w:sz="0" w:space="0" w:color="auto"/>
                <w:left w:val="none" w:sz="0" w:space="0" w:color="auto"/>
                <w:bottom w:val="none" w:sz="0" w:space="0" w:color="auto"/>
                <w:right w:val="none" w:sz="0" w:space="0" w:color="auto"/>
              </w:divBdr>
            </w:div>
            <w:div w:id="1683631143">
              <w:marLeft w:val="0"/>
              <w:marRight w:val="0"/>
              <w:marTop w:val="0"/>
              <w:marBottom w:val="0"/>
              <w:divBdr>
                <w:top w:val="none" w:sz="0" w:space="0" w:color="auto"/>
                <w:left w:val="none" w:sz="0" w:space="0" w:color="auto"/>
                <w:bottom w:val="none" w:sz="0" w:space="0" w:color="auto"/>
                <w:right w:val="none" w:sz="0" w:space="0" w:color="auto"/>
              </w:divBdr>
            </w:div>
            <w:div w:id="1533609120">
              <w:marLeft w:val="0"/>
              <w:marRight w:val="0"/>
              <w:marTop w:val="0"/>
              <w:marBottom w:val="0"/>
              <w:divBdr>
                <w:top w:val="none" w:sz="0" w:space="0" w:color="auto"/>
                <w:left w:val="none" w:sz="0" w:space="0" w:color="auto"/>
                <w:bottom w:val="none" w:sz="0" w:space="0" w:color="auto"/>
                <w:right w:val="none" w:sz="0" w:space="0" w:color="auto"/>
              </w:divBdr>
            </w:div>
            <w:div w:id="83843759">
              <w:marLeft w:val="0"/>
              <w:marRight w:val="0"/>
              <w:marTop w:val="0"/>
              <w:marBottom w:val="0"/>
              <w:divBdr>
                <w:top w:val="none" w:sz="0" w:space="0" w:color="auto"/>
                <w:left w:val="none" w:sz="0" w:space="0" w:color="auto"/>
                <w:bottom w:val="none" w:sz="0" w:space="0" w:color="auto"/>
                <w:right w:val="none" w:sz="0" w:space="0" w:color="auto"/>
              </w:divBdr>
            </w:div>
            <w:div w:id="341666910">
              <w:marLeft w:val="0"/>
              <w:marRight w:val="0"/>
              <w:marTop w:val="0"/>
              <w:marBottom w:val="0"/>
              <w:divBdr>
                <w:top w:val="none" w:sz="0" w:space="0" w:color="auto"/>
                <w:left w:val="none" w:sz="0" w:space="0" w:color="auto"/>
                <w:bottom w:val="none" w:sz="0" w:space="0" w:color="auto"/>
                <w:right w:val="none" w:sz="0" w:space="0" w:color="auto"/>
              </w:divBdr>
            </w:div>
            <w:div w:id="601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54">
      <w:bodyDiv w:val="1"/>
      <w:marLeft w:val="0"/>
      <w:marRight w:val="0"/>
      <w:marTop w:val="0"/>
      <w:marBottom w:val="0"/>
      <w:divBdr>
        <w:top w:val="none" w:sz="0" w:space="0" w:color="auto"/>
        <w:left w:val="none" w:sz="0" w:space="0" w:color="auto"/>
        <w:bottom w:val="none" w:sz="0" w:space="0" w:color="auto"/>
        <w:right w:val="none" w:sz="0" w:space="0" w:color="auto"/>
      </w:divBdr>
      <w:divsChild>
        <w:div w:id="438598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65858">
      <w:bodyDiv w:val="1"/>
      <w:marLeft w:val="0"/>
      <w:marRight w:val="0"/>
      <w:marTop w:val="0"/>
      <w:marBottom w:val="0"/>
      <w:divBdr>
        <w:top w:val="none" w:sz="0" w:space="0" w:color="auto"/>
        <w:left w:val="none" w:sz="0" w:space="0" w:color="auto"/>
        <w:bottom w:val="none" w:sz="0" w:space="0" w:color="auto"/>
        <w:right w:val="none" w:sz="0" w:space="0" w:color="auto"/>
      </w:divBdr>
      <w:divsChild>
        <w:div w:id="1322733607">
          <w:marLeft w:val="0"/>
          <w:marRight w:val="0"/>
          <w:marTop w:val="0"/>
          <w:marBottom w:val="0"/>
          <w:divBdr>
            <w:top w:val="none" w:sz="0" w:space="0" w:color="auto"/>
            <w:left w:val="none" w:sz="0" w:space="0" w:color="auto"/>
            <w:bottom w:val="none" w:sz="0" w:space="0" w:color="auto"/>
            <w:right w:val="none" w:sz="0" w:space="0" w:color="auto"/>
          </w:divBdr>
        </w:div>
      </w:divsChild>
    </w:div>
    <w:div w:id="2033721952">
      <w:bodyDiv w:val="1"/>
      <w:marLeft w:val="0"/>
      <w:marRight w:val="0"/>
      <w:marTop w:val="0"/>
      <w:marBottom w:val="0"/>
      <w:divBdr>
        <w:top w:val="none" w:sz="0" w:space="0" w:color="auto"/>
        <w:left w:val="none" w:sz="0" w:space="0" w:color="auto"/>
        <w:bottom w:val="none" w:sz="0" w:space="0" w:color="auto"/>
        <w:right w:val="none" w:sz="0" w:space="0" w:color="auto"/>
      </w:divBdr>
      <w:divsChild>
        <w:div w:id="1260944903">
          <w:marLeft w:val="0"/>
          <w:marRight w:val="0"/>
          <w:marTop w:val="0"/>
          <w:marBottom w:val="0"/>
          <w:divBdr>
            <w:top w:val="none" w:sz="0" w:space="0" w:color="auto"/>
            <w:left w:val="none" w:sz="0" w:space="0" w:color="auto"/>
            <w:bottom w:val="none" w:sz="0" w:space="0" w:color="auto"/>
            <w:right w:val="none" w:sz="0" w:space="0" w:color="auto"/>
          </w:divBdr>
          <w:divsChild>
            <w:div w:id="929851785">
              <w:marLeft w:val="0"/>
              <w:marRight w:val="0"/>
              <w:marTop w:val="0"/>
              <w:marBottom w:val="0"/>
              <w:divBdr>
                <w:top w:val="none" w:sz="0" w:space="0" w:color="auto"/>
                <w:left w:val="none" w:sz="0" w:space="0" w:color="auto"/>
                <w:bottom w:val="none" w:sz="0" w:space="0" w:color="auto"/>
                <w:right w:val="none" w:sz="0" w:space="0" w:color="auto"/>
              </w:divBdr>
              <w:divsChild>
                <w:div w:id="16298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1421">
      <w:bodyDiv w:val="1"/>
      <w:marLeft w:val="0"/>
      <w:marRight w:val="0"/>
      <w:marTop w:val="0"/>
      <w:marBottom w:val="0"/>
      <w:divBdr>
        <w:top w:val="none" w:sz="0" w:space="0" w:color="auto"/>
        <w:left w:val="none" w:sz="0" w:space="0" w:color="auto"/>
        <w:bottom w:val="none" w:sz="0" w:space="0" w:color="auto"/>
        <w:right w:val="none" w:sz="0" w:space="0" w:color="auto"/>
      </w:divBdr>
    </w:div>
    <w:div w:id="2043742361">
      <w:bodyDiv w:val="1"/>
      <w:marLeft w:val="0"/>
      <w:marRight w:val="0"/>
      <w:marTop w:val="0"/>
      <w:marBottom w:val="0"/>
      <w:divBdr>
        <w:top w:val="none" w:sz="0" w:space="0" w:color="auto"/>
        <w:left w:val="none" w:sz="0" w:space="0" w:color="auto"/>
        <w:bottom w:val="none" w:sz="0" w:space="0" w:color="auto"/>
        <w:right w:val="none" w:sz="0" w:space="0" w:color="auto"/>
      </w:divBdr>
      <w:divsChild>
        <w:div w:id="1785266919">
          <w:marLeft w:val="0"/>
          <w:marRight w:val="0"/>
          <w:marTop w:val="260"/>
          <w:marBottom w:val="0"/>
          <w:divBdr>
            <w:top w:val="none" w:sz="0" w:space="0" w:color="auto"/>
            <w:left w:val="none" w:sz="0" w:space="0" w:color="auto"/>
            <w:bottom w:val="none" w:sz="0" w:space="0" w:color="auto"/>
            <w:right w:val="none" w:sz="0" w:space="0" w:color="auto"/>
          </w:divBdr>
          <w:divsChild>
            <w:div w:id="553202654">
              <w:marLeft w:val="0"/>
              <w:marRight w:val="0"/>
              <w:marTop w:val="0"/>
              <w:marBottom w:val="0"/>
              <w:divBdr>
                <w:top w:val="none" w:sz="0" w:space="0" w:color="auto"/>
                <w:left w:val="none" w:sz="0" w:space="0" w:color="auto"/>
                <w:bottom w:val="none" w:sz="0" w:space="0" w:color="auto"/>
                <w:right w:val="none" w:sz="0" w:space="0" w:color="auto"/>
              </w:divBdr>
              <w:divsChild>
                <w:div w:id="88233721">
                  <w:marLeft w:val="0"/>
                  <w:marRight w:val="0"/>
                  <w:marTop w:val="0"/>
                  <w:marBottom w:val="0"/>
                  <w:divBdr>
                    <w:top w:val="none" w:sz="0" w:space="0" w:color="auto"/>
                    <w:left w:val="none" w:sz="0" w:space="0" w:color="auto"/>
                    <w:bottom w:val="none" w:sz="0" w:space="0" w:color="auto"/>
                    <w:right w:val="none" w:sz="0" w:space="0" w:color="auto"/>
                  </w:divBdr>
                  <w:divsChild>
                    <w:div w:id="735712030">
                      <w:marLeft w:val="0"/>
                      <w:marRight w:val="0"/>
                      <w:marTop w:val="0"/>
                      <w:marBottom w:val="0"/>
                      <w:divBdr>
                        <w:top w:val="none" w:sz="0" w:space="0" w:color="auto"/>
                        <w:left w:val="none" w:sz="0" w:space="0" w:color="auto"/>
                        <w:bottom w:val="none" w:sz="0" w:space="0" w:color="auto"/>
                        <w:right w:val="none" w:sz="0" w:space="0" w:color="auto"/>
                      </w:divBdr>
                      <w:divsChild>
                        <w:div w:id="1590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682">
          <w:marLeft w:val="0"/>
          <w:marRight w:val="0"/>
          <w:marTop w:val="60"/>
          <w:marBottom w:val="0"/>
          <w:divBdr>
            <w:top w:val="none" w:sz="0" w:space="0" w:color="auto"/>
            <w:left w:val="none" w:sz="0" w:space="0" w:color="auto"/>
            <w:bottom w:val="none" w:sz="0" w:space="0" w:color="auto"/>
            <w:right w:val="none" w:sz="0" w:space="0" w:color="auto"/>
          </w:divBdr>
          <w:divsChild>
            <w:div w:id="2098357368">
              <w:marLeft w:val="0"/>
              <w:marRight w:val="0"/>
              <w:marTop w:val="0"/>
              <w:marBottom w:val="0"/>
              <w:divBdr>
                <w:top w:val="none" w:sz="0" w:space="0" w:color="auto"/>
                <w:left w:val="none" w:sz="0" w:space="0" w:color="auto"/>
                <w:bottom w:val="none" w:sz="0" w:space="0" w:color="auto"/>
                <w:right w:val="none" w:sz="0" w:space="0" w:color="auto"/>
              </w:divBdr>
              <w:divsChild>
                <w:div w:id="1251693801">
                  <w:marLeft w:val="0"/>
                  <w:marRight w:val="0"/>
                  <w:marTop w:val="0"/>
                  <w:marBottom w:val="0"/>
                  <w:divBdr>
                    <w:top w:val="none" w:sz="0" w:space="0" w:color="auto"/>
                    <w:left w:val="none" w:sz="0" w:space="0" w:color="auto"/>
                    <w:bottom w:val="none" w:sz="0" w:space="0" w:color="auto"/>
                    <w:right w:val="none" w:sz="0" w:space="0" w:color="auto"/>
                  </w:divBdr>
                  <w:divsChild>
                    <w:div w:id="1056440562">
                      <w:marLeft w:val="0"/>
                      <w:marRight w:val="0"/>
                      <w:marTop w:val="0"/>
                      <w:marBottom w:val="0"/>
                      <w:divBdr>
                        <w:top w:val="none" w:sz="0" w:space="0" w:color="auto"/>
                        <w:left w:val="none" w:sz="0" w:space="0" w:color="auto"/>
                        <w:bottom w:val="none" w:sz="0" w:space="0" w:color="auto"/>
                        <w:right w:val="none" w:sz="0" w:space="0" w:color="auto"/>
                      </w:divBdr>
                      <w:divsChild>
                        <w:div w:id="1794245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9023">
      <w:bodyDiv w:val="1"/>
      <w:marLeft w:val="0"/>
      <w:marRight w:val="0"/>
      <w:marTop w:val="0"/>
      <w:marBottom w:val="0"/>
      <w:divBdr>
        <w:top w:val="none" w:sz="0" w:space="0" w:color="auto"/>
        <w:left w:val="none" w:sz="0" w:space="0" w:color="auto"/>
        <w:bottom w:val="none" w:sz="0" w:space="0" w:color="auto"/>
        <w:right w:val="none" w:sz="0" w:space="0" w:color="auto"/>
      </w:divBdr>
    </w:div>
    <w:div w:id="2091344847">
      <w:bodyDiv w:val="1"/>
      <w:marLeft w:val="0"/>
      <w:marRight w:val="0"/>
      <w:marTop w:val="0"/>
      <w:marBottom w:val="0"/>
      <w:divBdr>
        <w:top w:val="none" w:sz="0" w:space="0" w:color="auto"/>
        <w:left w:val="none" w:sz="0" w:space="0" w:color="auto"/>
        <w:bottom w:val="none" w:sz="0" w:space="0" w:color="auto"/>
        <w:right w:val="none" w:sz="0" w:space="0" w:color="auto"/>
      </w:divBdr>
      <w:divsChild>
        <w:div w:id="293682624">
          <w:marLeft w:val="0"/>
          <w:marRight w:val="0"/>
          <w:marTop w:val="0"/>
          <w:marBottom w:val="0"/>
          <w:divBdr>
            <w:top w:val="none" w:sz="0" w:space="0" w:color="auto"/>
            <w:left w:val="none" w:sz="0" w:space="0" w:color="auto"/>
            <w:bottom w:val="none" w:sz="0" w:space="0" w:color="auto"/>
            <w:right w:val="none" w:sz="0" w:space="0" w:color="auto"/>
          </w:divBdr>
          <w:divsChild>
            <w:div w:id="351107601">
              <w:marLeft w:val="0"/>
              <w:marRight w:val="0"/>
              <w:marTop w:val="0"/>
              <w:marBottom w:val="0"/>
              <w:divBdr>
                <w:top w:val="none" w:sz="0" w:space="0" w:color="auto"/>
                <w:left w:val="none" w:sz="0" w:space="0" w:color="auto"/>
                <w:bottom w:val="none" w:sz="0" w:space="0" w:color="auto"/>
                <w:right w:val="none" w:sz="0" w:space="0" w:color="auto"/>
              </w:divBdr>
            </w:div>
            <w:div w:id="865557577">
              <w:marLeft w:val="0"/>
              <w:marRight w:val="0"/>
              <w:marTop w:val="0"/>
              <w:marBottom w:val="0"/>
              <w:divBdr>
                <w:top w:val="none" w:sz="0" w:space="0" w:color="auto"/>
                <w:left w:val="none" w:sz="0" w:space="0" w:color="auto"/>
                <w:bottom w:val="none" w:sz="0" w:space="0" w:color="auto"/>
                <w:right w:val="none" w:sz="0" w:space="0" w:color="auto"/>
              </w:divBdr>
            </w:div>
            <w:div w:id="1019087604">
              <w:marLeft w:val="0"/>
              <w:marRight w:val="0"/>
              <w:marTop w:val="0"/>
              <w:marBottom w:val="0"/>
              <w:divBdr>
                <w:top w:val="none" w:sz="0" w:space="0" w:color="auto"/>
                <w:left w:val="none" w:sz="0" w:space="0" w:color="auto"/>
                <w:bottom w:val="none" w:sz="0" w:space="0" w:color="auto"/>
                <w:right w:val="none" w:sz="0" w:space="0" w:color="auto"/>
              </w:divBdr>
              <w:divsChild>
                <w:div w:id="1686055830">
                  <w:marLeft w:val="0"/>
                  <w:marRight w:val="0"/>
                  <w:marTop w:val="0"/>
                  <w:marBottom w:val="0"/>
                  <w:divBdr>
                    <w:top w:val="none" w:sz="0" w:space="0" w:color="auto"/>
                    <w:left w:val="none" w:sz="0" w:space="0" w:color="auto"/>
                    <w:bottom w:val="none" w:sz="0" w:space="0" w:color="auto"/>
                    <w:right w:val="none" w:sz="0" w:space="0" w:color="auto"/>
                  </w:divBdr>
                </w:div>
              </w:divsChild>
            </w:div>
            <w:div w:id="1643196016">
              <w:marLeft w:val="0"/>
              <w:marRight w:val="0"/>
              <w:marTop w:val="0"/>
              <w:marBottom w:val="0"/>
              <w:divBdr>
                <w:top w:val="none" w:sz="0" w:space="0" w:color="auto"/>
                <w:left w:val="none" w:sz="0" w:space="0" w:color="auto"/>
                <w:bottom w:val="none" w:sz="0" w:space="0" w:color="auto"/>
                <w:right w:val="none" w:sz="0" w:space="0" w:color="auto"/>
              </w:divBdr>
            </w:div>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94854264">
          <w:marLeft w:val="0"/>
          <w:marRight w:val="0"/>
          <w:marTop w:val="0"/>
          <w:marBottom w:val="0"/>
          <w:divBdr>
            <w:top w:val="none" w:sz="0" w:space="0" w:color="auto"/>
            <w:left w:val="none" w:sz="0" w:space="0" w:color="auto"/>
            <w:bottom w:val="none" w:sz="0" w:space="0" w:color="auto"/>
            <w:right w:val="none" w:sz="0" w:space="0" w:color="auto"/>
          </w:divBdr>
          <w:divsChild>
            <w:div w:id="730469187">
              <w:marLeft w:val="0"/>
              <w:marRight w:val="0"/>
              <w:marTop w:val="0"/>
              <w:marBottom w:val="0"/>
              <w:divBdr>
                <w:top w:val="none" w:sz="0" w:space="0" w:color="auto"/>
                <w:left w:val="none" w:sz="0" w:space="0" w:color="auto"/>
                <w:bottom w:val="none" w:sz="0" w:space="0" w:color="auto"/>
                <w:right w:val="none" w:sz="0" w:space="0" w:color="auto"/>
              </w:divBdr>
              <w:divsChild>
                <w:div w:id="1022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1153">
          <w:marLeft w:val="0"/>
          <w:marRight w:val="0"/>
          <w:marTop w:val="0"/>
          <w:marBottom w:val="0"/>
          <w:divBdr>
            <w:top w:val="none" w:sz="0" w:space="0" w:color="auto"/>
            <w:left w:val="none" w:sz="0" w:space="0" w:color="auto"/>
            <w:bottom w:val="none" w:sz="0" w:space="0" w:color="auto"/>
            <w:right w:val="none" w:sz="0" w:space="0" w:color="auto"/>
          </w:divBdr>
          <w:divsChild>
            <w:div w:id="2021540522">
              <w:marLeft w:val="0"/>
              <w:marRight w:val="0"/>
              <w:marTop w:val="0"/>
              <w:marBottom w:val="0"/>
              <w:divBdr>
                <w:top w:val="none" w:sz="0" w:space="0" w:color="auto"/>
                <w:left w:val="none" w:sz="0" w:space="0" w:color="auto"/>
                <w:bottom w:val="none" w:sz="0" w:space="0" w:color="auto"/>
                <w:right w:val="none" w:sz="0" w:space="0" w:color="auto"/>
              </w:divBdr>
              <w:divsChild>
                <w:div w:id="1319269290">
                  <w:marLeft w:val="0"/>
                  <w:marRight w:val="0"/>
                  <w:marTop w:val="0"/>
                  <w:marBottom w:val="0"/>
                  <w:divBdr>
                    <w:top w:val="none" w:sz="0" w:space="0" w:color="auto"/>
                    <w:left w:val="none" w:sz="0" w:space="0" w:color="auto"/>
                    <w:bottom w:val="none" w:sz="0" w:space="0" w:color="auto"/>
                    <w:right w:val="none" w:sz="0" w:space="0" w:color="auto"/>
                  </w:divBdr>
                  <w:divsChild>
                    <w:div w:id="12302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3122">
      <w:bodyDiv w:val="1"/>
      <w:marLeft w:val="0"/>
      <w:marRight w:val="0"/>
      <w:marTop w:val="0"/>
      <w:marBottom w:val="0"/>
      <w:divBdr>
        <w:top w:val="none" w:sz="0" w:space="0" w:color="auto"/>
        <w:left w:val="none" w:sz="0" w:space="0" w:color="auto"/>
        <w:bottom w:val="none" w:sz="0" w:space="0" w:color="auto"/>
        <w:right w:val="none" w:sz="0" w:space="0" w:color="auto"/>
      </w:divBdr>
      <w:divsChild>
        <w:div w:id="906643933">
          <w:marLeft w:val="0"/>
          <w:marRight w:val="0"/>
          <w:marTop w:val="0"/>
          <w:marBottom w:val="0"/>
          <w:divBdr>
            <w:top w:val="none" w:sz="0" w:space="0" w:color="auto"/>
            <w:left w:val="none" w:sz="0" w:space="0" w:color="auto"/>
            <w:bottom w:val="none" w:sz="0" w:space="0" w:color="auto"/>
            <w:right w:val="none" w:sz="0" w:space="0" w:color="auto"/>
          </w:divBdr>
        </w:div>
        <w:div w:id="1254776629">
          <w:marLeft w:val="0"/>
          <w:marRight w:val="0"/>
          <w:marTop w:val="0"/>
          <w:marBottom w:val="0"/>
          <w:divBdr>
            <w:top w:val="none" w:sz="0" w:space="0" w:color="auto"/>
            <w:left w:val="none" w:sz="0" w:space="0" w:color="auto"/>
            <w:bottom w:val="none" w:sz="0" w:space="0" w:color="auto"/>
            <w:right w:val="none" w:sz="0" w:space="0" w:color="auto"/>
          </w:divBdr>
        </w:div>
        <w:div w:id="639775353">
          <w:marLeft w:val="0"/>
          <w:marRight w:val="0"/>
          <w:marTop w:val="0"/>
          <w:marBottom w:val="0"/>
          <w:divBdr>
            <w:top w:val="none" w:sz="0" w:space="0" w:color="auto"/>
            <w:left w:val="none" w:sz="0" w:space="0" w:color="auto"/>
            <w:bottom w:val="none" w:sz="0" w:space="0" w:color="auto"/>
            <w:right w:val="none" w:sz="0" w:space="0" w:color="auto"/>
          </w:divBdr>
        </w:div>
        <w:div w:id="184944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sc-2000-c-5/latest/sc-2000-c-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ca/fct/doc/2012/2012fc1095/2012fc1095.html" TargetMode="External"/><Relationship Id="rId5" Type="http://schemas.openxmlformats.org/officeDocument/2006/relationships/webSettings" Target="webSettings.xml"/><Relationship Id="rId10"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canlii.org/en/ca/laws/stat/sc-2000-c-5/latest/sc-2000-c-5.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assnat.qc.ca/en/travauxparlementaires/projets-loi/projet-loi-64-42-1.html" TargetMode="External"/><Relationship Id="rId3" Type="http://schemas.openxmlformats.org/officeDocument/2006/relationships/hyperlink" Target="https://www.canlii.org/en/on/laws/stat/so-1992-c-6/latest/so-1992-c-6.html" TargetMode="External"/><Relationship Id="rId7" Type="http://schemas.openxmlformats.org/officeDocument/2006/relationships/hyperlink" Target="https://www.dentons.com/en/insights/guides-reports-and-whitepapers/2021/january/28/dentons-cppa-in-depth-guide-a-detailed-review-of-key-provisions-in-canadas-proposed-new-privacy-law?utm_source=email&amp;utm_medium=email&amp;utm_campaign=vuture" TargetMode="External"/><Relationship Id="rId2" Type="http://schemas.openxmlformats.org/officeDocument/2006/relationships/hyperlink" Target="https://digitalcommons.osgoode.yorku.ca/cgi/viewcontent.cgi?article=1031&amp;context=llm" TargetMode="External"/><Relationship Id="rId1" Type="http://schemas.openxmlformats.org/officeDocument/2006/relationships/hyperlink" Target="https://www.canlii.org/en/ca/fct/doc/2012/2012fc550/2012fc550.html" TargetMode="External"/><Relationship Id="rId6" Type="http://schemas.openxmlformats.org/officeDocument/2006/relationships/hyperlink" Target="https://digitalcommons.osgoode.yorku.ca/cgi/viewcontent.cgi?article=1041&amp;context=llm" TargetMode="External"/><Relationship Id="rId5" Type="http://schemas.openxmlformats.org/officeDocument/2006/relationships/hyperlink" Target="https://www.canlii.org/en/ca/scc/doc/2002/2002scc18/2002scc18.html" TargetMode="External"/><Relationship Id="rId4" Type="http://schemas.openxmlformats.org/officeDocument/2006/relationships/hyperlink" Target="https://www.canlii.org/en/ca/scc/doc/2002/2002scc18/2002scc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96A4-785C-4FD7-AD00-4111768F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10950</Words>
  <Characters>62417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sobyrne</dc:creator>
  <cp:keywords/>
  <dc:description/>
  <cp:lastModifiedBy>Avner Levin</cp:lastModifiedBy>
  <cp:revision>14</cp:revision>
  <cp:lastPrinted>2021-09-16T12:47:00Z</cp:lastPrinted>
  <dcterms:created xsi:type="dcterms:W3CDTF">2021-09-19T12:40:00Z</dcterms:created>
  <dcterms:modified xsi:type="dcterms:W3CDTF">2022-04-12T16:26:00Z</dcterms:modified>
</cp:coreProperties>
</file>