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D5F869" w14:textId="77777777" w:rsidR="000130D1" w:rsidRDefault="000130D1" w:rsidP="000130D1">
      <w:pPr>
        <w:pStyle w:val="FootnoteText"/>
      </w:pPr>
      <w:r>
        <w:t>Inferences and Assumptions Project</w:t>
      </w:r>
    </w:p>
    <w:p w14:paraId="51A7B447" w14:textId="52E73753" w:rsidR="000130D1" w:rsidRDefault="005F74B1" w:rsidP="000130D1">
      <w:pPr>
        <w:pStyle w:val="FootnoteText"/>
      </w:pPr>
      <w:r>
        <w:t xml:space="preserve">January </w:t>
      </w:r>
      <w:r w:rsidR="005C4486">
        <w:t>25</w:t>
      </w:r>
      <w:r>
        <w:t>, 2022</w:t>
      </w:r>
    </w:p>
    <w:p w14:paraId="29BBE35B" w14:textId="77777777" w:rsidR="000130D1" w:rsidRDefault="000130D1" w:rsidP="000130D1">
      <w:pPr>
        <w:pStyle w:val="FootnoteText"/>
      </w:pPr>
    </w:p>
    <w:p w14:paraId="280DF28D" w14:textId="42BB11A2" w:rsidR="000130D1" w:rsidRPr="00E250AD" w:rsidRDefault="008B22B4" w:rsidP="000130D1">
      <w:pPr>
        <w:pStyle w:val="FootnoteText"/>
        <w:jc w:val="center"/>
        <w:rPr>
          <w:b/>
          <w:bCs/>
          <w:sz w:val="28"/>
          <w:szCs w:val="28"/>
        </w:rPr>
      </w:pPr>
      <w:r>
        <w:rPr>
          <w:b/>
          <w:bCs/>
          <w:sz w:val="28"/>
          <w:szCs w:val="28"/>
        </w:rPr>
        <w:t>Support</w:t>
      </w:r>
      <w:r w:rsidR="000130D1" w:rsidRPr="00E250AD">
        <w:rPr>
          <w:b/>
          <w:bCs/>
          <w:sz w:val="28"/>
          <w:szCs w:val="28"/>
        </w:rPr>
        <w:t xml:space="preserve"> Codebook</w:t>
      </w:r>
    </w:p>
    <w:p w14:paraId="3A1ED28E" w14:textId="77777777" w:rsidR="000130D1" w:rsidRDefault="000130D1" w:rsidP="000130D1">
      <w:pPr>
        <w:pStyle w:val="FootnoteText"/>
      </w:pPr>
    </w:p>
    <w:p w14:paraId="4B80686D" w14:textId="77777777" w:rsidR="000130D1" w:rsidRDefault="000130D1" w:rsidP="000130D1">
      <w:pPr>
        <w:pStyle w:val="FootnoteText"/>
      </w:pPr>
    </w:p>
    <w:p w14:paraId="18330B72" w14:textId="77777777" w:rsidR="000130D1" w:rsidRPr="008411EE" w:rsidRDefault="000130D1" w:rsidP="000130D1">
      <w:pPr>
        <w:pStyle w:val="FootnoteText"/>
        <w:rPr>
          <w:b/>
          <w:bCs/>
          <w:szCs w:val="24"/>
        </w:rPr>
      </w:pPr>
      <w:r w:rsidRPr="008411EE">
        <w:rPr>
          <w:b/>
          <w:bCs/>
          <w:szCs w:val="24"/>
        </w:rPr>
        <w:t>Overview</w:t>
      </w:r>
    </w:p>
    <w:p w14:paraId="794AD2D3" w14:textId="77777777" w:rsidR="000130D1" w:rsidRDefault="000130D1" w:rsidP="000130D1">
      <w:pPr>
        <w:pStyle w:val="FootnoteText"/>
      </w:pPr>
    </w:p>
    <w:p w14:paraId="4686F49E" w14:textId="2137FD19" w:rsidR="000130D1" w:rsidRDefault="000130D1" w:rsidP="000130D1">
      <w:pPr>
        <w:pStyle w:val="FootnoteText"/>
      </w:pPr>
      <w:r>
        <w:t xml:space="preserve">Coders will be using </w:t>
      </w:r>
      <w:r w:rsidR="009F4256">
        <w:t xml:space="preserve">a combination of </w:t>
      </w:r>
      <w:r>
        <w:t xml:space="preserve">NVivo 12 </w:t>
      </w:r>
      <w:r w:rsidR="009F4256">
        <w:t xml:space="preserve">and Excel </w:t>
      </w:r>
      <w:r>
        <w:t xml:space="preserve">software to ‘code’ decisions written by members of the Refugee Protection Division (RPD) of the Immigration and Refugee Board. As you will see, </w:t>
      </w:r>
      <w:r w:rsidR="009F4256">
        <w:t>coders will use NVivo</w:t>
      </w:r>
      <w:r>
        <w:t xml:space="preserve"> </w:t>
      </w:r>
      <w:r w:rsidR="009F4256">
        <w:t>to review the first-level ‘Inference’ codes and will use Excel to capture their own ‘Support’ code decisions</w:t>
      </w:r>
      <w:r>
        <w:t>.</w:t>
      </w:r>
    </w:p>
    <w:p w14:paraId="426336ED" w14:textId="023EF54B" w:rsidR="000130D1" w:rsidRDefault="000130D1" w:rsidP="000130D1">
      <w:pPr>
        <w:pStyle w:val="FootnoteText"/>
        <w:rPr>
          <w:b/>
          <w:bCs/>
        </w:rPr>
      </w:pPr>
    </w:p>
    <w:p w14:paraId="4454E356" w14:textId="2587531D" w:rsidR="00454D4D" w:rsidRPr="00454D4D" w:rsidRDefault="00454D4D" w:rsidP="000130D1">
      <w:pPr>
        <w:pStyle w:val="FootnoteText"/>
        <w:rPr>
          <w:u w:val="single"/>
        </w:rPr>
      </w:pPr>
      <w:r w:rsidRPr="00454D4D">
        <w:rPr>
          <w:u w:val="single"/>
        </w:rPr>
        <w:t>First</w:t>
      </w:r>
      <w:r>
        <w:rPr>
          <w:u w:val="single"/>
        </w:rPr>
        <w:t>-</w:t>
      </w:r>
      <w:r w:rsidRPr="00454D4D">
        <w:rPr>
          <w:u w:val="single"/>
        </w:rPr>
        <w:t>level codes: the Inference Codes</w:t>
      </w:r>
    </w:p>
    <w:p w14:paraId="0BCDE55D" w14:textId="74E4D455" w:rsidR="00454D4D" w:rsidRDefault="00454D4D" w:rsidP="000130D1">
      <w:pPr>
        <w:pStyle w:val="FootnoteText"/>
      </w:pPr>
    </w:p>
    <w:p w14:paraId="09B2BFE3" w14:textId="79C7AB6B" w:rsidR="00454D4D" w:rsidRDefault="00454D4D" w:rsidP="000130D1">
      <w:pPr>
        <w:pStyle w:val="FootnoteText"/>
      </w:pPr>
      <w:r>
        <w:t>A team of JD students are coding these decisions using the Inferences Codebook (attached). Th</w:t>
      </w:r>
      <w:r w:rsidR="008B22B4">
        <w:t>e Inferences C</w:t>
      </w:r>
      <w:r>
        <w:t xml:space="preserve">odebook sets out to identify each of the inferences that the members are drawing. </w:t>
      </w:r>
    </w:p>
    <w:p w14:paraId="576674F0" w14:textId="77777777" w:rsidR="00454D4D" w:rsidRPr="00454D4D" w:rsidRDefault="00454D4D" w:rsidP="000130D1">
      <w:pPr>
        <w:pStyle w:val="FootnoteText"/>
      </w:pPr>
    </w:p>
    <w:p w14:paraId="28E5281D" w14:textId="56AF0637" w:rsidR="00454D4D" w:rsidRDefault="00454D4D" w:rsidP="00454D4D">
      <w:pPr>
        <w:pStyle w:val="FootnoteText"/>
      </w:pPr>
      <w:r>
        <w:t xml:space="preserve">The aim of this first-level coding is two-fold: </w:t>
      </w:r>
    </w:p>
    <w:p w14:paraId="7A40B4FA" w14:textId="77777777" w:rsidR="00454D4D" w:rsidRDefault="00454D4D" w:rsidP="00454D4D">
      <w:pPr>
        <w:pStyle w:val="FootnoteText"/>
      </w:pPr>
    </w:p>
    <w:p w14:paraId="1F6BCFDC" w14:textId="77777777" w:rsidR="00454D4D" w:rsidRDefault="00454D4D" w:rsidP="00454D4D">
      <w:pPr>
        <w:pStyle w:val="FootnoteText"/>
        <w:numPr>
          <w:ilvl w:val="0"/>
          <w:numId w:val="18"/>
        </w:numPr>
      </w:pPr>
      <w:r>
        <w:t>To quantify in how many of these decisions the members concluded, in the context of an assessment of the risk of persecution, that the claimant had lied. ‘Lying’ is defined here as having “</w:t>
      </w:r>
      <w:r w:rsidRPr="00B41A64">
        <w:t>invented some or all of their allegations with the intention of deceiving the Board</w:t>
      </w:r>
      <w:r>
        <w:t>.”</w:t>
      </w:r>
    </w:p>
    <w:p w14:paraId="0611FA46" w14:textId="77777777" w:rsidR="00454D4D" w:rsidRDefault="00454D4D" w:rsidP="00454D4D">
      <w:pPr>
        <w:pStyle w:val="FootnoteText"/>
        <w:ind w:left="720"/>
      </w:pPr>
    </w:p>
    <w:p w14:paraId="7ABB109D" w14:textId="7C082CCA" w:rsidR="00454D4D" w:rsidRDefault="00454D4D" w:rsidP="00454D4D">
      <w:pPr>
        <w:pStyle w:val="FootnoteText"/>
        <w:numPr>
          <w:ilvl w:val="0"/>
          <w:numId w:val="18"/>
        </w:numPr>
      </w:pPr>
      <w:r>
        <w:t xml:space="preserve">To explore the inferences that the members use to justify their conclusion that the claimant has lied. This coding will quantify </w:t>
      </w:r>
      <w:r w:rsidRPr="00B41A64">
        <w:rPr>
          <w:u w:val="single"/>
        </w:rPr>
        <w:t>in how many</w:t>
      </w:r>
      <w:r w:rsidRPr="00B41A64">
        <w:t xml:space="preserve"> decisions</w:t>
      </w:r>
      <w:r>
        <w:t xml:space="preserve"> each inference appears but will </w:t>
      </w:r>
      <w:r w:rsidRPr="00B41A64">
        <w:rPr>
          <w:b/>
          <w:bCs/>
        </w:rPr>
        <w:t>not</w:t>
      </w:r>
      <w:r>
        <w:t xml:space="preserve"> capture </w:t>
      </w:r>
      <w:r w:rsidRPr="00B41A64">
        <w:rPr>
          <w:u w:val="single"/>
        </w:rPr>
        <w:t>how often</w:t>
      </w:r>
      <w:r w:rsidRPr="00B41A64">
        <w:t xml:space="preserve"> it appears in a given decision</w:t>
      </w:r>
      <w:r>
        <w:t>.</w:t>
      </w:r>
    </w:p>
    <w:p w14:paraId="7433981F" w14:textId="2B2354BD" w:rsidR="00454D4D" w:rsidRDefault="00454D4D" w:rsidP="000130D1">
      <w:pPr>
        <w:pStyle w:val="FootnoteText"/>
        <w:rPr>
          <w:b/>
          <w:bCs/>
        </w:rPr>
      </w:pPr>
    </w:p>
    <w:p w14:paraId="58FE3D6B" w14:textId="32D61D79" w:rsidR="00454D4D" w:rsidRDefault="00454D4D" w:rsidP="000130D1">
      <w:pPr>
        <w:pStyle w:val="FootnoteText"/>
        <w:rPr>
          <w:u w:val="single"/>
        </w:rPr>
      </w:pPr>
      <w:r w:rsidRPr="00454D4D">
        <w:rPr>
          <w:u w:val="single"/>
        </w:rPr>
        <w:t>Second</w:t>
      </w:r>
      <w:r>
        <w:rPr>
          <w:u w:val="single"/>
        </w:rPr>
        <w:t>-</w:t>
      </w:r>
      <w:r w:rsidRPr="00454D4D">
        <w:rPr>
          <w:u w:val="single"/>
        </w:rPr>
        <w:t>level codes: t</w:t>
      </w:r>
      <w:r>
        <w:rPr>
          <w:u w:val="single"/>
        </w:rPr>
        <w:t xml:space="preserve">he </w:t>
      </w:r>
      <w:r w:rsidR="008B22B4">
        <w:rPr>
          <w:u w:val="single"/>
        </w:rPr>
        <w:t>Support</w:t>
      </w:r>
      <w:r>
        <w:rPr>
          <w:u w:val="single"/>
        </w:rPr>
        <w:t xml:space="preserve"> Codes</w:t>
      </w:r>
    </w:p>
    <w:p w14:paraId="0576AE55" w14:textId="1ACA2BC7" w:rsidR="00454D4D" w:rsidRPr="00454D4D" w:rsidRDefault="00454D4D" w:rsidP="000130D1">
      <w:pPr>
        <w:pStyle w:val="FootnoteText"/>
        <w:rPr>
          <w:u w:val="single"/>
        </w:rPr>
      </w:pPr>
      <w:r w:rsidRPr="00454D4D">
        <w:rPr>
          <w:u w:val="single"/>
        </w:rPr>
        <w:t xml:space="preserve"> </w:t>
      </w:r>
    </w:p>
    <w:p w14:paraId="49A867E1" w14:textId="00CBD3A8" w:rsidR="008B22B4" w:rsidRDefault="00D26456" w:rsidP="000130D1">
      <w:pPr>
        <w:pStyle w:val="FootnoteText"/>
      </w:pPr>
      <w:r>
        <w:t xml:space="preserve">The refugee lawyer coder team (the “Support coders”) </w:t>
      </w:r>
      <w:r w:rsidR="008B22B4">
        <w:t xml:space="preserve">will be reviewing the codes identified by the Inference </w:t>
      </w:r>
      <w:r>
        <w:t>c</w:t>
      </w:r>
      <w:r w:rsidR="008B22B4">
        <w:t>oders.</w:t>
      </w:r>
      <w:r w:rsidR="007614B3">
        <w:t xml:space="preserve"> </w:t>
      </w:r>
      <w:r w:rsidR="008B22B4">
        <w:t>They will be looking at each of the decisions in which the member concluded that the claimant was lying</w:t>
      </w:r>
      <w:r w:rsidR="007614B3">
        <w:t xml:space="preserve"> and adding a second layer of coding to the Inference codes. </w:t>
      </w:r>
    </w:p>
    <w:p w14:paraId="2C3A2DA9" w14:textId="77777777" w:rsidR="008B22B4" w:rsidRDefault="008B22B4" w:rsidP="000130D1">
      <w:pPr>
        <w:pStyle w:val="FootnoteText"/>
      </w:pPr>
    </w:p>
    <w:p w14:paraId="325B3A15" w14:textId="1BCD7C1D" w:rsidR="00454D4D" w:rsidRDefault="007614B3" w:rsidP="000130D1">
      <w:pPr>
        <w:pStyle w:val="FootnoteText"/>
      </w:pPr>
      <w:r>
        <w:t xml:space="preserve">When the Support </w:t>
      </w:r>
      <w:r w:rsidR="00D26456">
        <w:t>c</w:t>
      </w:r>
      <w:r>
        <w:t xml:space="preserve">oders review a decision, the Inference codes will show them where the different kinds of </w:t>
      </w:r>
      <w:r w:rsidR="008B22B4">
        <w:t>inference appear in th</w:t>
      </w:r>
      <w:r>
        <w:t>e text</w:t>
      </w:r>
      <w:r w:rsidR="008B22B4">
        <w:t>.</w:t>
      </w:r>
      <w:r>
        <w:t xml:space="preserve"> For each decision, t</w:t>
      </w:r>
      <w:r w:rsidR="00454D4D">
        <w:t xml:space="preserve">hey </w:t>
      </w:r>
      <w:r w:rsidR="00D26456">
        <w:t xml:space="preserve">will </w:t>
      </w:r>
      <w:r w:rsidR="00454D4D">
        <w:t xml:space="preserve">look at each category of inference </w:t>
      </w:r>
      <w:r>
        <w:t xml:space="preserve">and </w:t>
      </w:r>
      <w:r w:rsidR="00454D4D">
        <w:t>decid</w:t>
      </w:r>
      <w:r>
        <w:t>e</w:t>
      </w:r>
      <w:r w:rsidR="00454D4D">
        <w:t xml:space="preserve"> how much support they feel that this inference brought to the member’s </w:t>
      </w:r>
      <w:r w:rsidR="008B22B4">
        <w:t xml:space="preserve">negative credibility </w:t>
      </w:r>
      <w:r w:rsidR="00454D4D">
        <w:t xml:space="preserve">conclusion. </w:t>
      </w:r>
    </w:p>
    <w:p w14:paraId="597F208A" w14:textId="7D102978" w:rsidR="001C4D11" w:rsidRDefault="001C4D11" w:rsidP="000130D1">
      <w:pPr>
        <w:pStyle w:val="FootnoteText"/>
      </w:pPr>
    </w:p>
    <w:p w14:paraId="7013CA8A" w14:textId="203073CE" w:rsidR="001C4D11" w:rsidRDefault="001C4D11" w:rsidP="000130D1">
      <w:pPr>
        <w:pStyle w:val="FootnoteText"/>
      </w:pPr>
      <w:r>
        <w:t>The aim of this second-level coding is:</w:t>
      </w:r>
    </w:p>
    <w:p w14:paraId="7DD76C7D" w14:textId="4C6A02A0" w:rsidR="001C4D11" w:rsidRDefault="001C4D11" w:rsidP="000130D1">
      <w:pPr>
        <w:pStyle w:val="FootnoteText"/>
      </w:pPr>
    </w:p>
    <w:p w14:paraId="19F3A0D9" w14:textId="37B5AF35" w:rsidR="001C4D11" w:rsidRPr="00454D4D" w:rsidRDefault="001C4D11" w:rsidP="001C4D11">
      <w:pPr>
        <w:pStyle w:val="FootnoteText"/>
        <w:numPr>
          <w:ilvl w:val="0"/>
          <w:numId w:val="18"/>
        </w:numPr>
      </w:pPr>
      <w:r>
        <w:t>to</w:t>
      </w:r>
      <w:r w:rsidR="005C4F04">
        <w:t xml:space="preserve"> measure</w:t>
      </w:r>
      <w:r>
        <w:t xml:space="preserve"> the support </w:t>
      </w:r>
      <w:r w:rsidR="005C4F04">
        <w:t xml:space="preserve">that </w:t>
      </w:r>
      <w:r>
        <w:t xml:space="preserve">each category of inference is bringing to the decisions under review. </w:t>
      </w:r>
    </w:p>
    <w:p w14:paraId="75DCA10F" w14:textId="77777777" w:rsidR="00454D4D" w:rsidRDefault="00454D4D" w:rsidP="000130D1">
      <w:pPr>
        <w:pStyle w:val="FootnoteText"/>
        <w:rPr>
          <w:b/>
          <w:bCs/>
        </w:rPr>
      </w:pPr>
    </w:p>
    <w:p w14:paraId="1D6D6A7C" w14:textId="77777777" w:rsidR="007614B3" w:rsidRPr="008411EE" w:rsidRDefault="007614B3" w:rsidP="007614B3">
      <w:pPr>
        <w:pStyle w:val="FootnoteText"/>
        <w:rPr>
          <w:b/>
          <w:bCs/>
          <w:szCs w:val="24"/>
        </w:rPr>
      </w:pPr>
      <w:r w:rsidRPr="008411EE">
        <w:rPr>
          <w:b/>
          <w:bCs/>
          <w:szCs w:val="24"/>
        </w:rPr>
        <w:lastRenderedPageBreak/>
        <w:t>The coding process</w:t>
      </w:r>
    </w:p>
    <w:p w14:paraId="099AE4E7" w14:textId="77777777" w:rsidR="007614B3" w:rsidRDefault="007614B3" w:rsidP="007614B3">
      <w:pPr>
        <w:pStyle w:val="FootnoteText"/>
      </w:pPr>
    </w:p>
    <w:p w14:paraId="164C1AD5" w14:textId="6F672CCB" w:rsidR="007614B3" w:rsidRDefault="007614B3" w:rsidP="007614B3">
      <w:pPr>
        <w:pStyle w:val="FootnoteText"/>
      </w:pPr>
      <w:r>
        <w:t xml:space="preserve">Coders will be trained in how to use the NVivo 12 software </w:t>
      </w:r>
      <w:r w:rsidR="009F4256">
        <w:t xml:space="preserve">to read the Inference codes, and how to use Excel to capture the Support codes. Each coder </w:t>
      </w:r>
      <w:r>
        <w:t xml:space="preserve">will be assigned a set of decisions to code. </w:t>
      </w:r>
    </w:p>
    <w:p w14:paraId="00AE179A" w14:textId="77777777" w:rsidR="007614B3" w:rsidRDefault="007614B3" w:rsidP="007614B3">
      <w:pPr>
        <w:pStyle w:val="FootnoteText"/>
      </w:pPr>
    </w:p>
    <w:p w14:paraId="31CC2798" w14:textId="77777777" w:rsidR="007614B3" w:rsidRDefault="007614B3" w:rsidP="007614B3">
      <w:pPr>
        <w:pStyle w:val="FootnoteText"/>
      </w:pPr>
      <w:r>
        <w:t>First:</w:t>
      </w:r>
    </w:p>
    <w:p w14:paraId="6CE5311A" w14:textId="0FE18189" w:rsidR="00AF0FEC" w:rsidRDefault="009F4256" w:rsidP="00AF0FEC">
      <w:pPr>
        <w:pStyle w:val="FootnoteText"/>
        <w:numPr>
          <w:ilvl w:val="0"/>
          <w:numId w:val="19"/>
        </w:numPr>
      </w:pPr>
      <w:r>
        <w:t>In Nvivo, for each decision, l</w:t>
      </w:r>
      <w:r w:rsidR="00AF0FEC">
        <w:t xml:space="preserve">ook at the Metrics code (the code that shows whether the member made a negative credibility finding). If the member made no negative credibility finding, </w:t>
      </w:r>
      <w:r>
        <w:t xml:space="preserve">indicate this by putting a ‘1’ in the ‘No deception’ column in Excel, and </w:t>
      </w:r>
      <w:r w:rsidR="00AF0FEC">
        <w:t xml:space="preserve">move on to the next decision. Otherwise, </w:t>
      </w:r>
      <w:r w:rsidR="00655FD2">
        <w:t>continue</w:t>
      </w:r>
      <w:r w:rsidR="00AF0FEC">
        <w:t>.</w:t>
      </w:r>
    </w:p>
    <w:p w14:paraId="2813E5A1" w14:textId="77777777" w:rsidR="007614B3" w:rsidRDefault="007614B3" w:rsidP="007614B3">
      <w:pPr>
        <w:pStyle w:val="FootnoteText"/>
      </w:pPr>
    </w:p>
    <w:p w14:paraId="1E5D21DA" w14:textId="77777777" w:rsidR="007614B3" w:rsidRDefault="007614B3" w:rsidP="007614B3">
      <w:pPr>
        <w:pStyle w:val="FootnoteText"/>
      </w:pPr>
      <w:r>
        <w:t>Second:</w:t>
      </w:r>
    </w:p>
    <w:p w14:paraId="207AFD11" w14:textId="294B33BE" w:rsidR="00AF0FEC" w:rsidRDefault="00AF0FEC" w:rsidP="00AF0FEC">
      <w:pPr>
        <w:pStyle w:val="FootnoteText"/>
        <w:numPr>
          <w:ilvl w:val="0"/>
          <w:numId w:val="19"/>
        </w:numPr>
      </w:pPr>
      <w:r>
        <w:t>Read the decision once through from start to finish.</w:t>
      </w:r>
    </w:p>
    <w:p w14:paraId="1A2ADCE0" w14:textId="796832A5" w:rsidR="00AF0FEC" w:rsidRDefault="00AF0FEC" w:rsidP="00AF0FEC">
      <w:pPr>
        <w:pStyle w:val="FootnoteText"/>
      </w:pPr>
    </w:p>
    <w:p w14:paraId="2D6BE9C4" w14:textId="0C982461" w:rsidR="00AF0FEC" w:rsidRDefault="00AF0FEC" w:rsidP="00AF0FEC">
      <w:pPr>
        <w:pStyle w:val="FootnoteText"/>
      </w:pPr>
      <w:r>
        <w:t>Third:</w:t>
      </w:r>
    </w:p>
    <w:p w14:paraId="6D1E62E1" w14:textId="3F95CB2D" w:rsidR="007614B3" w:rsidRDefault="007614B3" w:rsidP="007614B3">
      <w:pPr>
        <w:pStyle w:val="FootnoteText"/>
        <w:numPr>
          <w:ilvl w:val="0"/>
          <w:numId w:val="19"/>
        </w:numPr>
      </w:pPr>
      <w:r>
        <w:t xml:space="preserve">Look at the chart that shows the categories of inference that the </w:t>
      </w:r>
      <w:r w:rsidR="00AF0FEC">
        <w:t>Inference coders have identified</w:t>
      </w:r>
      <w:r w:rsidR="001A6BCA">
        <w:t xml:space="preserve">, with the values on the Y axis showing “percentage covered.” </w:t>
      </w:r>
      <w:r w:rsidR="00AF0FEC">
        <w:t>E.g.:</w:t>
      </w:r>
    </w:p>
    <w:p w14:paraId="00BD29E7" w14:textId="04E508E5" w:rsidR="007614B3" w:rsidRDefault="007614B3" w:rsidP="007614B3">
      <w:pPr>
        <w:pStyle w:val="FootnoteText"/>
        <w:ind w:left="720"/>
      </w:pPr>
    </w:p>
    <w:p w14:paraId="6192FAE7" w14:textId="5EB05538" w:rsidR="00AF0FEC" w:rsidRDefault="00AF0FEC" w:rsidP="007614B3">
      <w:pPr>
        <w:pStyle w:val="FootnoteText"/>
        <w:ind w:left="720"/>
      </w:pPr>
    </w:p>
    <w:p w14:paraId="2DC2355D" w14:textId="0F27A33C" w:rsidR="00AF0FEC" w:rsidRDefault="00AF0FEC" w:rsidP="007614B3">
      <w:pPr>
        <w:pStyle w:val="FootnoteText"/>
        <w:ind w:left="720"/>
      </w:pPr>
      <w:r w:rsidRPr="00AF0FEC">
        <w:rPr>
          <w:noProof/>
        </w:rPr>
        <w:drawing>
          <wp:inline distT="0" distB="0" distL="0" distR="0" wp14:anchorId="7EADE605" wp14:editId="79ACBCB8">
            <wp:extent cx="5943600" cy="3470275"/>
            <wp:effectExtent l="0" t="0" r="0" b="0"/>
            <wp:docPr id="1" name="Picture 1"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10;&#10;Description automatically generated"/>
                    <pic:cNvPicPr/>
                  </pic:nvPicPr>
                  <pic:blipFill>
                    <a:blip r:embed="rId8"/>
                    <a:stretch>
                      <a:fillRect/>
                    </a:stretch>
                  </pic:blipFill>
                  <pic:spPr>
                    <a:xfrm>
                      <a:off x="0" y="0"/>
                      <a:ext cx="5943600" cy="3470275"/>
                    </a:xfrm>
                    <a:prstGeom prst="rect">
                      <a:avLst/>
                    </a:prstGeom>
                  </pic:spPr>
                </pic:pic>
              </a:graphicData>
            </a:graphic>
          </wp:inline>
        </w:drawing>
      </w:r>
    </w:p>
    <w:p w14:paraId="25B4B24B" w14:textId="7BBBD3CE" w:rsidR="00AF0FEC" w:rsidRDefault="0089013B" w:rsidP="00AF0FEC">
      <w:pPr>
        <w:pStyle w:val="FootnoteText"/>
      </w:pPr>
      <w:r>
        <w:t>Fourth:</w:t>
      </w:r>
    </w:p>
    <w:p w14:paraId="6FB98D87" w14:textId="4FD95A96" w:rsidR="0089013B" w:rsidRDefault="0078139A" w:rsidP="0089013B">
      <w:pPr>
        <w:pStyle w:val="FootnoteText"/>
        <w:numPr>
          <w:ilvl w:val="0"/>
          <w:numId w:val="19"/>
        </w:numPr>
      </w:pPr>
      <w:r>
        <w:t>On the chart page, in the tabs bar, g</w:t>
      </w:r>
      <w:r w:rsidR="0089013B">
        <w:t>o to ‘select data’</w:t>
      </w:r>
    </w:p>
    <w:p w14:paraId="3F26F2BC" w14:textId="1524AAAE" w:rsidR="0089013B" w:rsidRDefault="0078139A" w:rsidP="0089013B">
      <w:pPr>
        <w:pStyle w:val="FootnoteText"/>
        <w:numPr>
          <w:ilvl w:val="1"/>
          <w:numId w:val="19"/>
        </w:numPr>
      </w:pPr>
      <w:r>
        <w:t xml:space="preserve">In the grey box, where it says </w:t>
      </w:r>
      <w:r w:rsidR="0089013B" w:rsidRPr="0089013B">
        <w:t xml:space="preserve">X-axis, </w:t>
      </w:r>
      <w:r>
        <w:t xml:space="preserve">click the </w:t>
      </w:r>
      <w:r w:rsidR="0089013B" w:rsidRPr="0089013B">
        <w:t>dropdown menu: choose “select</w:t>
      </w:r>
      <w:r w:rsidR="0089013B">
        <w:t>ed codes and cases”</w:t>
      </w:r>
    </w:p>
    <w:p w14:paraId="3C65F94E" w14:textId="06AC8C78" w:rsidR="0089013B" w:rsidRDefault="0089013B" w:rsidP="0089013B">
      <w:pPr>
        <w:pStyle w:val="FootnoteText"/>
        <w:numPr>
          <w:ilvl w:val="1"/>
          <w:numId w:val="19"/>
        </w:numPr>
      </w:pPr>
      <w:r>
        <w:t>click “select”</w:t>
      </w:r>
    </w:p>
    <w:p w14:paraId="24957F28" w14:textId="68EB384D" w:rsidR="0089013B" w:rsidRDefault="0089013B" w:rsidP="0089013B">
      <w:pPr>
        <w:pStyle w:val="FootnoteText"/>
        <w:numPr>
          <w:ilvl w:val="1"/>
          <w:numId w:val="19"/>
        </w:numPr>
      </w:pPr>
      <w:r>
        <w:lastRenderedPageBreak/>
        <w:t>select codes A2 through A12 (just select the ‘parent’ codes, not the ‘child’ codes within them; e.g. select “A10 Risk response” but do not select “delay in claiming,” “delay in leaving” etc.).</w:t>
      </w:r>
    </w:p>
    <w:p w14:paraId="22DBE3D3" w14:textId="77777777" w:rsidR="00AB6C2D" w:rsidRPr="0089013B" w:rsidRDefault="00AB6C2D" w:rsidP="00AB6C2D">
      <w:pPr>
        <w:pStyle w:val="FootnoteText"/>
        <w:ind w:left="1440"/>
      </w:pPr>
    </w:p>
    <w:p w14:paraId="39C43772" w14:textId="77EBD4DF" w:rsidR="00ED4C9C" w:rsidRPr="0089013B" w:rsidRDefault="00AB6C2D" w:rsidP="00AB6C2D">
      <w:pPr>
        <w:pStyle w:val="FootnoteText"/>
        <w:ind w:left="1440" w:hanging="720"/>
      </w:pPr>
      <w:r w:rsidRPr="00AB6C2D">
        <w:t>Note:</w:t>
      </w:r>
      <w:r>
        <w:tab/>
      </w:r>
      <w:r w:rsidRPr="00AB6C2D">
        <w:t xml:space="preserve">You are only coding the </w:t>
      </w:r>
      <w:r>
        <w:t xml:space="preserve">‘parent’ </w:t>
      </w:r>
      <w:r w:rsidRPr="00AB6C2D">
        <w:t>Inference codes</w:t>
      </w:r>
      <w:r>
        <w:t xml:space="preserve"> (A2-A12)</w:t>
      </w:r>
      <w:r w:rsidRPr="00AB6C2D">
        <w:t xml:space="preserve">, </w:t>
      </w:r>
      <w:r w:rsidRPr="00AB6C2D">
        <w:rPr>
          <w:b/>
          <w:bCs/>
        </w:rPr>
        <w:t>not the Metrics codes</w:t>
      </w:r>
      <w:r>
        <w:t>, and not the individual ‘child’ codes within a ‘parent’ code.</w:t>
      </w:r>
    </w:p>
    <w:p w14:paraId="087A9C15" w14:textId="77777777" w:rsidR="00ED4C9C" w:rsidRPr="0089013B" w:rsidRDefault="00ED4C9C" w:rsidP="007614B3">
      <w:pPr>
        <w:pStyle w:val="FootnoteText"/>
      </w:pPr>
    </w:p>
    <w:p w14:paraId="41C44DF8" w14:textId="089857FE" w:rsidR="007614B3" w:rsidRDefault="00AF0FEC" w:rsidP="007614B3">
      <w:pPr>
        <w:pStyle w:val="FootnoteText"/>
      </w:pPr>
      <w:r>
        <w:t>F</w:t>
      </w:r>
      <w:r w:rsidR="006C672E">
        <w:t>ifth</w:t>
      </w:r>
      <w:r>
        <w:t>:</w:t>
      </w:r>
    </w:p>
    <w:p w14:paraId="64527CE1" w14:textId="0264EA2C" w:rsidR="00AF0FEC" w:rsidRDefault="00AF0FEC" w:rsidP="00AF0FEC">
      <w:pPr>
        <w:pStyle w:val="FootnoteText"/>
        <w:numPr>
          <w:ilvl w:val="0"/>
          <w:numId w:val="19"/>
        </w:numPr>
      </w:pPr>
      <w:r>
        <w:t xml:space="preserve">By clicking on one of the category columns, open a link to the text of the decision where each of the relevant inferences in that category is highlighted. </w:t>
      </w:r>
    </w:p>
    <w:p w14:paraId="2EE3D6D3" w14:textId="77777777" w:rsidR="008B00EC" w:rsidRDefault="008B00EC" w:rsidP="007614B3">
      <w:pPr>
        <w:pStyle w:val="FootnoteText"/>
      </w:pPr>
    </w:p>
    <w:p w14:paraId="026A5659" w14:textId="06B92874" w:rsidR="007614B3" w:rsidRDefault="006C672E" w:rsidP="007614B3">
      <w:pPr>
        <w:pStyle w:val="FootnoteText"/>
      </w:pPr>
      <w:r>
        <w:t>Sixth</w:t>
      </w:r>
      <w:r w:rsidR="00AF0FEC">
        <w:t>:</w:t>
      </w:r>
    </w:p>
    <w:p w14:paraId="45E75D8D" w14:textId="6233C76B" w:rsidR="00AF0FEC" w:rsidRDefault="00AF0FEC" w:rsidP="00AF0FEC">
      <w:pPr>
        <w:pStyle w:val="FootnoteText"/>
        <w:numPr>
          <w:ilvl w:val="0"/>
          <w:numId w:val="19"/>
        </w:numPr>
      </w:pPr>
      <w:r>
        <w:t>For each category of inference</w:t>
      </w:r>
      <w:r w:rsidR="005858C8">
        <w:t xml:space="preserve"> (e.g. “</w:t>
      </w:r>
      <w:r w:rsidR="006C672E">
        <w:t>Implausible i</w:t>
      </w:r>
      <w:r w:rsidR="005858C8">
        <w:t>nconsistency</w:t>
      </w:r>
      <w:r w:rsidR="006C672E">
        <w:t>” “Manner, general quality of testimony”)</w:t>
      </w:r>
      <w:r>
        <w:t>, read through the highlighted text and decide how much support that category of inference brought to the member’s conclusion that the claimant was lying</w:t>
      </w:r>
      <w:r w:rsidR="005C4F04">
        <w:t>, as described below.</w:t>
      </w:r>
    </w:p>
    <w:p w14:paraId="39EFDDC0" w14:textId="77777777" w:rsidR="00232C23" w:rsidRDefault="00232C23" w:rsidP="00232C23">
      <w:pPr>
        <w:pStyle w:val="FootnoteText"/>
        <w:ind w:left="720"/>
      </w:pPr>
    </w:p>
    <w:p w14:paraId="0F54D960" w14:textId="2239C50E" w:rsidR="00C55E79" w:rsidRDefault="00AF0FEC" w:rsidP="002F12FE">
      <w:pPr>
        <w:pStyle w:val="FootnoteText"/>
        <w:ind w:left="1440"/>
      </w:pPr>
      <w:r>
        <w:t>Note:</w:t>
      </w:r>
      <w:r w:rsidR="008B00EC">
        <w:t xml:space="preserve"> The member may make many discrete findings based on many discrete applications of one </w:t>
      </w:r>
      <w:r>
        <w:t>category of inference</w:t>
      </w:r>
      <w:r w:rsidR="008B00EC">
        <w:t xml:space="preserve">. The </w:t>
      </w:r>
      <w:r w:rsidR="002F12FE">
        <w:t xml:space="preserve">aim </w:t>
      </w:r>
      <w:r w:rsidR="008B00EC">
        <w:t xml:space="preserve">here is to give a measure of the support provided </w:t>
      </w:r>
      <w:r w:rsidR="00C55E79">
        <w:t>by the category overal</w:t>
      </w:r>
      <w:r w:rsidR="002F12FE">
        <w:t xml:space="preserve">l, and the category will be </w:t>
      </w:r>
      <w:r w:rsidR="002F12FE" w:rsidRPr="00D26456">
        <w:rPr>
          <w:u w:val="single"/>
        </w:rPr>
        <w:t>as strong as its strongest inference</w:t>
      </w:r>
      <w:r w:rsidR="002F12FE">
        <w:t xml:space="preserve">. </w:t>
      </w:r>
      <w:r w:rsidR="00C55E79">
        <w:t>In other words, i</w:t>
      </w:r>
      <w:r w:rsidR="00C55E79" w:rsidRPr="00C55E79">
        <w:t xml:space="preserve">f one category contains a number of </w:t>
      </w:r>
      <w:r w:rsidR="00AB6C2D">
        <w:t xml:space="preserve">insignificant </w:t>
      </w:r>
      <w:r w:rsidR="00C55E79">
        <w:t xml:space="preserve">inferences </w:t>
      </w:r>
      <w:r w:rsidR="00C55E79" w:rsidRPr="00C55E79">
        <w:t>but one that is</w:t>
      </w:r>
      <w:r w:rsidR="00AB6C2D">
        <w:t xml:space="preserve"> significant</w:t>
      </w:r>
      <w:r w:rsidR="00C55E79">
        <w:t>,</w:t>
      </w:r>
      <w:r w:rsidR="00C2513F">
        <w:t xml:space="preserve"> we would </w:t>
      </w:r>
      <w:r w:rsidR="00C55E79" w:rsidRPr="00C55E79">
        <w:t xml:space="preserve">code </w:t>
      </w:r>
      <w:r w:rsidR="00C2513F">
        <w:t xml:space="preserve">all of the text in </w:t>
      </w:r>
      <w:r w:rsidR="00C55E79" w:rsidRPr="00C55E79">
        <w:t>th</w:t>
      </w:r>
      <w:r w:rsidR="00C55E79">
        <w:t>at</w:t>
      </w:r>
      <w:r w:rsidR="00C55E79" w:rsidRPr="00C55E79">
        <w:t xml:space="preserve"> category at </w:t>
      </w:r>
      <w:r w:rsidR="00C55E79">
        <w:t xml:space="preserve">the </w:t>
      </w:r>
      <w:r w:rsidR="00C55E79" w:rsidRPr="00C55E79">
        <w:t>“</w:t>
      </w:r>
      <w:r w:rsidR="00C55E79">
        <w:t>significant</w:t>
      </w:r>
      <w:r w:rsidR="00C55E79" w:rsidRPr="00C55E79">
        <w:t>”</w:t>
      </w:r>
      <w:r w:rsidR="00C55E79">
        <w:t xml:space="preserve"> code.</w:t>
      </w:r>
    </w:p>
    <w:p w14:paraId="19F5B897" w14:textId="77777777" w:rsidR="00232C23" w:rsidRDefault="00232C23" w:rsidP="002F12FE">
      <w:pPr>
        <w:pStyle w:val="FootnoteText"/>
        <w:ind w:left="1440"/>
      </w:pPr>
    </w:p>
    <w:p w14:paraId="0EE88659" w14:textId="4334CB16" w:rsidR="00AF0FEC" w:rsidRDefault="00AF0FEC" w:rsidP="00AF0FEC">
      <w:pPr>
        <w:pStyle w:val="FootnoteText"/>
      </w:pPr>
    </w:p>
    <w:p w14:paraId="5B5FD7F1" w14:textId="49100128" w:rsidR="002F12FE" w:rsidRDefault="002F12FE" w:rsidP="00AF0FEC">
      <w:pPr>
        <w:pStyle w:val="FootnoteText"/>
      </w:pPr>
      <w:r>
        <w:t>Sixth:</w:t>
      </w:r>
    </w:p>
    <w:p w14:paraId="7D1ABD6A" w14:textId="209373C7" w:rsidR="00530268" w:rsidRDefault="009F4256" w:rsidP="007005D1">
      <w:pPr>
        <w:pStyle w:val="FootnoteText"/>
        <w:numPr>
          <w:ilvl w:val="0"/>
          <w:numId w:val="19"/>
        </w:numPr>
      </w:pPr>
      <w:r>
        <w:t xml:space="preserve">In Excel, for each Inference code, put a ‘1’ in the column for the </w:t>
      </w:r>
      <w:r w:rsidR="00222F4C">
        <w:t xml:space="preserve">appropriate </w:t>
      </w:r>
      <w:r w:rsidR="002F12FE">
        <w:t xml:space="preserve">Support </w:t>
      </w:r>
      <w:r w:rsidR="00222F4C">
        <w:t>code</w:t>
      </w:r>
      <w:r>
        <w:t>. Put 0s in all of the other cells in the row.</w:t>
      </w:r>
    </w:p>
    <w:p w14:paraId="59DF8F64" w14:textId="77777777" w:rsidR="002F12FE" w:rsidRDefault="002F12FE" w:rsidP="00AF0FEC">
      <w:pPr>
        <w:pStyle w:val="FootnoteText"/>
      </w:pPr>
    </w:p>
    <w:p w14:paraId="2D70DE93" w14:textId="6C95B5C2" w:rsidR="005C4F04" w:rsidRPr="005858C8" w:rsidRDefault="005C4F04" w:rsidP="00AF0FEC">
      <w:pPr>
        <w:pStyle w:val="FootnoteText"/>
        <w:rPr>
          <w:b/>
          <w:bCs/>
        </w:rPr>
      </w:pPr>
      <w:r w:rsidRPr="005858C8">
        <w:rPr>
          <w:b/>
          <w:bCs/>
        </w:rPr>
        <w:t>Measuring support</w:t>
      </w:r>
    </w:p>
    <w:p w14:paraId="730F2C1D" w14:textId="77777777" w:rsidR="005C4F04" w:rsidRDefault="005C4F04" w:rsidP="00AF0FEC">
      <w:pPr>
        <w:pStyle w:val="FootnoteText"/>
      </w:pPr>
    </w:p>
    <w:p w14:paraId="12BAE56C" w14:textId="25C93E00" w:rsidR="006A6CFF" w:rsidRDefault="005858C8" w:rsidP="006A6CFF">
      <w:pPr>
        <w:pStyle w:val="FootnoteText"/>
      </w:pPr>
      <w:r>
        <w:t>To try to capture</w:t>
      </w:r>
      <w:r w:rsidR="008B00EC">
        <w:t xml:space="preserve"> </w:t>
      </w:r>
      <w:r w:rsidR="00C55E79">
        <w:t xml:space="preserve">the extent to which </w:t>
      </w:r>
      <w:r w:rsidR="00D26456">
        <w:t xml:space="preserve">a </w:t>
      </w:r>
      <w:r w:rsidR="00C55E79">
        <w:t>category of inference support</w:t>
      </w:r>
      <w:r>
        <w:t>s</w:t>
      </w:r>
      <w:r w:rsidR="00C55E79">
        <w:t xml:space="preserve"> </w:t>
      </w:r>
      <w:r w:rsidR="005F5116">
        <w:t xml:space="preserve">the member’s </w:t>
      </w:r>
      <w:r w:rsidR="00AB6C2D" w:rsidRPr="00AB6C2D">
        <w:rPr>
          <w:u w:val="single"/>
        </w:rPr>
        <w:t xml:space="preserve">credibility </w:t>
      </w:r>
      <w:r w:rsidR="00C55E79" w:rsidRPr="00AB6C2D">
        <w:rPr>
          <w:u w:val="single"/>
        </w:rPr>
        <w:t>conclusion</w:t>
      </w:r>
      <w:r>
        <w:t xml:space="preserve">, the coders will </w:t>
      </w:r>
      <w:r w:rsidR="006A6CFF">
        <w:t xml:space="preserve">look at each category of </w:t>
      </w:r>
      <w:r w:rsidR="00401E3A">
        <w:t xml:space="preserve">inference </w:t>
      </w:r>
      <w:r w:rsidR="006A6CFF">
        <w:t>and</w:t>
      </w:r>
      <w:r w:rsidR="00401E3A">
        <w:t xml:space="preserve"> code it at one of the three codes below.</w:t>
      </w:r>
      <w:r w:rsidR="006A6CFF">
        <w:t xml:space="preserve"> </w:t>
      </w:r>
    </w:p>
    <w:p w14:paraId="4F5A0142" w14:textId="447CF1F4" w:rsidR="00613A63" w:rsidRDefault="00613A63" w:rsidP="006A6CFF">
      <w:pPr>
        <w:pStyle w:val="FootnoteText"/>
      </w:pPr>
    </w:p>
    <w:p w14:paraId="4FEBAE46" w14:textId="432A2A39" w:rsidR="00F70E4D" w:rsidRDefault="003A5031" w:rsidP="00F70E4D">
      <w:pPr>
        <w:pStyle w:val="FootnoteText"/>
        <w:ind w:left="720"/>
      </w:pPr>
      <w:r>
        <w:t xml:space="preserve">Note: </w:t>
      </w:r>
      <w:r w:rsidR="00F70E4D">
        <w:t xml:space="preserve">In writing their decisions, at times the members </w:t>
      </w:r>
      <w:r w:rsidR="00E2562A">
        <w:t xml:space="preserve">will </w:t>
      </w:r>
      <w:r w:rsidR="00F70E4D">
        <w:t xml:space="preserve">set out a series of inferences that all lend weight to a final ‘non-credibility’ conclusion: (“Delay undermines your credibility. Inconsistencies undermines your credibility…For all these reasons, I conclude that you are not credible”). But at times, instead, </w:t>
      </w:r>
      <w:r>
        <w:t>t</w:t>
      </w:r>
      <w:r w:rsidR="00A75C27">
        <w:t xml:space="preserve">he members </w:t>
      </w:r>
      <w:r>
        <w:t xml:space="preserve">will </w:t>
      </w:r>
      <w:r w:rsidR="00613A63">
        <w:t>write</w:t>
      </w:r>
      <w:r w:rsidR="00A75C27">
        <w:t xml:space="preserve"> their reasons as</w:t>
      </w:r>
      <w:r w:rsidR="00613A63">
        <w:t xml:space="preserve"> a series of stand-alone </w:t>
      </w:r>
      <w:r w:rsidR="0053252F">
        <w:t xml:space="preserve">findings </w:t>
      </w:r>
      <w:r w:rsidR="00613A63">
        <w:t>(“Because you delayed, I find you not credible. Because of the inconsistencies, I find you not credible”)</w:t>
      </w:r>
      <w:r w:rsidR="00A75C27">
        <w:t xml:space="preserve">. </w:t>
      </w:r>
    </w:p>
    <w:p w14:paraId="7A4D4651" w14:textId="090390D7" w:rsidR="00AB6C2D" w:rsidRDefault="00A75C27" w:rsidP="009F4256">
      <w:pPr>
        <w:pStyle w:val="FootnoteText"/>
        <w:ind w:left="720"/>
      </w:pPr>
      <w:r>
        <w:t>When the Courts</w:t>
      </w:r>
      <w:r w:rsidR="003A5031">
        <w:t xml:space="preserve"> review the reasonableness of the</w:t>
      </w:r>
      <w:r w:rsidR="00F70E4D">
        <w:t xml:space="preserve">se </w:t>
      </w:r>
      <w:r w:rsidR="003A5031">
        <w:t>decisions</w:t>
      </w:r>
      <w:r w:rsidR="0053252F">
        <w:t xml:space="preserve">, </w:t>
      </w:r>
      <w:r w:rsidR="00F70E4D">
        <w:t xml:space="preserve">no matter how they are written, </w:t>
      </w:r>
      <w:r>
        <w:t>t</w:t>
      </w:r>
      <w:r w:rsidR="0053252F">
        <w:t>he</w:t>
      </w:r>
      <w:r w:rsidR="00F70E4D">
        <w:t xml:space="preserve"> judges</w:t>
      </w:r>
      <w:r w:rsidR="0053252F">
        <w:t xml:space="preserve"> </w:t>
      </w:r>
      <w:r>
        <w:t>read the</w:t>
      </w:r>
      <w:r w:rsidR="00F70E4D">
        <w:t xml:space="preserve"> reasons </w:t>
      </w:r>
      <w:r w:rsidR="003A5031">
        <w:t>cumulatively</w:t>
      </w:r>
      <w:r w:rsidR="0053252F">
        <w:t xml:space="preserve">, as a </w:t>
      </w:r>
      <w:r>
        <w:t xml:space="preserve">series of circumstantial findings that </w:t>
      </w:r>
      <w:r w:rsidR="003A5031">
        <w:t xml:space="preserve">together </w:t>
      </w:r>
      <w:r>
        <w:t>support a</w:t>
      </w:r>
      <w:r w:rsidR="00E2562A">
        <w:t xml:space="preserve">n ultimate </w:t>
      </w:r>
      <w:r>
        <w:t>conclusion</w:t>
      </w:r>
      <w:r w:rsidR="00E2562A">
        <w:t xml:space="preserve">. </w:t>
      </w:r>
      <w:r w:rsidR="0053252F">
        <w:t xml:space="preserve">The Courts, in other words, weight the sufficiency of the support that the members have identified </w:t>
      </w:r>
      <w:r w:rsidR="003A5031">
        <w:t xml:space="preserve">throughout their decision. We </w:t>
      </w:r>
      <w:r w:rsidR="003A5031">
        <w:lastRenderedPageBreak/>
        <w:t xml:space="preserve">will take the same approach in </w:t>
      </w:r>
      <w:r>
        <w:t xml:space="preserve">measuring the support that </w:t>
      </w:r>
      <w:r w:rsidR="003A5031">
        <w:t xml:space="preserve">these inferences </w:t>
      </w:r>
      <w:r>
        <w:t xml:space="preserve">bring to the member’s </w:t>
      </w:r>
      <w:r w:rsidR="0053252F">
        <w:t xml:space="preserve">ultimate </w:t>
      </w:r>
      <w:r>
        <w:t>conclusion.</w:t>
      </w:r>
    </w:p>
    <w:p w14:paraId="25828D5D" w14:textId="77777777" w:rsidR="00221829" w:rsidRDefault="00221829" w:rsidP="006A6CFF">
      <w:pPr>
        <w:pStyle w:val="FootnoteText"/>
      </w:pPr>
    </w:p>
    <w:p w14:paraId="431046DE" w14:textId="29B00216" w:rsidR="00401E3A" w:rsidRPr="003A5031" w:rsidRDefault="00221829" w:rsidP="006A6CFF">
      <w:pPr>
        <w:pStyle w:val="FootnoteText"/>
        <w:rPr>
          <w:b/>
          <w:bCs/>
        </w:rPr>
      </w:pPr>
      <w:r w:rsidRPr="00C674C2">
        <w:rPr>
          <w:b/>
          <w:bCs/>
        </w:rPr>
        <w:t>The Codes</w:t>
      </w:r>
    </w:p>
    <w:p w14:paraId="3AB9F9AA" w14:textId="6CB2EF35" w:rsidR="006A6CFF" w:rsidRDefault="006A6CFF" w:rsidP="00AF0FEC">
      <w:pPr>
        <w:pStyle w:val="FootnoteText"/>
      </w:pPr>
    </w:p>
    <w:p w14:paraId="278FB626" w14:textId="219D8738" w:rsidR="00401E3A" w:rsidRPr="00221829" w:rsidRDefault="00221829" w:rsidP="00221829">
      <w:pPr>
        <w:pStyle w:val="FootnoteText"/>
        <w:ind w:firstLine="720"/>
        <w:rPr>
          <w:b/>
          <w:bCs/>
        </w:rPr>
      </w:pPr>
      <w:r w:rsidRPr="00221829">
        <w:rPr>
          <w:b/>
          <w:bCs/>
        </w:rPr>
        <w:t>Z1:</w:t>
      </w:r>
      <w:r w:rsidRPr="00221829">
        <w:rPr>
          <w:b/>
          <w:bCs/>
        </w:rPr>
        <w:tab/>
      </w:r>
      <w:r w:rsidR="00401E3A" w:rsidRPr="00221829">
        <w:rPr>
          <w:b/>
          <w:bCs/>
        </w:rPr>
        <w:t>Sufficient</w:t>
      </w:r>
    </w:p>
    <w:p w14:paraId="398FA3BA" w14:textId="208FFCCE" w:rsidR="00401E3A" w:rsidRDefault="00401E3A" w:rsidP="00AF0FEC">
      <w:pPr>
        <w:pStyle w:val="FootnoteText"/>
      </w:pPr>
    </w:p>
    <w:p w14:paraId="57844ECE" w14:textId="38AB8CDB" w:rsidR="00221829" w:rsidRDefault="00221829" w:rsidP="00221829">
      <w:pPr>
        <w:pStyle w:val="FootnoteText"/>
        <w:ind w:left="720"/>
      </w:pPr>
      <w:r>
        <w:t xml:space="preserve">This category of inference alone would </w:t>
      </w:r>
      <w:r w:rsidR="003A5031">
        <w:t xml:space="preserve">arguably </w:t>
      </w:r>
      <w:r>
        <w:t xml:space="preserve">be sufficient to ground </w:t>
      </w:r>
      <w:r w:rsidR="00D06978">
        <w:t>the member’s</w:t>
      </w:r>
      <w:r>
        <w:t xml:space="preserve"> negative credibility</w:t>
      </w:r>
      <w:r w:rsidR="00262A1B">
        <w:t xml:space="preserve"> conclusion</w:t>
      </w:r>
      <w:r>
        <w:t>.</w:t>
      </w:r>
    </w:p>
    <w:p w14:paraId="1DB41BC9" w14:textId="77777777" w:rsidR="00D06978" w:rsidRDefault="00D06978" w:rsidP="00221829">
      <w:pPr>
        <w:pStyle w:val="FootnoteText"/>
        <w:ind w:left="720"/>
      </w:pPr>
    </w:p>
    <w:p w14:paraId="28D1D84D" w14:textId="2F413068" w:rsidR="00401E3A" w:rsidRDefault="00262A1B" w:rsidP="00262A1B">
      <w:pPr>
        <w:pStyle w:val="FootnoteText"/>
        <w:ind w:left="1440"/>
      </w:pPr>
      <w:r w:rsidRPr="00262A1B">
        <w:t>Assume all of the inferences in th</w:t>
      </w:r>
      <w:r>
        <w:t xml:space="preserve">is category are </w:t>
      </w:r>
      <w:r w:rsidR="000054DD">
        <w:t>arguable</w:t>
      </w:r>
      <w:r w:rsidRPr="00262A1B">
        <w:t>. Us</w:t>
      </w:r>
      <w:r w:rsidR="005F1F23">
        <w:t>e</w:t>
      </w:r>
      <w:r w:rsidRPr="00262A1B">
        <w:t xml:space="preserve"> your understanding of the quantum of support that is legally sufficient to justify a negative credibility judgment,</w:t>
      </w:r>
      <w:r w:rsidR="00E2562A">
        <w:t xml:space="preserve"> drawing on your experience with</w:t>
      </w:r>
      <w:r w:rsidRPr="00262A1B">
        <w:t xml:space="preserve"> </w:t>
      </w:r>
      <w:r w:rsidR="00E2562A">
        <w:t>the jurisprudence</w:t>
      </w:r>
      <w:r w:rsidR="00E2562A" w:rsidRPr="00E2562A">
        <w:t xml:space="preserve"> that identif</w:t>
      </w:r>
      <w:r w:rsidR="00E2562A">
        <w:t>ies</w:t>
      </w:r>
      <w:r w:rsidR="00E2562A" w:rsidRPr="00E2562A">
        <w:t xml:space="preserve"> credibility conclusions that are sufficiently or insufficiently supported on the evidence</w:t>
      </w:r>
      <w:r w:rsidR="005F1F23">
        <w:t xml:space="preserve">. Ask </w:t>
      </w:r>
      <w:r>
        <w:t xml:space="preserve">if this category, standing alone, could </w:t>
      </w:r>
      <w:r w:rsidR="00D06978">
        <w:t xml:space="preserve">provide </w:t>
      </w:r>
      <w:r w:rsidR="00E2562A">
        <w:t xml:space="preserve">sufficient </w:t>
      </w:r>
      <w:r w:rsidR="00D06978">
        <w:t>support</w:t>
      </w:r>
      <w:r w:rsidR="00E2562A">
        <w:t xml:space="preserve"> for the member’s negative credibility conclusion</w:t>
      </w:r>
      <w:r w:rsidR="00D06978">
        <w:t>.</w:t>
      </w:r>
    </w:p>
    <w:p w14:paraId="5841A8E9" w14:textId="77777777" w:rsidR="00262A1B" w:rsidRDefault="00262A1B" w:rsidP="00AF0FEC">
      <w:pPr>
        <w:pStyle w:val="FootnoteText"/>
      </w:pPr>
    </w:p>
    <w:p w14:paraId="16776578" w14:textId="105E2147" w:rsidR="00401E3A" w:rsidRPr="00221829" w:rsidRDefault="00221829" w:rsidP="00221829">
      <w:pPr>
        <w:pStyle w:val="FootnoteText"/>
        <w:ind w:firstLine="720"/>
        <w:rPr>
          <w:b/>
          <w:bCs/>
        </w:rPr>
      </w:pPr>
      <w:r w:rsidRPr="00221829">
        <w:rPr>
          <w:b/>
          <w:bCs/>
        </w:rPr>
        <w:t>Z2:</w:t>
      </w:r>
      <w:r w:rsidRPr="00221829">
        <w:rPr>
          <w:b/>
          <w:bCs/>
        </w:rPr>
        <w:tab/>
      </w:r>
      <w:r w:rsidR="00401E3A" w:rsidRPr="00221829">
        <w:rPr>
          <w:b/>
          <w:bCs/>
        </w:rPr>
        <w:t>Significant</w:t>
      </w:r>
      <w:r w:rsidR="00991801">
        <w:rPr>
          <w:b/>
          <w:bCs/>
        </w:rPr>
        <w:t xml:space="preserve"> but not sufficient</w:t>
      </w:r>
    </w:p>
    <w:p w14:paraId="3ADEC449" w14:textId="627C94B2" w:rsidR="00401E3A" w:rsidRDefault="00401E3A" w:rsidP="00AF0FEC">
      <w:pPr>
        <w:pStyle w:val="FootnoteText"/>
      </w:pPr>
    </w:p>
    <w:p w14:paraId="60614FE5" w14:textId="49C18BDC" w:rsidR="00401E3A" w:rsidRDefault="00221829" w:rsidP="00221829">
      <w:pPr>
        <w:pStyle w:val="FootnoteText"/>
        <w:ind w:left="720"/>
      </w:pPr>
      <w:r>
        <w:t xml:space="preserve">This code captures all </w:t>
      </w:r>
      <w:r w:rsidR="00401E3A">
        <w:t>categories of inference that are not captured by either of the other two</w:t>
      </w:r>
      <w:r>
        <w:t xml:space="preserve"> codes.</w:t>
      </w:r>
    </w:p>
    <w:p w14:paraId="62E748AA" w14:textId="5DDB9C90" w:rsidR="00401E3A" w:rsidRDefault="00401E3A" w:rsidP="00AF0FEC">
      <w:pPr>
        <w:pStyle w:val="FootnoteText"/>
      </w:pPr>
    </w:p>
    <w:p w14:paraId="4D12355A" w14:textId="02A57541" w:rsidR="00401E3A" w:rsidRPr="00221829" w:rsidRDefault="00221829" w:rsidP="00221829">
      <w:pPr>
        <w:pStyle w:val="FootnoteText"/>
        <w:ind w:firstLine="720"/>
        <w:rPr>
          <w:b/>
          <w:bCs/>
        </w:rPr>
      </w:pPr>
      <w:r>
        <w:rPr>
          <w:b/>
          <w:bCs/>
        </w:rPr>
        <w:t>Z3:</w:t>
      </w:r>
      <w:r>
        <w:rPr>
          <w:b/>
          <w:bCs/>
        </w:rPr>
        <w:tab/>
      </w:r>
      <w:r w:rsidR="00401E3A" w:rsidRPr="00221829">
        <w:rPr>
          <w:b/>
          <w:bCs/>
        </w:rPr>
        <w:t>Insignificant</w:t>
      </w:r>
    </w:p>
    <w:p w14:paraId="38771304" w14:textId="77777777" w:rsidR="00401E3A" w:rsidRPr="00401E3A" w:rsidRDefault="00401E3A" w:rsidP="00AF0FEC">
      <w:pPr>
        <w:pStyle w:val="FootnoteText"/>
        <w:rPr>
          <w:u w:val="single"/>
        </w:rPr>
      </w:pPr>
    </w:p>
    <w:p w14:paraId="37669A83" w14:textId="77777777" w:rsidR="00262A1B" w:rsidRDefault="00262A1B" w:rsidP="00262A1B">
      <w:pPr>
        <w:pStyle w:val="FootnoteText"/>
        <w:ind w:left="720"/>
      </w:pPr>
      <w:r w:rsidRPr="00262A1B">
        <w:t xml:space="preserve">This category of inference lends at most minimal support to </w:t>
      </w:r>
      <w:r w:rsidR="00221829">
        <w:t>th</w:t>
      </w:r>
      <w:r>
        <w:t>e member’s negative credibility conclusion</w:t>
      </w:r>
      <w:r w:rsidR="00221829">
        <w:t>. If you removed it from the decision, the negative credibility conclusion would be, at most, somewhat weaker.</w:t>
      </w:r>
    </w:p>
    <w:p w14:paraId="6D364916" w14:textId="77777777" w:rsidR="00262A1B" w:rsidRDefault="00262A1B" w:rsidP="00262A1B">
      <w:pPr>
        <w:pStyle w:val="FootnoteText"/>
        <w:ind w:left="720"/>
      </w:pPr>
    </w:p>
    <w:p w14:paraId="1B08E6E2" w14:textId="3DD6AC8D" w:rsidR="005A6A0B" w:rsidRDefault="00262A1B" w:rsidP="00262A1B">
      <w:pPr>
        <w:pStyle w:val="FootnoteText"/>
        <w:ind w:left="1440"/>
      </w:pPr>
      <w:r>
        <w:t>Assume all of the inferences in the decision – in all of the categories – are arguable. U</w:t>
      </w:r>
      <w:r w:rsidRPr="00262A1B">
        <w:t xml:space="preserve">sing </w:t>
      </w:r>
      <w:r>
        <w:t>y</w:t>
      </w:r>
      <w:r w:rsidRPr="00262A1B">
        <w:t xml:space="preserve">our understanding of the quantum of support that is </w:t>
      </w:r>
      <w:r>
        <w:t xml:space="preserve">legally </w:t>
      </w:r>
      <w:r w:rsidRPr="00262A1B">
        <w:t xml:space="preserve">sufficient to </w:t>
      </w:r>
      <w:r>
        <w:t xml:space="preserve">justify </w:t>
      </w:r>
      <w:r w:rsidRPr="00262A1B">
        <w:t xml:space="preserve">a negative credibility judgment, ask how much weaker the conclusion would be if </w:t>
      </w:r>
      <w:r>
        <w:t>you</w:t>
      </w:r>
      <w:r w:rsidRPr="00262A1B">
        <w:t xml:space="preserve"> removed this category of inference.</w:t>
      </w:r>
    </w:p>
    <w:p w14:paraId="5B133924" w14:textId="0B83F126" w:rsidR="00221829" w:rsidRDefault="00221829" w:rsidP="00202BC4">
      <w:pPr>
        <w:pStyle w:val="FootnoteText"/>
      </w:pPr>
    </w:p>
    <w:p w14:paraId="5FC6F4D4" w14:textId="0B7E8C72" w:rsidR="00221829" w:rsidRDefault="003A5031" w:rsidP="00202BC4">
      <w:pPr>
        <w:pStyle w:val="FootnoteText"/>
      </w:pPr>
      <w:r>
        <w:t>In deciding whether the category of inference is sufficient or insignificant, the coders will be guided by the following considerations, among others:</w:t>
      </w:r>
    </w:p>
    <w:p w14:paraId="39186E07" w14:textId="77777777" w:rsidR="003A5031" w:rsidRDefault="003A5031" w:rsidP="00202BC4">
      <w:pPr>
        <w:pStyle w:val="FootnoteText"/>
      </w:pPr>
    </w:p>
    <w:p w14:paraId="4FC29B52" w14:textId="05079074" w:rsidR="00CF73F7" w:rsidRDefault="00CF73F7" w:rsidP="00CF73F7">
      <w:pPr>
        <w:pStyle w:val="FootnoteText"/>
        <w:numPr>
          <w:ilvl w:val="0"/>
          <w:numId w:val="19"/>
        </w:numPr>
      </w:pPr>
      <w:r w:rsidRPr="001C4AE9">
        <w:rPr>
          <w:u w:val="single"/>
        </w:rPr>
        <w:t>Scope</w:t>
      </w:r>
      <w:r>
        <w:t xml:space="preserve">: How much of the member’s reasoning </w:t>
      </w:r>
      <w:r w:rsidRPr="000A2C98">
        <w:rPr>
          <w:u w:val="single"/>
        </w:rPr>
        <w:t>around credibility</w:t>
      </w:r>
      <w:r>
        <w:t xml:space="preserve"> involves this category of inference? In other words, how much of the relevant text</w:t>
      </w:r>
      <w:r w:rsidR="000A2C98">
        <w:t xml:space="preserve"> </w:t>
      </w:r>
      <w:r w:rsidR="000A2C98" w:rsidRPr="000A2C98">
        <w:rPr>
          <w:u w:val="single"/>
        </w:rPr>
        <w:t>related to credibility</w:t>
      </w:r>
      <w:r w:rsidR="000A2C98">
        <w:t xml:space="preserve"> in the decision overall </w:t>
      </w:r>
      <w:r>
        <w:t>is taken up with this category?</w:t>
      </w:r>
    </w:p>
    <w:p w14:paraId="3128A106" w14:textId="77777777" w:rsidR="00221829" w:rsidRDefault="00221829" w:rsidP="00221829">
      <w:pPr>
        <w:pStyle w:val="FootnoteText"/>
        <w:ind w:left="720"/>
      </w:pPr>
    </w:p>
    <w:p w14:paraId="4E3156BA" w14:textId="71A951AB" w:rsidR="000A2C98" w:rsidRDefault="00EA3846" w:rsidP="000A2C98">
      <w:pPr>
        <w:pStyle w:val="FootnoteText"/>
        <w:numPr>
          <w:ilvl w:val="0"/>
          <w:numId w:val="19"/>
        </w:numPr>
      </w:pPr>
      <w:r>
        <w:rPr>
          <w:u w:val="single"/>
        </w:rPr>
        <w:t>Centrality of the subject matter</w:t>
      </w:r>
      <w:r w:rsidRPr="00EA3846">
        <w:t xml:space="preserve">: </w:t>
      </w:r>
      <w:r w:rsidR="00221829" w:rsidRPr="000054DD">
        <w:t>Th</w:t>
      </w:r>
      <w:r>
        <w:t>e centrality/importance of the substance of the alleged lie</w:t>
      </w:r>
      <w:r w:rsidR="003A5031">
        <w:t xml:space="preserve">, as </w:t>
      </w:r>
      <w:r w:rsidR="00221829" w:rsidRPr="000054DD">
        <w:t xml:space="preserve">distinct from the </w:t>
      </w:r>
      <w:r w:rsidR="000A2C98">
        <w:t>strength</w:t>
      </w:r>
      <w:r>
        <w:t xml:space="preserve"> (reasonableness)</w:t>
      </w:r>
      <w:r w:rsidR="000A2C98">
        <w:t xml:space="preserve"> of the </w:t>
      </w:r>
      <w:r>
        <w:t xml:space="preserve">deception </w:t>
      </w:r>
      <w:r w:rsidR="00221829" w:rsidRPr="000054DD">
        <w:t>inference</w:t>
      </w:r>
      <w:r w:rsidR="000A2C98">
        <w:t xml:space="preserve"> drawn </w:t>
      </w:r>
      <w:r>
        <w:t xml:space="preserve">from </w:t>
      </w:r>
      <w:r w:rsidR="000A2C98">
        <w:t xml:space="preserve">it. E.g. the member might identify </w:t>
      </w:r>
      <w:r>
        <w:t>convincing</w:t>
      </w:r>
      <w:r w:rsidR="000A2C98">
        <w:t xml:space="preserve"> reasons for concluding that the claimant lied about a minor or peripheral matter, or unconvincing reasons for concluding that they claimant lied about a central matter. What</w:t>
      </w:r>
      <w:r>
        <w:t xml:space="preserve"> may be relevant </w:t>
      </w:r>
      <w:r w:rsidR="003A5031">
        <w:t xml:space="preserve">here </w:t>
      </w:r>
      <w:r w:rsidR="000A2C98">
        <w:t xml:space="preserve">is how central/important </w:t>
      </w:r>
      <w:r w:rsidR="000A2C98">
        <w:lastRenderedPageBreak/>
        <w:t>the alleged deception under discussion is</w:t>
      </w:r>
      <w:r w:rsidR="00613A63">
        <w:t>,</w:t>
      </w:r>
      <w:r w:rsidR="000A2C98">
        <w:t xml:space="preserve"> rather than how </w:t>
      </w:r>
      <w:r>
        <w:t xml:space="preserve">reasonable or persuasive </w:t>
      </w:r>
      <w:r w:rsidR="000A2C98">
        <w:t>the finding is.</w:t>
      </w:r>
    </w:p>
    <w:p w14:paraId="77CD8116" w14:textId="77777777" w:rsidR="00CF73F7" w:rsidRPr="00E63A35" w:rsidRDefault="00CF73F7" w:rsidP="000A2C98">
      <w:pPr>
        <w:pStyle w:val="FootnoteText"/>
      </w:pPr>
    </w:p>
    <w:p w14:paraId="3722603E" w14:textId="63B0B907" w:rsidR="000A2C98" w:rsidRPr="000A2C98" w:rsidRDefault="00EA3846" w:rsidP="00613A63">
      <w:pPr>
        <w:pStyle w:val="ListParagraph"/>
        <w:numPr>
          <w:ilvl w:val="0"/>
          <w:numId w:val="19"/>
        </w:numPr>
      </w:pPr>
      <w:r w:rsidRPr="00EA3846">
        <w:rPr>
          <w:u w:val="single"/>
        </w:rPr>
        <w:t>Breadth of the subject matter</w:t>
      </w:r>
      <w:r>
        <w:t xml:space="preserve">: </w:t>
      </w:r>
      <w:r w:rsidR="000A2C98">
        <w:t>Whether the</w:t>
      </w:r>
      <w:r>
        <w:t xml:space="preserve"> inferences in the</w:t>
      </w:r>
      <w:r w:rsidR="000A2C98">
        <w:t xml:space="preserve"> category all relate to a single incident or observation, or whether the member has identified a number of incidents or observations</w:t>
      </w:r>
      <w:r>
        <w:t xml:space="preserve"> from which they draw the inferences</w:t>
      </w:r>
      <w:r w:rsidR="000A2C98">
        <w:t>.</w:t>
      </w:r>
      <w:r>
        <w:t xml:space="preserve"> As above, the </w:t>
      </w:r>
      <w:r w:rsidRPr="00EA3846">
        <w:t>member might identify convincing reasons for concludin</w:t>
      </w:r>
      <w:r>
        <w:t>g that the claimant lied about one thing or on one occasion</w:t>
      </w:r>
      <w:r w:rsidRPr="00EA3846">
        <w:t xml:space="preserve">, or unconvincing reasons for concluding that they claimant lied about </w:t>
      </w:r>
      <w:r>
        <w:t>many things or on many occasions</w:t>
      </w:r>
      <w:r w:rsidRPr="00EA3846">
        <w:t>. What</w:t>
      </w:r>
      <w:r w:rsidR="00613A63">
        <w:t xml:space="preserve"> may be relevant </w:t>
      </w:r>
      <w:r w:rsidR="003A5031">
        <w:t xml:space="preserve">here </w:t>
      </w:r>
      <w:r w:rsidR="00613A63">
        <w:t>is</w:t>
      </w:r>
      <w:r w:rsidRPr="00EA3846">
        <w:t xml:space="preserve"> how </w:t>
      </w:r>
      <w:r w:rsidR="00613A63">
        <w:t xml:space="preserve">broad the support for the finding is, rather than </w:t>
      </w:r>
      <w:r w:rsidRPr="00EA3846">
        <w:t>how reasonable or persuasive the finding is.</w:t>
      </w:r>
    </w:p>
    <w:p w14:paraId="3CD2FA19" w14:textId="706FF7DF" w:rsidR="000A2C98" w:rsidRDefault="000A2C98" w:rsidP="000A2C98">
      <w:pPr>
        <w:pStyle w:val="ListParagraph"/>
        <w:rPr>
          <w:u w:val="single"/>
        </w:rPr>
      </w:pPr>
    </w:p>
    <w:p w14:paraId="21DE2334" w14:textId="22913170" w:rsidR="00CF73F7" w:rsidRDefault="00CF73F7" w:rsidP="00CF73F7">
      <w:pPr>
        <w:pStyle w:val="FootnoteText"/>
        <w:numPr>
          <w:ilvl w:val="0"/>
          <w:numId w:val="19"/>
        </w:numPr>
      </w:pPr>
      <w:r w:rsidRPr="001C4AE9">
        <w:rPr>
          <w:u w:val="single"/>
        </w:rPr>
        <w:t>Position</w:t>
      </w:r>
      <w:r>
        <w:t>: Where in the decision does this category of inference appear? Is much/all of the relevant text upfront at the beginning? Is much/all of it tacked on at the end?</w:t>
      </w:r>
    </w:p>
    <w:p w14:paraId="61F93F41" w14:textId="77777777" w:rsidR="00CF73F7" w:rsidRDefault="00CF73F7" w:rsidP="00CF73F7">
      <w:pPr>
        <w:pStyle w:val="FootnoteText"/>
      </w:pPr>
    </w:p>
    <w:p w14:paraId="31FC97C0" w14:textId="77777777" w:rsidR="00CF73F7" w:rsidRDefault="00CF73F7" w:rsidP="00CF73F7">
      <w:pPr>
        <w:pStyle w:val="FootnoteText"/>
        <w:numPr>
          <w:ilvl w:val="0"/>
          <w:numId w:val="19"/>
        </w:numPr>
      </w:pPr>
      <w:r w:rsidRPr="001C4AE9">
        <w:rPr>
          <w:u w:val="single"/>
        </w:rPr>
        <w:t>Language</w:t>
      </w:r>
      <w:r>
        <w:t>: Does the text itself emphasize or de-emphasize an inference?</w:t>
      </w:r>
    </w:p>
    <w:p w14:paraId="4256733F" w14:textId="77777777" w:rsidR="00CF73F7" w:rsidRDefault="00CF73F7" w:rsidP="00CF73F7">
      <w:pPr>
        <w:pStyle w:val="FootnoteText"/>
      </w:pPr>
    </w:p>
    <w:p w14:paraId="09901134" w14:textId="77777777" w:rsidR="00CF73F7" w:rsidRDefault="00CF73F7" w:rsidP="00CF73F7">
      <w:pPr>
        <w:pStyle w:val="FootnoteText"/>
        <w:numPr>
          <w:ilvl w:val="1"/>
          <w:numId w:val="19"/>
        </w:numPr>
      </w:pPr>
      <w:r>
        <w:t>E.g. emphasising: “The panel was struck hard by” “The panel found very significant the fact that”</w:t>
      </w:r>
    </w:p>
    <w:p w14:paraId="76F0BF25" w14:textId="4D3887AD" w:rsidR="00CF73F7" w:rsidRDefault="00CF73F7" w:rsidP="00CF73F7">
      <w:pPr>
        <w:pStyle w:val="FootnoteText"/>
        <w:numPr>
          <w:ilvl w:val="1"/>
          <w:numId w:val="19"/>
        </w:numPr>
      </w:pPr>
      <w:r>
        <w:t>de-emphasizing: “While it did not play a major role in the panel’s decision”</w:t>
      </w:r>
      <w:r w:rsidRPr="00BB5A0E">
        <w:t xml:space="preserve"> </w:t>
      </w:r>
      <w:r>
        <w:t>“It is also worth noting that” “The panel also observed that”</w:t>
      </w:r>
    </w:p>
    <w:p w14:paraId="104D5E44" w14:textId="77777777" w:rsidR="00991801" w:rsidRDefault="00991801" w:rsidP="00991801">
      <w:pPr>
        <w:rPr>
          <w:b/>
          <w:bCs/>
        </w:rPr>
      </w:pPr>
    </w:p>
    <w:p w14:paraId="304C3DB5" w14:textId="41CA7DEA" w:rsidR="00991801" w:rsidRPr="00991801" w:rsidRDefault="00991801" w:rsidP="00991801">
      <w:pPr>
        <w:rPr>
          <w:b/>
          <w:bCs/>
        </w:rPr>
      </w:pPr>
      <w:r w:rsidRPr="00991801">
        <w:rPr>
          <w:b/>
          <w:bCs/>
        </w:rPr>
        <w:t>Notes</w:t>
      </w:r>
    </w:p>
    <w:p w14:paraId="350C9517" w14:textId="20B3AA26" w:rsidR="00991801" w:rsidRDefault="00991801" w:rsidP="00991801">
      <w:pPr>
        <w:pStyle w:val="Heading2"/>
      </w:pPr>
      <w:r>
        <w:t>Where the inference coders have missed material</w:t>
      </w:r>
    </w:p>
    <w:p w14:paraId="3EC06DCB" w14:textId="77777777" w:rsidR="00991801" w:rsidRDefault="00991801" w:rsidP="00991801">
      <w:pPr>
        <w:pStyle w:val="FootnoteText"/>
      </w:pPr>
      <w:r>
        <w:t>Jun 9 22</w:t>
      </w:r>
    </w:p>
    <w:p w14:paraId="7740E7CC" w14:textId="77777777" w:rsidR="00991801" w:rsidRDefault="00991801" w:rsidP="00991801">
      <w:pPr>
        <w:pStyle w:val="FootnoteText"/>
      </w:pPr>
    </w:p>
    <w:p w14:paraId="10098243" w14:textId="77777777" w:rsidR="00991801" w:rsidRDefault="00991801" w:rsidP="00991801">
      <w:pPr>
        <w:pStyle w:val="FootnoteText"/>
      </w:pPr>
      <w:r>
        <w:t>If the Inference coder has coded certain passages of text at a given code, and the Support coder notices other passages of text that should have been coded at this same code but that the Inference coder overlooked, the Support coder will not consider these overlooked passages. They can look around the edges of a coded passage – we have said that there is no precise magic to how much text the coders include in capturing a particular instance of an inference – but they will only weigh the instances that the coders captured.</w:t>
      </w:r>
    </w:p>
    <w:p w14:paraId="57D6EF46" w14:textId="77777777" w:rsidR="00991801" w:rsidRDefault="00991801" w:rsidP="00991801">
      <w:pPr>
        <w:pStyle w:val="Heading2"/>
      </w:pPr>
      <w:r>
        <w:t>Where the material in a code relates to two different claimants</w:t>
      </w:r>
    </w:p>
    <w:p w14:paraId="6BA62D57" w14:textId="77777777" w:rsidR="00991801" w:rsidRDefault="00991801" w:rsidP="00991801">
      <w:pPr>
        <w:pStyle w:val="FootnoteText"/>
      </w:pPr>
      <w:r>
        <w:t>May 2 22</w:t>
      </w:r>
    </w:p>
    <w:p w14:paraId="6126456F" w14:textId="77777777" w:rsidR="00991801" w:rsidRDefault="00991801" w:rsidP="00991801">
      <w:pPr>
        <w:pStyle w:val="FootnoteText"/>
      </w:pPr>
    </w:p>
    <w:p w14:paraId="1442A3A5" w14:textId="77777777" w:rsidR="00991801" w:rsidRDefault="00991801" w:rsidP="00991801">
      <w:pPr>
        <w:pStyle w:val="FootnoteText"/>
      </w:pPr>
      <w:r>
        <w:t xml:space="preserve">If, within one category of code, the member has made credibility findings about two claimants, the coding should reflect the code at its most significant. </w:t>
      </w:r>
    </w:p>
    <w:p w14:paraId="5B8CAF21" w14:textId="77777777" w:rsidR="00991801" w:rsidRDefault="00991801" w:rsidP="00991801">
      <w:pPr>
        <w:pStyle w:val="FootnoteText"/>
      </w:pPr>
    </w:p>
    <w:p w14:paraId="3F277C0D" w14:textId="77777777" w:rsidR="00991801" w:rsidRDefault="00991801" w:rsidP="00991801">
      <w:pPr>
        <w:pStyle w:val="FootnoteText"/>
      </w:pPr>
      <w:r>
        <w:t>So for example, if the member’s finding that Claimant A is lying rests entirely on the coded text, whereas the member’s finding that Claimant B is lying rests largely on other findings, this category would be coded as ‘sufficient’ because it was sufficient support for the finding about Claimant A.</w:t>
      </w:r>
    </w:p>
    <w:p w14:paraId="68CECA40" w14:textId="77777777" w:rsidR="00991801" w:rsidRDefault="00991801" w:rsidP="00991801">
      <w:pPr>
        <w:pStyle w:val="FootnoteText"/>
      </w:pPr>
    </w:p>
    <w:p w14:paraId="6031D6AF" w14:textId="77777777" w:rsidR="00991801" w:rsidRDefault="00991801" w:rsidP="00991801">
      <w:pPr>
        <w:pStyle w:val="FootnoteText"/>
      </w:pPr>
      <w:r>
        <w:t>Aug 2 22</w:t>
      </w:r>
    </w:p>
    <w:p w14:paraId="7305E4D1" w14:textId="77777777" w:rsidR="00991801" w:rsidRDefault="00991801" w:rsidP="00991801">
      <w:pPr>
        <w:pStyle w:val="FootnoteText"/>
      </w:pPr>
      <w:r>
        <w:lastRenderedPageBreak/>
        <w:t>Where the panel is basically treating the two claimants as the same person, we do the same and consider them together. The analysis above is only for when the member really considers them separately.</w:t>
      </w:r>
    </w:p>
    <w:p w14:paraId="44281FAF" w14:textId="77777777" w:rsidR="00991801" w:rsidRDefault="00991801" w:rsidP="00991801">
      <w:pPr>
        <w:pStyle w:val="Heading2"/>
      </w:pPr>
      <w:r>
        <w:t>Extra ‘context’ text in a category</w:t>
      </w:r>
    </w:p>
    <w:p w14:paraId="52545CDB" w14:textId="77777777" w:rsidR="00991801" w:rsidRDefault="00991801" w:rsidP="00991801">
      <w:pPr>
        <w:pStyle w:val="FootnoteText"/>
      </w:pPr>
      <w:r>
        <w:t>Apr 7 22</w:t>
      </w:r>
    </w:p>
    <w:p w14:paraId="097B2710" w14:textId="77777777" w:rsidR="00991801" w:rsidRDefault="00991801" w:rsidP="00991801">
      <w:pPr>
        <w:pStyle w:val="FootnoteText"/>
      </w:pPr>
    </w:p>
    <w:p w14:paraId="54963AB2" w14:textId="77777777" w:rsidR="00991801" w:rsidRDefault="00991801" w:rsidP="00991801">
      <w:pPr>
        <w:pStyle w:val="FootnoteText"/>
      </w:pPr>
      <w:r>
        <w:t>In calculating the support that the category provides, coders can simply mentally remove any extra text that the Inference Coders have included to provide context.</w:t>
      </w:r>
    </w:p>
    <w:p w14:paraId="2256AD1C" w14:textId="77777777" w:rsidR="00991801" w:rsidRDefault="00991801" w:rsidP="00991801">
      <w:pPr>
        <w:pStyle w:val="Heading2"/>
      </w:pPr>
      <w:r>
        <w:t>The ‘unreasonableness’ of the adjudicator’s finding</w:t>
      </w:r>
    </w:p>
    <w:p w14:paraId="723BDAF8" w14:textId="77777777" w:rsidR="00991801" w:rsidRDefault="00991801" w:rsidP="00991801">
      <w:r>
        <w:t>Apr 7 22</w:t>
      </w:r>
    </w:p>
    <w:p w14:paraId="7D4C4717" w14:textId="77777777" w:rsidR="00991801" w:rsidRPr="00B32143" w:rsidRDefault="00991801" w:rsidP="00991801">
      <w:pPr>
        <w:pStyle w:val="FootnoteText"/>
      </w:pPr>
    </w:p>
    <w:p w14:paraId="725025E1" w14:textId="77777777" w:rsidR="00991801" w:rsidRDefault="00991801" w:rsidP="00991801">
      <w:r>
        <w:t>Where coder feels that the adjudicator had made an unreasonable finding, this does not necessarily weaken the support that the finding provides to the adjudicator’s conclusion. An unreasonable finding may still be ‘sufficient,’ for example, if it is the only finding supporting the conclusion, or if it is thorough, substantial, central etc. and if a judge might conceivably find that it was reasonable.</w:t>
      </w:r>
    </w:p>
    <w:p w14:paraId="07CA1191" w14:textId="77777777" w:rsidR="00991801" w:rsidRDefault="00991801" w:rsidP="00991801">
      <w:pPr>
        <w:pStyle w:val="FootnoteText"/>
      </w:pPr>
    </w:p>
    <w:p w14:paraId="6E109FA5" w14:textId="77777777" w:rsidR="00991801" w:rsidRDefault="00991801" w:rsidP="00991801">
      <w:pPr>
        <w:pStyle w:val="FootnoteText"/>
      </w:pPr>
      <w:r>
        <w:t xml:space="preserve">But it is possible that a finding could be just so ridiculously unreasonable that it really adds no weight at all. To reach this conclusion, the coder would need to be convinced that no judge would every find that it was a reasonable finding. </w:t>
      </w:r>
    </w:p>
    <w:p w14:paraId="0EC97115" w14:textId="77777777" w:rsidR="00991801" w:rsidRDefault="00991801" w:rsidP="00991801">
      <w:pPr>
        <w:pStyle w:val="Heading2"/>
      </w:pPr>
      <w:r>
        <w:t>Burden of proof</w:t>
      </w:r>
    </w:p>
    <w:p w14:paraId="6103FB15" w14:textId="77777777" w:rsidR="00991801" w:rsidRDefault="00991801" w:rsidP="00991801">
      <w:pPr>
        <w:pStyle w:val="FootnoteText"/>
      </w:pPr>
      <w:r>
        <w:t>Apr 7 22</w:t>
      </w:r>
    </w:p>
    <w:p w14:paraId="70C44744" w14:textId="77777777" w:rsidR="00991801" w:rsidRDefault="00991801" w:rsidP="00991801">
      <w:pPr>
        <w:pStyle w:val="FootnoteText"/>
      </w:pPr>
    </w:p>
    <w:p w14:paraId="34EEF876" w14:textId="77777777" w:rsidR="00991801" w:rsidRPr="00C152EF" w:rsidRDefault="00991801" w:rsidP="00991801">
      <w:pPr>
        <w:pStyle w:val="FootnoteText"/>
      </w:pPr>
      <w:r>
        <w:t>The burden of proof is on the category to qualify in to the ‘sufficient’ and ‘insignificant’ codes. If the coder is not convinced that the category qualifies for one of these two codes, then they will code it as ‘significant.’ This accords with the default presumption that the adjudicator has chosen to comment about a point because they feel that it is significant.</w:t>
      </w:r>
    </w:p>
    <w:p w14:paraId="4EBE8AFA" w14:textId="77777777" w:rsidR="00991801" w:rsidRDefault="00991801" w:rsidP="00991801">
      <w:pPr>
        <w:pStyle w:val="Heading2"/>
      </w:pPr>
      <w:r>
        <w:t>Analytical approaches to distinguishing among the codes</w:t>
      </w:r>
    </w:p>
    <w:p w14:paraId="7EE676ED" w14:textId="77777777" w:rsidR="00991801" w:rsidRDefault="00991801" w:rsidP="00991801">
      <w:pPr>
        <w:pStyle w:val="FootnoteText"/>
      </w:pPr>
      <w:r>
        <w:t>Apr 1 22</w:t>
      </w:r>
    </w:p>
    <w:p w14:paraId="6A6D67B1" w14:textId="77777777" w:rsidR="00991801" w:rsidRDefault="00991801" w:rsidP="00991801">
      <w:pPr>
        <w:pStyle w:val="FootnoteText"/>
      </w:pPr>
    </w:p>
    <w:p w14:paraId="022FEC69" w14:textId="77777777" w:rsidR="00991801" w:rsidRDefault="00991801" w:rsidP="00991801">
      <w:pPr>
        <w:pStyle w:val="FootnoteText"/>
      </w:pPr>
      <w:r>
        <w:t xml:space="preserve">When you’re trying to decide as between significant and sufficient, you look at </w:t>
      </w:r>
      <w:r w:rsidRPr="00C42E51">
        <w:rPr>
          <w:u w:val="single"/>
        </w:rPr>
        <w:t xml:space="preserve">the </w:t>
      </w:r>
      <w:r>
        <w:rPr>
          <w:u w:val="single"/>
        </w:rPr>
        <w:t xml:space="preserve">coded text </w:t>
      </w:r>
      <w:r w:rsidRPr="00C42E51">
        <w:rPr>
          <w:u w:val="single"/>
        </w:rPr>
        <w:t>by itself</w:t>
      </w:r>
      <w:r>
        <w:t xml:space="preserve"> (i.e. take away the rest of the decision). If the text by itself could support a negative credibility finding, then the Support code is ‘sufficient.’ </w:t>
      </w:r>
    </w:p>
    <w:p w14:paraId="038D3C55" w14:textId="77777777" w:rsidR="00991801" w:rsidRDefault="00991801" w:rsidP="00991801">
      <w:pPr>
        <w:pStyle w:val="FootnoteText"/>
      </w:pPr>
    </w:p>
    <w:p w14:paraId="5C504798" w14:textId="77777777" w:rsidR="00991801" w:rsidRDefault="00991801" w:rsidP="00991801">
      <w:pPr>
        <w:pStyle w:val="FootnoteText"/>
        <w:ind w:left="720"/>
      </w:pPr>
      <w:r>
        <w:t>For this analysis, it doesn’t matter how strong the rest of the decision was, because you are taking it all away and only looking at the text in question. The rest of the decision may have been very strong – in theory, there could be several sufficient reasons to support the credibility conclusion – but all that matters is how strong this particular coded text is.</w:t>
      </w:r>
    </w:p>
    <w:p w14:paraId="0ED78454" w14:textId="77777777" w:rsidR="00991801" w:rsidRDefault="00991801" w:rsidP="00991801">
      <w:pPr>
        <w:pStyle w:val="FootnoteText"/>
      </w:pPr>
    </w:p>
    <w:p w14:paraId="7CFC4734" w14:textId="77777777" w:rsidR="00991801" w:rsidRDefault="00991801" w:rsidP="00991801">
      <w:pPr>
        <w:pStyle w:val="FootnoteText"/>
      </w:pPr>
      <w:r>
        <w:t xml:space="preserve">On the other hand, when you’re trying to decide as between significant and insignificant, you take the coded text out and look first at </w:t>
      </w:r>
      <w:r w:rsidRPr="00C42E51">
        <w:rPr>
          <w:u w:val="single"/>
        </w:rPr>
        <w:t>what’s left of the decision</w:t>
      </w:r>
      <w:r>
        <w:t xml:space="preserve">. </w:t>
      </w:r>
    </w:p>
    <w:p w14:paraId="75449B09" w14:textId="77777777" w:rsidR="00991801" w:rsidRDefault="00991801" w:rsidP="00991801">
      <w:pPr>
        <w:pStyle w:val="FootnoteText"/>
      </w:pPr>
    </w:p>
    <w:p w14:paraId="63FC9FEE" w14:textId="77777777" w:rsidR="00991801" w:rsidRDefault="00991801" w:rsidP="00991801">
      <w:pPr>
        <w:pStyle w:val="FootnoteText"/>
        <w:ind w:left="720"/>
      </w:pPr>
      <w:r>
        <w:t>In this analysis, it does make a difference how strong the rest of the decision was. If the rest of the decision is so thoroughly supported that adding this coded text back in would make only a minimal difference, then the Support code is ‘insignificant.’</w:t>
      </w:r>
    </w:p>
    <w:p w14:paraId="6D904A72" w14:textId="77777777" w:rsidR="00991801" w:rsidRDefault="00991801" w:rsidP="00991801">
      <w:pPr>
        <w:pStyle w:val="FootnoteText"/>
      </w:pPr>
    </w:p>
    <w:p w14:paraId="5384E136" w14:textId="77777777" w:rsidR="00991801" w:rsidRDefault="00991801" w:rsidP="00991801">
      <w:pPr>
        <w:pStyle w:val="FootnoteText"/>
        <w:ind w:left="720"/>
      </w:pPr>
      <w:r>
        <w:t xml:space="preserve">BUT the fact that the credibility conclusion is already </w:t>
      </w:r>
      <w:r w:rsidRPr="00616C48">
        <w:rPr>
          <w:i/>
          <w:iCs/>
        </w:rPr>
        <w:t>well</w:t>
      </w:r>
      <w:r>
        <w:t xml:space="preserve"> supported without the coded text may not end the analysis – if there’s still room for it to be </w:t>
      </w:r>
      <w:r w:rsidRPr="00616C48">
        <w:rPr>
          <w:i/>
          <w:iCs/>
        </w:rPr>
        <w:t>better</w:t>
      </w:r>
      <w:r>
        <w:t xml:space="preserve"> supported, and if the coded text adds something valuable. So you will then look </w:t>
      </w:r>
      <w:r w:rsidRPr="001849DE">
        <w:rPr>
          <w:u w:val="single"/>
        </w:rPr>
        <w:t>at the coded text</w:t>
      </w:r>
      <w:r>
        <w:t xml:space="preserve"> and consider the factors in the Codebook (scope, centrality, breadth, position, language). The more well supported the conclusion is without the coded text, the more support the coded text will need to bring before it will be significant.</w:t>
      </w:r>
    </w:p>
    <w:p w14:paraId="2BC0C0BE" w14:textId="77777777" w:rsidR="00991801" w:rsidRDefault="00991801" w:rsidP="00991801">
      <w:pPr>
        <w:pStyle w:val="Heading2"/>
      </w:pPr>
      <w:r>
        <w:t>The ‘centrality’ of the subject matter</w:t>
      </w:r>
    </w:p>
    <w:p w14:paraId="1CAEF09F" w14:textId="77777777" w:rsidR="00991801" w:rsidRPr="00F76315" w:rsidRDefault="00991801" w:rsidP="00991801">
      <w:r>
        <w:t>Apr 1 22</w:t>
      </w:r>
    </w:p>
    <w:p w14:paraId="7E51D50E" w14:textId="77777777" w:rsidR="00991801" w:rsidRDefault="00991801" w:rsidP="00991801">
      <w:pPr>
        <w:pStyle w:val="FootnoteText"/>
      </w:pPr>
    </w:p>
    <w:p w14:paraId="24677D5D" w14:textId="77777777" w:rsidR="00991801" w:rsidRDefault="00991801" w:rsidP="00991801">
      <w:pPr>
        <w:pStyle w:val="FootnoteText"/>
      </w:pPr>
      <w:r>
        <w:t>When we’re considering the ‘centrality’ of the subject matter in the code – when we’re looking at “</w:t>
      </w:r>
      <w:r w:rsidRPr="006C56C4">
        <w:t>how central/important the alleged deception under discussion is</w:t>
      </w:r>
      <w:r>
        <w:t>” – we’re looking at how important it is to the objective basis of the claim. The Fed Court has held that it is unreasonable to base credibility findings on matters that are minor or peripheral, by which the Court means matters that relate to questions that would be irrelevant in the legal analysis (e.g. the route by which the claimant came to Canada). The more the credibility finding relates to a matter that is legally important, the more central it is.</w:t>
      </w:r>
    </w:p>
    <w:p w14:paraId="31411541" w14:textId="77777777" w:rsidR="00991801" w:rsidRDefault="00991801" w:rsidP="00991801">
      <w:pPr>
        <w:pStyle w:val="Heading2"/>
      </w:pPr>
      <w:r>
        <w:t>Distinguishing the ‘sufficient’ and ‘significant’ codes</w:t>
      </w:r>
    </w:p>
    <w:p w14:paraId="28D9287F" w14:textId="77777777" w:rsidR="00991801" w:rsidRDefault="00991801" w:rsidP="00991801">
      <w:r>
        <w:t>Mar 25 2022</w:t>
      </w:r>
    </w:p>
    <w:p w14:paraId="2DF3475C" w14:textId="77777777" w:rsidR="00991801" w:rsidRPr="00D5658A" w:rsidRDefault="00991801" w:rsidP="00991801">
      <w:pPr>
        <w:pStyle w:val="FootnoteText"/>
      </w:pPr>
    </w:p>
    <w:p w14:paraId="6905693D" w14:textId="77777777" w:rsidR="00991801" w:rsidRPr="0024683E" w:rsidRDefault="00991801" w:rsidP="00991801">
      <w:pPr>
        <w:pStyle w:val="FootnoteText"/>
      </w:pPr>
      <w:r>
        <w:t xml:space="preserve">A helpful element to consider, along with those identified in the Codebook, is to what extent the finding is ‘robust’ or ‘thorough.’ A single finding that is thorough and robust – that the member has spent a lot of time and effort fleshing out and supporting – may be ‘sufficient’ even if we are not convinced by the reasoning, even if we would argue that it is nonetheless unreasonable. The issue is </w:t>
      </w:r>
      <w:r w:rsidRPr="0024683E">
        <w:t>whether an average Federal Court judge could conclude</w:t>
      </w:r>
      <w:r>
        <w:t xml:space="preserve"> that this </w:t>
      </w:r>
      <w:r w:rsidRPr="0024683E">
        <w:t>category, standing alone, could provide sufficient support for the member’s negative credibility conclusion.</w:t>
      </w:r>
    </w:p>
    <w:p w14:paraId="0FA33AAE" w14:textId="77777777" w:rsidR="00991801" w:rsidRDefault="00991801" w:rsidP="00991801">
      <w:pPr>
        <w:pStyle w:val="Heading2"/>
      </w:pPr>
      <w:r>
        <w:t>Where a credibility decision on the whole is very weakly supported</w:t>
      </w:r>
    </w:p>
    <w:p w14:paraId="040EDFCF" w14:textId="77777777" w:rsidR="00991801" w:rsidRPr="00A24069" w:rsidRDefault="00991801" w:rsidP="00991801">
      <w:r>
        <w:t>Mar 10 2022</w:t>
      </w:r>
    </w:p>
    <w:p w14:paraId="49ACBD53" w14:textId="77777777" w:rsidR="00991801" w:rsidRDefault="00991801" w:rsidP="00991801">
      <w:pPr>
        <w:pStyle w:val="FootnoteText"/>
      </w:pPr>
    </w:p>
    <w:p w14:paraId="02E7EAAE" w14:textId="77777777" w:rsidR="00991801" w:rsidRPr="00A24069" w:rsidRDefault="00991801" w:rsidP="00991801">
      <w:pPr>
        <w:pStyle w:val="FootnoteText"/>
      </w:pPr>
      <w:r>
        <w:t xml:space="preserve">It is possible to have a credibility decision that is only supported by “insufficient” inferences. When this is the case, it may be tempting to ‘bump up’ what would otherwise be an </w:t>
      </w:r>
      <w:r w:rsidRPr="00A24069">
        <w:t xml:space="preserve">insignificant </w:t>
      </w:r>
      <w:r>
        <w:t>category inference</w:t>
      </w:r>
      <w:r w:rsidRPr="00A24069">
        <w:t xml:space="preserve"> </w:t>
      </w:r>
      <w:r>
        <w:t>– on the logic that “There must be some support here somewhere”…</w:t>
      </w:r>
      <w:r w:rsidRPr="00A24069">
        <w:t xml:space="preserve"> </w:t>
      </w:r>
      <w:r>
        <w:t xml:space="preserve">But it is possible that the decision on the whole is simply insufficiently supported. If removing the category wouldn’t make much of a difference – because the credibility finding ultimately is too weakly supported to stand – then the category is insignificant. </w:t>
      </w:r>
    </w:p>
    <w:p w14:paraId="1622BA4E" w14:textId="77777777" w:rsidR="00991801" w:rsidRDefault="00991801" w:rsidP="00991801">
      <w:pPr>
        <w:pStyle w:val="Heading2"/>
      </w:pPr>
      <w:r>
        <w:t>If you can’t make sense of the Inference coding</w:t>
      </w:r>
    </w:p>
    <w:p w14:paraId="4D51F271" w14:textId="77777777" w:rsidR="00991801" w:rsidRDefault="00991801" w:rsidP="00991801">
      <w:pPr>
        <w:pBdr>
          <w:top w:val="nil"/>
          <w:left w:val="nil"/>
          <w:bottom w:val="nil"/>
          <w:right w:val="nil"/>
          <w:between w:val="nil"/>
        </w:pBdr>
        <w:rPr>
          <w:rFonts w:eastAsia="Times New Roman"/>
          <w:color w:val="000000"/>
          <w:szCs w:val="24"/>
        </w:rPr>
      </w:pPr>
      <w:r>
        <w:rPr>
          <w:rFonts w:eastAsia="Times New Roman"/>
          <w:color w:val="000000"/>
          <w:szCs w:val="24"/>
        </w:rPr>
        <w:t>Feb 22 2022</w:t>
      </w:r>
    </w:p>
    <w:p w14:paraId="5BCEBB0E" w14:textId="77777777" w:rsidR="00991801" w:rsidRDefault="00991801" w:rsidP="00991801">
      <w:pPr>
        <w:pBdr>
          <w:top w:val="nil"/>
          <w:left w:val="nil"/>
          <w:bottom w:val="nil"/>
          <w:right w:val="nil"/>
          <w:between w:val="nil"/>
        </w:pBdr>
        <w:rPr>
          <w:rFonts w:eastAsia="Times New Roman"/>
          <w:color w:val="000000"/>
          <w:szCs w:val="24"/>
        </w:rPr>
      </w:pPr>
    </w:p>
    <w:p w14:paraId="24EAF868" w14:textId="77777777" w:rsidR="00991801" w:rsidRDefault="00991801" w:rsidP="00991801">
      <w:pPr>
        <w:pBdr>
          <w:top w:val="nil"/>
          <w:left w:val="nil"/>
          <w:bottom w:val="nil"/>
          <w:right w:val="nil"/>
          <w:between w:val="nil"/>
        </w:pBdr>
        <w:rPr>
          <w:rFonts w:eastAsia="Times New Roman"/>
          <w:color w:val="000000"/>
          <w:szCs w:val="24"/>
        </w:rPr>
      </w:pPr>
      <w:r>
        <w:rPr>
          <w:rFonts w:eastAsia="Times New Roman"/>
          <w:color w:val="000000"/>
          <w:szCs w:val="24"/>
        </w:rPr>
        <w:lastRenderedPageBreak/>
        <w:t>If you are not able to find the passage in the coded text that relates to the coded inference, we will discuss this as a team. If as a team we are not able to identify it, we will not code this inference (will enter ‘0’ values in each of the Z code cells).</w:t>
      </w:r>
    </w:p>
    <w:p w14:paraId="65486BF8" w14:textId="77777777" w:rsidR="00991801" w:rsidRDefault="00991801" w:rsidP="00991801">
      <w:pPr>
        <w:pBdr>
          <w:top w:val="nil"/>
          <w:left w:val="nil"/>
          <w:bottom w:val="nil"/>
          <w:right w:val="nil"/>
          <w:between w:val="nil"/>
        </w:pBdr>
      </w:pPr>
    </w:p>
    <w:p w14:paraId="26630028" w14:textId="77777777" w:rsidR="00991801" w:rsidRDefault="00991801" w:rsidP="00991801">
      <w:pPr>
        <w:pBdr>
          <w:top w:val="nil"/>
          <w:left w:val="nil"/>
          <w:bottom w:val="nil"/>
          <w:right w:val="nil"/>
          <w:between w:val="nil"/>
        </w:pBdr>
        <w:ind w:left="720"/>
      </w:pPr>
      <w:r>
        <w:t>Coders will pls highlight on the coding sheet any codes that the Inference coders had used in coding a case but that the Support coders cannot identify.</w:t>
      </w:r>
    </w:p>
    <w:p w14:paraId="3F09CA0F" w14:textId="77777777" w:rsidR="00991801" w:rsidRDefault="00991801" w:rsidP="00991801">
      <w:pPr>
        <w:pStyle w:val="Heading2"/>
      </w:pPr>
      <w:r>
        <w:t>Assessing the ‘scope’ of the inference</w:t>
      </w:r>
    </w:p>
    <w:p w14:paraId="75997EE2" w14:textId="77777777" w:rsidR="00991801" w:rsidRDefault="00991801" w:rsidP="00991801">
      <w:pPr>
        <w:pBdr>
          <w:top w:val="nil"/>
          <w:left w:val="nil"/>
          <w:bottom w:val="nil"/>
          <w:right w:val="nil"/>
          <w:between w:val="nil"/>
        </w:pBdr>
        <w:rPr>
          <w:rFonts w:eastAsia="Times New Roman"/>
          <w:color w:val="000000"/>
          <w:szCs w:val="24"/>
        </w:rPr>
      </w:pPr>
      <w:r>
        <w:rPr>
          <w:rFonts w:eastAsia="Times New Roman"/>
          <w:color w:val="000000"/>
          <w:szCs w:val="24"/>
        </w:rPr>
        <w:t>Feb 8 2022:</w:t>
      </w:r>
    </w:p>
    <w:p w14:paraId="1CA59159" w14:textId="77777777" w:rsidR="00991801" w:rsidRDefault="00991801" w:rsidP="00991801">
      <w:pPr>
        <w:pBdr>
          <w:top w:val="nil"/>
          <w:left w:val="nil"/>
          <w:bottom w:val="nil"/>
          <w:right w:val="nil"/>
          <w:between w:val="nil"/>
        </w:pBdr>
        <w:rPr>
          <w:rFonts w:eastAsia="Times New Roman"/>
          <w:color w:val="000000"/>
          <w:szCs w:val="24"/>
        </w:rPr>
      </w:pPr>
    </w:p>
    <w:p w14:paraId="16C5D6E1" w14:textId="77777777" w:rsidR="00991801" w:rsidRDefault="00991801" w:rsidP="00991801">
      <w:pPr>
        <w:pBdr>
          <w:top w:val="nil"/>
          <w:left w:val="nil"/>
          <w:bottom w:val="nil"/>
          <w:right w:val="nil"/>
          <w:between w:val="nil"/>
        </w:pBdr>
        <w:rPr>
          <w:rFonts w:eastAsia="Times New Roman"/>
          <w:color w:val="000000"/>
          <w:szCs w:val="24"/>
        </w:rPr>
      </w:pPr>
      <w:r>
        <w:rPr>
          <w:rFonts w:eastAsia="Times New Roman"/>
          <w:color w:val="000000"/>
          <w:szCs w:val="24"/>
        </w:rPr>
        <w:t>The Inference coders may code more text around an inference than they need to, to make sure that you have the context for what you are reading. When you read the text, in considering the ‘scope’ factor, you should consider how much of the coded text actually reflects this inference.</w:t>
      </w:r>
    </w:p>
    <w:p w14:paraId="704357A8" w14:textId="77777777" w:rsidR="00991801" w:rsidRDefault="00991801" w:rsidP="00991801">
      <w:pPr>
        <w:pBdr>
          <w:top w:val="nil"/>
          <w:left w:val="nil"/>
          <w:bottom w:val="nil"/>
          <w:right w:val="nil"/>
          <w:between w:val="nil"/>
        </w:pBdr>
        <w:rPr>
          <w:rFonts w:eastAsia="Times New Roman"/>
          <w:color w:val="000000"/>
          <w:szCs w:val="24"/>
        </w:rPr>
      </w:pPr>
    </w:p>
    <w:p w14:paraId="7E2AA296" w14:textId="0DB71A69" w:rsidR="00AF42AE" w:rsidRDefault="00AF42AE" w:rsidP="0027664C">
      <w:pPr>
        <w:pStyle w:val="FootnoteText"/>
      </w:pPr>
    </w:p>
    <w:sectPr w:rsidR="00AF42A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24AA6" w14:textId="77777777" w:rsidR="00273713" w:rsidRDefault="00273713" w:rsidP="0058387D">
      <w:r>
        <w:separator/>
      </w:r>
    </w:p>
  </w:endnote>
  <w:endnote w:type="continuationSeparator" w:id="0">
    <w:p w14:paraId="7EF3921C" w14:textId="77777777" w:rsidR="00273713" w:rsidRDefault="00273713" w:rsidP="00583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6783D" w14:textId="77777777" w:rsidR="00273713" w:rsidRDefault="00273713" w:rsidP="0058387D">
      <w:r>
        <w:separator/>
      </w:r>
    </w:p>
  </w:footnote>
  <w:footnote w:type="continuationSeparator" w:id="0">
    <w:p w14:paraId="55AFCAD8" w14:textId="77777777" w:rsidR="00273713" w:rsidRDefault="00273713" w:rsidP="005838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57BB5"/>
    <w:multiLevelType w:val="hybridMultilevel"/>
    <w:tmpl w:val="564E6FB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8FE21DF"/>
    <w:multiLevelType w:val="hybridMultilevel"/>
    <w:tmpl w:val="25CEC2D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ABE5DD6"/>
    <w:multiLevelType w:val="hybridMultilevel"/>
    <w:tmpl w:val="E9FC2D7A"/>
    <w:lvl w:ilvl="0" w:tplc="E5BAA1E8">
      <w:numFmt w:val="bullet"/>
      <w:lvlText w:val=""/>
      <w:lvlJc w:val="left"/>
      <w:pPr>
        <w:ind w:left="720" w:hanging="360"/>
      </w:pPr>
      <w:rPr>
        <w:rFonts w:ascii="Symbol" w:eastAsia="Calibri"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21C7CAC"/>
    <w:multiLevelType w:val="hybridMultilevel"/>
    <w:tmpl w:val="3E7EF374"/>
    <w:lvl w:ilvl="0" w:tplc="D5D4E5B6">
      <w:numFmt w:val="bullet"/>
      <w:lvlText w:val=""/>
      <w:lvlJc w:val="left"/>
      <w:pPr>
        <w:ind w:left="720" w:hanging="360"/>
      </w:pPr>
      <w:rPr>
        <w:rFonts w:ascii="Symbol" w:eastAsia="Calibri" w:hAnsi="Symbol"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168C3703"/>
    <w:multiLevelType w:val="hybridMultilevel"/>
    <w:tmpl w:val="85160052"/>
    <w:lvl w:ilvl="0" w:tplc="0914C296">
      <w:start w:val="3"/>
      <w:numFmt w:val="bullet"/>
      <w:lvlText w:val=""/>
      <w:lvlJc w:val="left"/>
      <w:pPr>
        <w:ind w:left="720" w:hanging="360"/>
      </w:pPr>
      <w:rPr>
        <w:rFonts w:ascii="Symbol" w:eastAsia="Calibri" w:hAnsi="Symbol"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4063DBD"/>
    <w:multiLevelType w:val="hybridMultilevel"/>
    <w:tmpl w:val="FFA4ECA4"/>
    <w:lvl w:ilvl="0" w:tplc="10090001">
      <w:start w:val="1"/>
      <w:numFmt w:val="bullet"/>
      <w:lvlText w:val=""/>
      <w:lvlJc w:val="left"/>
      <w:pPr>
        <w:ind w:left="720" w:hanging="360"/>
      </w:pPr>
      <w:rPr>
        <w:rFonts w:ascii="Symbol" w:hAnsi="Symbol" w:hint="default"/>
      </w:rPr>
    </w:lvl>
    <w:lvl w:ilvl="1" w:tplc="1009000F">
      <w:start w:val="1"/>
      <w:numFmt w:val="decimal"/>
      <w:lvlText w:val="%2."/>
      <w:lvlJc w:val="left"/>
      <w:pPr>
        <w:ind w:left="1440" w:hanging="360"/>
      </w:pPr>
      <w:rPr>
        <w:rFont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84D4FF7"/>
    <w:multiLevelType w:val="hybridMultilevel"/>
    <w:tmpl w:val="0D12EB6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2F451F69"/>
    <w:multiLevelType w:val="hybridMultilevel"/>
    <w:tmpl w:val="E52440D8"/>
    <w:lvl w:ilvl="0" w:tplc="40102272">
      <w:numFmt w:val="bullet"/>
      <w:lvlText w:val=""/>
      <w:lvlJc w:val="left"/>
      <w:pPr>
        <w:ind w:left="720" w:hanging="360"/>
      </w:pPr>
      <w:rPr>
        <w:rFonts w:ascii="Symbol" w:eastAsia="Calibri" w:hAnsi="Symbol"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37A15DE0"/>
    <w:multiLevelType w:val="hybridMultilevel"/>
    <w:tmpl w:val="082E0828"/>
    <w:lvl w:ilvl="0" w:tplc="DED05D7E">
      <w:numFmt w:val="bullet"/>
      <w:lvlText w:val=""/>
      <w:lvlJc w:val="left"/>
      <w:pPr>
        <w:ind w:left="720" w:hanging="360"/>
      </w:pPr>
      <w:rPr>
        <w:rFonts w:ascii="Symbol" w:eastAsia="Calibri"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47FF5644"/>
    <w:multiLevelType w:val="hybridMultilevel"/>
    <w:tmpl w:val="2264E070"/>
    <w:lvl w:ilvl="0" w:tplc="294A4F64">
      <w:numFmt w:val="bullet"/>
      <w:lvlText w:val=""/>
      <w:lvlJc w:val="left"/>
      <w:pPr>
        <w:ind w:left="720" w:hanging="360"/>
      </w:pPr>
      <w:rPr>
        <w:rFonts w:ascii="Symbol" w:eastAsia="Calibri"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4A722B0F"/>
    <w:multiLevelType w:val="hybridMultilevel"/>
    <w:tmpl w:val="40CE8E2A"/>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53121823"/>
    <w:multiLevelType w:val="hybridMultilevel"/>
    <w:tmpl w:val="7C0423AA"/>
    <w:lvl w:ilvl="0" w:tplc="57282F2A">
      <w:numFmt w:val="bullet"/>
      <w:lvlText w:val=""/>
      <w:lvlJc w:val="left"/>
      <w:pPr>
        <w:ind w:left="1440" w:hanging="360"/>
      </w:pPr>
      <w:rPr>
        <w:rFonts w:ascii="Symbol" w:eastAsia="Calibri" w:hAnsi="Symbol" w:cs="Times New Roman"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2" w15:restartNumberingAfterBreak="0">
    <w:nsid w:val="54F62EE5"/>
    <w:multiLevelType w:val="hybridMultilevel"/>
    <w:tmpl w:val="794CC75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15:restartNumberingAfterBreak="0">
    <w:nsid w:val="555E3446"/>
    <w:multiLevelType w:val="hybridMultilevel"/>
    <w:tmpl w:val="030E7302"/>
    <w:lvl w:ilvl="0" w:tplc="10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55B714B5"/>
    <w:multiLevelType w:val="hybridMultilevel"/>
    <w:tmpl w:val="7BB8B6D4"/>
    <w:lvl w:ilvl="0" w:tplc="B7F6F92A">
      <w:numFmt w:val="bullet"/>
      <w:lvlText w:val="-"/>
      <w:lvlJc w:val="left"/>
      <w:pPr>
        <w:ind w:left="1080" w:hanging="360"/>
      </w:pPr>
      <w:rPr>
        <w:rFonts w:ascii="Times New Roman" w:eastAsia="Calibri" w:hAnsi="Times New Roman" w:cs="Times New Roman"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5" w15:restartNumberingAfterBreak="0">
    <w:nsid w:val="59FD1153"/>
    <w:multiLevelType w:val="multilevel"/>
    <w:tmpl w:val="B5CA8A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76846B0"/>
    <w:multiLevelType w:val="hybridMultilevel"/>
    <w:tmpl w:val="24985CD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7" w15:restartNumberingAfterBreak="0">
    <w:nsid w:val="67A5707E"/>
    <w:multiLevelType w:val="hybridMultilevel"/>
    <w:tmpl w:val="C9BCEE4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97E5F99"/>
    <w:multiLevelType w:val="hybridMultilevel"/>
    <w:tmpl w:val="5F12B70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9" w15:restartNumberingAfterBreak="0">
    <w:nsid w:val="69C50816"/>
    <w:multiLevelType w:val="hybridMultilevel"/>
    <w:tmpl w:val="D502544A"/>
    <w:lvl w:ilvl="0" w:tplc="57282F2A">
      <w:numFmt w:val="bullet"/>
      <w:lvlText w:val=""/>
      <w:lvlJc w:val="left"/>
      <w:pPr>
        <w:ind w:left="720" w:hanging="360"/>
      </w:pPr>
      <w:rPr>
        <w:rFonts w:ascii="Symbol" w:eastAsia="Calibri" w:hAnsi="Symbol"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15:restartNumberingAfterBreak="0">
    <w:nsid w:val="72CD03AE"/>
    <w:multiLevelType w:val="hybridMultilevel"/>
    <w:tmpl w:val="CDC24BBE"/>
    <w:lvl w:ilvl="0" w:tplc="261425D6">
      <w:numFmt w:val="bullet"/>
      <w:lvlText w:val="-"/>
      <w:lvlJc w:val="left"/>
      <w:pPr>
        <w:ind w:left="720" w:hanging="360"/>
      </w:pPr>
      <w:rPr>
        <w:rFonts w:ascii="Times New Roman" w:eastAsia="Calibr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72E75E6E"/>
    <w:multiLevelType w:val="hybridMultilevel"/>
    <w:tmpl w:val="9CAAD1B2"/>
    <w:lvl w:ilvl="0" w:tplc="C9648EC4">
      <w:start w:val="8"/>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15:restartNumberingAfterBreak="0">
    <w:nsid w:val="7625498C"/>
    <w:multiLevelType w:val="hybridMultilevel"/>
    <w:tmpl w:val="F9A27158"/>
    <w:lvl w:ilvl="0" w:tplc="49E0A546">
      <w:numFmt w:val="bullet"/>
      <w:lvlText w:val="-"/>
      <w:lvlJc w:val="left"/>
      <w:pPr>
        <w:ind w:left="1080" w:hanging="360"/>
      </w:pPr>
      <w:rPr>
        <w:rFonts w:ascii="Times New Roman" w:eastAsia="Calibri" w:hAnsi="Times New Roman" w:cs="Times New Roman"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3" w15:restartNumberingAfterBreak="0">
    <w:nsid w:val="7AB7185F"/>
    <w:multiLevelType w:val="hybridMultilevel"/>
    <w:tmpl w:val="1F2E69CC"/>
    <w:lvl w:ilvl="0" w:tplc="57282F2A">
      <w:numFmt w:val="bullet"/>
      <w:lvlText w:val=""/>
      <w:lvlJc w:val="left"/>
      <w:pPr>
        <w:ind w:left="720" w:hanging="360"/>
      </w:pPr>
      <w:rPr>
        <w:rFonts w:ascii="Symbol" w:eastAsia="Calibri" w:hAnsi="Symbol"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15:restartNumberingAfterBreak="0">
    <w:nsid w:val="7EA265BF"/>
    <w:multiLevelType w:val="hybridMultilevel"/>
    <w:tmpl w:val="4BCE729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1311057561">
    <w:abstractNumId w:val="0"/>
  </w:num>
  <w:num w:numId="2" w16cid:durableId="1950233042">
    <w:abstractNumId w:val="1"/>
  </w:num>
  <w:num w:numId="3" w16cid:durableId="1477719886">
    <w:abstractNumId w:val="24"/>
  </w:num>
  <w:num w:numId="4" w16cid:durableId="182132684">
    <w:abstractNumId w:val="14"/>
  </w:num>
  <w:num w:numId="5" w16cid:durableId="918635511">
    <w:abstractNumId w:val="7"/>
  </w:num>
  <w:num w:numId="6" w16cid:durableId="784080747">
    <w:abstractNumId w:val="6"/>
  </w:num>
  <w:num w:numId="7" w16cid:durableId="190919663">
    <w:abstractNumId w:val="5"/>
  </w:num>
  <w:num w:numId="8" w16cid:durableId="1016233721">
    <w:abstractNumId w:val="18"/>
  </w:num>
  <w:num w:numId="9" w16cid:durableId="29379744">
    <w:abstractNumId w:val="16"/>
  </w:num>
  <w:num w:numId="10" w16cid:durableId="130947548">
    <w:abstractNumId w:val="22"/>
  </w:num>
  <w:num w:numId="11" w16cid:durableId="1594586112">
    <w:abstractNumId w:val="2"/>
  </w:num>
  <w:num w:numId="12" w16cid:durableId="1002007600">
    <w:abstractNumId w:val="20"/>
  </w:num>
  <w:num w:numId="13" w16cid:durableId="934940047">
    <w:abstractNumId w:val="12"/>
  </w:num>
  <w:num w:numId="14" w16cid:durableId="384915980">
    <w:abstractNumId w:val="4"/>
  </w:num>
  <w:num w:numId="15" w16cid:durableId="2040008788">
    <w:abstractNumId w:val="17"/>
  </w:num>
  <w:num w:numId="16" w16cid:durableId="1234052010">
    <w:abstractNumId w:val="8"/>
  </w:num>
  <w:num w:numId="17" w16cid:durableId="1540507275">
    <w:abstractNumId w:val="21"/>
  </w:num>
  <w:num w:numId="18" w16cid:durableId="975911025">
    <w:abstractNumId w:val="9"/>
  </w:num>
  <w:num w:numId="19" w16cid:durableId="549919706">
    <w:abstractNumId w:val="23"/>
  </w:num>
  <w:num w:numId="20" w16cid:durableId="1912230004">
    <w:abstractNumId w:val="11"/>
  </w:num>
  <w:num w:numId="21" w16cid:durableId="505362616">
    <w:abstractNumId w:val="10"/>
  </w:num>
  <w:num w:numId="22" w16cid:durableId="74057500">
    <w:abstractNumId w:val="13"/>
  </w:num>
  <w:num w:numId="23" w16cid:durableId="190652040">
    <w:abstractNumId w:val="19"/>
  </w:num>
  <w:num w:numId="24" w16cid:durableId="955871373">
    <w:abstractNumId w:val="3"/>
  </w:num>
  <w:num w:numId="25" w16cid:durableId="169857944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30D1"/>
    <w:rsid w:val="000009DC"/>
    <w:rsid w:val="00000D79"/>
    <w:rsid w:val="000010A5"/>
    <w:rsid w:val="000040D4"/>
    <w:rsid w:val="00004137"/>
    <w:rsid w:val="000054DD"/>
    <w:rsid w:val="000075AC"/>
    <w:rsid w:val="00010195"/>
    <w:rsid w:val="000130D1"/>
    <w:rsid w:val="00013470"/>
    <w:rsid w:val="000159D9"/>
    <w:rsid w:val="00023608"/>
    <w:rsid w:val="000238FF"/>
    <w:rsid w:val="000258D3"/>
    <w:rsid w:val="00027D90"/>
    <w:rsid w:val="00031FB0"/>
    <w:rsid w:val="000404C7"/>
    <w:rsid w:val="000457DF"/>
    <w:rsid w:val="00046606"/>
    <w:rsid w:val="0004732F"/>
    <w:rsid w:val="00052EF4"/>
    <w:rsid w:val="00053A0C"/>
    <w:rsid w:val="00054455"/>
    <w:rsid w:val="00057153"/>
    <w:rsid w:val="0005721E"/>
    <w:rsid w:val="00064964"/>
    <w:rsid w:val="000653D7"/>
    <w:rsid w:val="0006596F"/>
    <w:rsid w:val="00066AD8"/>
    <w:rsid w:val="00066E2F"/>
    <w:rsid w:val="00067D87"/>
    <w:rsid w:val="00070552"/>
    <w:rsid w:val="0007163F"/>
    <w:rsid w:val="00074F03"/>
    <w:rsid w:val="000751EC"/>
    <w:rsid w:val="000833C5"/>
    <w:rsid w:val="00084007"/>
    <w:rsid w:val="0008626A"/>
    <w:rsid w:val="000902A7"/>
    <w:rsid w:val="00092A74"/>
    <w:rsid w:val="00093DAA"/>
    <w:rsid w:val="00094033"/>
    <w:rsid w:val="00094971"/>
    <w:rsid w:val="00096DFD"/>
    <w:rsid w:val="000A05C1"/>
    <w:rsid w:val="000A16AC"/>
    <w:rsid w:val="000A1D81"/>
    <w:rsid w:val="000A2008"/>
    <w:rsid w:val="000A2211"/>
    <w:rsid w:val="000A2C98"/>
    <w:rsid w:val="000A5933"/>
    <w:rsid w:val="000A5E44"/>
    <w:rsid w:val="000B1276"/>
    <w:rsid w:val="000B63EE"/>
    <w:rsid w:val="000B7AB5"/>
    <w:rsid w:val="000C20B9"/>
    <w:rsid w:val="000C3C4D"/>
    <w:rsid w:val="000C42CF"/>
    <w:rsid w:val="000D1FFC"/>
    <w:rsid w:val="000D25C1"/>
    <w:rsid w:val="000D4296"/>
    <w:rsid w:val="000D6206"/>
    <w:rsid w:val="000D68AD"/>
    <w:rsid w:val="000E05AD"/>
    <w:rsid w:val="000E4763"/>
    <w:rsid w:val="000E492D"/>
    <w:rsid w:val="000E572F"/>
    <w:rsid w:val="000E70AB"/>
    <w:rsid w:val="000F233B"/>
    <w:rsid w:val="000F5213"/>
    <w:rsid w:val="000F5585"/>
    <w:rsid w:val="000F6843"/>
    <w:rsid w:val="00100B8B"/>
    <w:rsid w:val="001043AF"/>
    <w:rsid w:val="00104B06"/>
    <w:rsid w:val="001127D3"/>
    <w:rsid w:val="00115BBD"/>
    <w:rsid w:val="001162D9"/>
    <w:rsid w:val="00117CA4"/>
    <w:rsid w:val="001225F0"/>
    <w:rsid w:val="00122D89"/>
    <w:rsid w:val="001244B8"/>
    <w:rsid w:val="00126A58"/>
    <w:rsid w:val="00127EE0"/>
    <w:rsid w:val="001301BC"/>
    <w:rsid w:val="00133DD9"/>
    <w:rsid w:val="001353D2"/>
    <w:rsid w:val="00135439"/>
    <w:rsid w:val="00140784"/>
    <w:rsid w:val="0014136D"/>
    <w:rsid w:val="00143F34"/>
    <w:rsid w:val="00145563"/>
    <w:rsid w:val="00146E83"/>
    <w:rsid w:val="001513D2"/>
    <w:rsid w:val="00152256"/>
    <w:rsid w:val="00155806"/>
    <w:rsid w:val="001566EC"/>
    <w:rsid w:val="00156C5B"/>
    <w:rsid w:val="001570D7"/>
    <w:rsid w:val="001574DD"/>
    <w:rsid w:val="00157E5E"/>
    <w:rsid w:val="001615B5"/>
    <w:rsid w:val="00163E22"/>
    <w:rsid w:val="00165EFF"/>
    <w:rsid w:val="001667FE"/>
    <w:rsid w:val="001675D9"/>
    <w:rsid w:val="0017366D"/>
    <w:rsid w:val="00173EEA"/>
    <w:rsid w:val="001745A8"/>
    <w:rsid w:val="00177694"/>
    <w:rsid w:val="00177F69"/>
    <w:rsid w:val="00184C8F"/>
    <w:rsid w:val="001858DB"/>
    <w:rsid w:val="00186D9D"/>
    <w:rsid w:val="001905CF"/>
    <w:rsid w:val="00191804"/>
    <w:rsid w:val="00191B99"/>
    <w:rsid w:val="001931F3"/>
    <w:rsid w:val="00194A3C"/>
    <w:rsid w:val="00194C93"/>
    <w:rsid w:val="001A00EE"/>
    <w:rsid w:val="001A149A"/>
    <w:rsid w:val="001A19B6"/>
    <w:rsid w:val="001A21BF"/>
    <w:rsid w:val="001A53BD"/>
    <w:rsid w:val="001A6252"/>
    <w:rsid w:val="001A6BCA"/>
    <w:rsid w:val="001B0F10"/>
    <w:rsid w:val="001B18AA"/>
    <w:rsid w:val="001B200B"/>
    <w:rsid w:val="001B2FFD"/>
    <w:rsid w:val="001B35E2"/>
    <w:rsid w:val="001B6CFB"/>
    <w:rsid w:val="001C0717"/>
    <w:rsid w:val="001C2F97"/>
    <w:rsid w:val="001C4AE9"/>
    <w:rsid w:val="001C4D11"/>
    <w:rsid w:val="001C7DBE"/>
    <w:rsid w:val="001D024E"/>
    <w:rsid w:val="001D0553"/>
    <w:rsid w:val="001D09F5"/>
    <w:rsid w:val="001D28B4"/>
    <w:rsid w:val="001D709C"/>
    <w:rsid w:val="001E0D60"/>
    <w:rsid w:val="001E383F"/>
    <w:rsid w:val="001E5305"/>
    <w:rsid w:val="001E5330"/>
    <w:rsid w:val="001E78AE"/>
    <w:rsid w:val="001F065F"/>
    <w:rsid w:val="001F3D6E"/>
    <w:rsid w:val="001F43E5"/>
    <w:rsid w:val="001F64AC"/>
    <w:rsid w:val="001F7665"/>
    <w:rsid w:val="001F7C99"/>
    <w:rsid w:val="00201265"/>
    <w:rsid w:val="00201AB8"/>
    <w:rsid w:val="00202BC4"/>
    <w:rsid w:val="00206D83"/>
    <w:rsid w:val="0021095D"/>
    <w:rsid w:val="002116CB"/>
    <w:rsid w:val="00212EB7"/>
    <w:rsid w:val="002166AA"/>
    <w:rsid w:val="00217DAA"/>
    <w:rsid w:val="00221829"/>
    <w:rsid w:val="00222F4C"/>
    <w:rsid w:val="00227106"/>
    <w:rsid w:val="0022733C"/>
    <w:rsid w:val="002312E9"/>
    <w:rsid w:val="00232C23"/>
    <w:rsid w:val="0023636F"/>
    <w:rsid w:val="00240BB5"/>
    <w:rsid w:val="00240CC8"/>
    <w:rsid w:val="0024302E"/>
    <w:rsid w:val="00252531"/>
    <w:rsid w:val="00253BFC"/>
    <w:rsid w:val="002558A7"/>
    <w:rsid w:val="002605D1"/>
    <w:rsid w:val="0026146E"/>
    <w:rsid w:val="00262A1B"/>
    <w:rsid w:val="00263559"/>
    <w:rsid w:val="00263784"/>
    <w:rsid w:val="002641ED"/>
    <w:rsid w:val="002650F8"/>
    <w:rsid w:val="00265296"/>
    <w:rsid w:val="0026669D"/>
    <w:rsid w:val="0027003C"/>
    <w:rsid w:val="00270947"/>
    <w:rsid w:val="0027140C"/>
    <w:rsid w:val="002731F7"/>
    <w:rsid w:val="00273713"/>
    <w:rsid w:val="00275A97"/>
    <w:rsid w:val="00275DE9"/>
    <w:rsid w:val="0027664C"/>
    <w:rsid w:val="00276DC8"/>
    <w:rsid w:val="002770D1"/>
    <w:rsid w:val="00280BBA"/>
    <w:rsid w:val="00285274"/>
    <w:rsid w:val="0028693F"/>
    <w:rsid w:val="002878FE"/>
    <w:rsid w:val="002950D3"/>
    <w:rsid w:val="00296230"/>
    <w:rsid w:val="002A23A0"/>
    <w:rsid w:val="002A456E"/>
    <w:rsid w:val="002A562E"/>
    <w:rsid w:val="002A5CC5"/>
    <w:rsid w:val="002B13D6"/>
    <w:rsid w:val="002B17E0"/>
    <w:rsid w:val="002B4524"/>
    <w:rsid w:val="002B5703"/>
    <w:rsid w:val="002B574E"/>
    <w:rsid w:val="002B603A"/>
    <w:rsid w:val="002C16CC"/>
    <w:rsid w:val="002C36C0"/>
    <w:rsid w:val="002C6243"/>
    <w:rsid w:val="002C6F52"/>
    <w:rsid w:val="002C6FEA"/>
    <w:rsid w:val="002D1633"/>
    <w:rsid w:val="002D3392"/>
    <w:rsid w:val="002D6E77"/>
    <w:rsid w:val="002E1468"/>
    <w:rsid w:val="002E3791"/>
    <w:rsid w:val="002E4BEC"/>
    <w:rsid w:val="002E62ED"/>
    <w:rsid w:val="002F011E"/>
    <w:rsid w:val="002F12FE"/>
    <w:rsid w:val="002F2286"/>
    <w:rsid w:val="002F57F5"/>
    <w:rsid w:val="00303083"/>
    <w:rsid w:val="00304580"/>
    <w:rsid w:val="00306274"/>
    <w:rsid w:val="0030702B"/>
    <w:rsid w:val="003073DD"/>
    <w:rsid w:val="00307C02"/>
    <w:rsid w:val="00311989"/>
    <w:rsid w:val="00317CB7"/>
    <w:rsid w:val="003254BB"/>
    <w:rsid w:val="003262B2"/>
    <w:rsid w:val="00326A25"/>
    <w:rsid w:val="00327E32"/>
    <w:rsid w:val="003304FD"/>
    <w:rsid w:val="00331C6B"/>
    <w:rsid w:val="00333A1F"/>
    <w:rsid w:val="0033444F"/>
    <w:rsid w:val="00335BF1"/>
    <w:rsid w:val="00336282"/>
    <w:rsid w:val="00337AB1"/>
    <w:rsid w:val="00341C8F"/>
    <w:rsid w:val="00342B27"/>
    <w:rsid w:val="00345812"/>
    <w:rsid w:val="0035025C"/>
    <w:rsid w:val="00351246"/>
    <w:rsid w:val="00351921"/>
    <w:rsid w:val="003526E3"/>
    <w:rsid w:val="00352B19"/>
    <w:rsid w:val="00352DDE"/>
    <w:rsid w:val="00357F40"/>
    <w:rsid w:val="003613EE"/>
    <w:rsid w:val="0036381A"/>
    <w:rsid w:val="00364827"/>
    <w:rsid w:val="00366A1A"/>
    <w:rsid w:val="00366F0B"/>
    <w:rsid w:val="00371149"/>
    <w:rsid w:val="00371178"/>
    <w:rsid w:val="00371F62"/>
    <w:rsid w:val="00374F3C"/>
    <w:rsid w:val="00382038"/>
    <w:rsid w:val="00382F3C"/>
    <w:rsid w:val="00387206"/>
    <w:rsid w:val="00387D8F"/>
    <w:rsid w:val="00390D4B"/>
    <w:rsid w:val="00391C62"/>
    <w:rsid w:val="00391E95"/>
    <w:rsid w:val="003930BD"/>
    <w:rsid w:val="003973C5"/>
    <w:rsid w:val="00397872"/>
    <w:rsid w:val="003A06F7"/>
    <w:rsid w:val="003A1096"/>
    <w:rsid w:val="003A21B8"/>
    <w:rsid w:val="003A2644"/>
    <w:rsid w:val="003A5031"/>
    <w:rsid w:val="003A5475"/>
    <w:rsid w:val="003A6CC8"/>
    <w:rsid w:val="003A7766"/>
    <w:rsid w:val="003B3019"/>
    <w:rsid w:val="003B4AD4"/>
    <w:rsid w:val="003B5DD2"/>
    <w:rsid w:val="003B756E"/>
    <w:rsid w:val="003C194A"/>
    <w:rsid w:val="003C7926"/>
    <w:rsid w:val="003D0486"/>
    <w:rsid w:val="003D6364"/>
    <w:rsid w:val="003E08D2"/>
    <w:rsid w:val="003E6AB7"/>
    <w:rsid w:val="003E6BB2"/>
    <w:rsid w:val="003F0425"/>
    <w:rsid w:val="003F4F47"/>
    <w:rsid w:val="003F629F"/>
    <w:rsid w:val="00401E3A"/>
    <w:rsid w:val="00402753"/>
    <w:rsid w:val="00402754"/>
    <w:rsid w:val="0040312B"/>
    <w:rsid w:val="00404D8F"/>
    <w:rsid w:val="00405971"/>
    <w:rsid w:val="00406FDC"/>
    <w:rsid w:val="00410583"/>
    <w:rsid w:val="00413082"/>
    <w:rsid w:val="004145E7"/>
    <w:rsid w:val="004169A4"/>
    <w:rsid w:val="0041708C"/>
    <w:rsid w:val="004202F2"/>
    <w:rsid w:val="004207EB"/>
    <w:rsid w:val="0042470F"/>
    <w:rsid w:val="00425119"/>
    <w:rsid w:val="00427680"/>
    <w:rsid w:val="00430E5F"/>
    <w:rsid w:val="00431C0B"/>
    <w:rsid w:val="0043347A"/>
    <w:rsid w:val="00447BEF"/>
    <w:rsid w:val="00450EF1"/>
    <w:rsid w:val="004542A5"/>
    <w:rsid w:val="00454D4D"/>
    <w:rsid w:val="0045650D"/>
    <w:rsid w:val="0045755A"/>
    <w:rsid w:val="00460134"/>
    <w:rsid w:val="0046356B"/>
    <w:rsid w:val="00464766"/>
    <w:rsid w:val="00465597"/>
    <w:rsid w:val="00467058"/>
    <w:rsid w:val="0047056B"/>
    <w:rsid w:val="0047235D"/>
    <w:rsid w:val="004728C2"/>
    <w:rsid w:val="00474FC6"/>
    <w:rsid w:val="00476183"/>
    <w:rsid w:val="00476C08"/>
    <w:rsid w:val="004809E2"/>
    <w:rsid w:val="004820DD"/>
    <w:rsid w:val="00485A42"/>
    <w:rsid w:val="00486B33"/>
    <w:rsid w:val="0049173F"/>
    <w:rsid w:val="00492513"/>
    <w:rsid w:val="0049450A"/>
    <w:rsid w:val="00494982"/>
    <w:rsid w:val="0049533F"/>
    <w:rsid w:val="004958BD"/>
    <w:rsid w:val="00496C75"/>
    <w:rsid w:val="004A7ED2"/>
    <w:rsid w:val="004B0B31"/>
    <w:rsid w:val="004B724B"/>
    <w:rsid w:val="004C4921"/>
    <w:rsid w:val="004D2D78"/>
    <w:rsid w:val="004D5C1A"/>
    <w:rsid w:val="004E4C79"/>
    <w:rsid w:val="004E5714"/>
    <w:rsid w:val="004E6F16"/>
    <w:rsid w:val="004E7329"/>
    <w:rsid w:val="004E7614"/>
    <w:rsid w:val="004E78D1"/>
    <w:rsid w:val="004F1446"/>
    <w:rsid w:val="004F1993"/>
    <w:rsid w:val="004F45CB"/>
    <w:rsid w:val="004F55C4"/>
    <w:rsid w:val="004F5A61"/>
    <w:rsid w:val="005004A3"/>
    <w:rsid w:val="00504318"/>
    <w:rsid w:val="005064E1"/>
    <w:rsid w:val="00510E81"/>
    <w:rsid w:val="00511469"/>
    <w:rsid w:val="00511F43"/>
    <w:rsid w:val="00516381"/>
    <w:rsid w:val="00516F17"/>
    <w:rsid w:val="005173BC"/>
    <w:rsid w:val="00522680"/>
    <w:rsid w:val="0052571D"/>
    <w:rsid w:val="00525B35"/>
    <w:rsid w:val="00526048"/>
    <w:rsid w:val="00530268"/>
    <w:rsid w:val="005318F7"/>
    <w:rsid w:val="00531C94"/>
    <w:rsid w:val="00532410"/>
    <w:rsid w:val="0053252F"/>
    <w:rsid w:val="00535CC6"/>
    <w:rsid w:val="005361C6"/>
    <w:rsid w:val="00536769"/>
    <w:rsid w:val="00537446"/>
    <w:rsid w:val="00537AA3"/>
    <w:rsid w:val="00553758"/>
    <w:rsid w:val="00561704"/>
    <w:rsid w:val="00562F8A"/>
    <w:rsid w:val="005640F6"/>
    <w:rsid w:val="005656BD"/>
    <w:rsid w:val="00565B9B"/>
    <w:rsid w:val="00570194"/>
    <w:rsid w:val="00570540"/>
    <w:rsid w:val="0057121B"/>
    <w:rsid w:val="005734FF"/>
    <w:rsid w:val="0057761C"/>
    <w:rsid w:val="0058023E"/>
    <w:rsid w:val="005834CE"/>
    <w:rsid w:val="0058387D"/>
    <w:rsid w:val="005858C8"/>
    <w:rsid w:val="0058744D"/>
    <w:rsid w:val="005877E0"/>
    <w:rsid w:val="005902E4"/>
    <w:rsid w:val="00595B27"/>
    <w:rsid w:val="00596E41"/>
    <w:rsid w:val="005A0815"/>
    <w:rsid w:val="005A3AA8"/>
    <w:rsid w:val="005A6A0B"/>
    <w:rsid w:val="005A71E8"/>
    <w:rsid w:val="005A78E8"/>
    <w:rsid w:val="005B1067"/>
    <w:rsid w:val="005B146A"/>
    <w:rsid w:val="005B2D6E"/>
    <w:rsid w:val="005B5842"/>
    <w:rsid w:val="005B6282"/>
    <w:rsid w:val="005C1D3D"/>
    <w:rsid w:val="005C1E00"/>
    <w:rsid w:val="005C40AE"/>
    <w:rsid w:val="005C433D"/>
    <w:rsid w:val="005C4486"/>
    <w:rsid w:val="005C4F04"/>
    <w:rsid w:val="005C55D1"/>
    <w:rsid w:val="005C5DF0"/>
    <w:rsid w:val="005C7962"/>
    <w:rsid w:val="005D08C5"/>
    <w:rsid w:val="005D19F2"/>
    <w:rsid w:val="005D32DA"/>
    <w:rsid w:val="005D4266"/>
    <w:rsid w:val="005D75E9"/>
    <w:rsid w:val="005E2088"/>
    <w:rsid w:val="005E26CC"/>
    <w:rsid w:val="005E4019"/>
    <w:rsid w:val="005E5E47"/>
    <w:rsid w:val="005E7170"/>
    <w:rsid w:val="005F0CA2"/>
    <w:rsid w:val="005F1B11"/>
    <w:rsid w:val="005F1F23"/>
    <w:rsid w:val="005F28E8"/>
    <w:rsid w:val="005F3841"/>
    <w:rsid w:val="005F43A8"/>
    <w:rsid w:val="005F5116"/>
    <w:rsid w:val="005F74B1"/>
    <w:rsid w:val="00600439"/>
    <w:rsid w:val="00600662"/>
    <w:rsid w:val="0060110E"/>
    <w:rsid w:val="00601EBB"/>
    <w:rsid w:val="006026FA"/>
    <w:rsid w:val="006028DE"/>
    <w:rsid w:val="006033CB"/>
    <w:rsid w:val="00605A6C"/>
    <w:rsid w:val="0060698B"/>
    <w:rsid w:val="0061079C"/>
    <w:rsid w:val="00611220"/>
    <w:rsid w:val="00613A63"/>
    <w:rsid w:val="0062297A"/>
    <w:rsid w:val="00622AC3"/>
    <w:rsid w:val="006238A6"/>
    <w:rsid w:val="00623A7C"/>
    <w:rsid w:val="00632DC1"/>
    <w:rsid w:val="00634077"/>
    <w:rsid w:val="00634680"/>
    <w:rsid w:val="00635A72"/>
    <w:rsid w:val="00644252"/>
    <w:rsid w:val="006445F2"/>
    <w:rsid w:val="00645B5F"/>
    <w:rsid w:val="00647E6E"/>
    <w:rsid w:val="006547B4"/>
    <w:rsid w:val="00655BA6"/>
    <w:rsid w:val="00655FD2"/>
    <w:rsid w:val="00656615"/>
    <w:rsid w:val="00660ED3"/>
    <w:rsid w:val="00664CAA"/>
    <w:rsid w:val="00664F8A"/>
    <w:rsid w:val="006662BC"/>
    <w:rsid w:val="0067158F"/>
    <w:rsid w:val="00674D6A"/>
    <w:rsid w:val="00675313"/>
    <w:rsid w:val="00675C35"/>
    <w:rsid w:val="0067768F"/>
    <w:rsid w:val="00677CED"/>
    <w:rsid w:val="00677EDD"/>
    <w:rsid w:val="00680350"/>
    <w:rsid w:val="0068036B"/>
    <w:rsid w:val="00682F26"/>
    <w:rsid w:val="006851B2"/>
    <w:rsid w:val="00686501"/>
    <w:rsid w:val="00690411"/>
    <w:rsid w:val="00690957"/>
    <w:rsid w:val="00693ECF"/>
    <w:rsid w:val="006A0F59"/>
    <w:rsid w:val="006A1DE7"/>
    <w:rsid w:val="006A4362"/>
    <w:rsid w:val="006A50A9"/>
    <w:rsid w:val="006A5D17"/>
    <w:rsid w:val="006A5F2A"/>
    <w:rsid w:val="006A6CFF"/>
    <w:rsid w:val="006A7997"/>
    <w:rsid w:val="006B09ED"/>
    <w:rsid w:val="006B17EB"/>
    <w:rsid w:val="006B1D37"/>
    <w:rsid w:val="006C00A5"/>
    <w:rsid w:val="006C28DC"/>
    <w:rsid w:val="006C2C17"/>
    <w:rsid w:val="006C37A6"/>
    <w:rsid w:val="006C4D85"/>
    <w:rsid w:val="006C672E"/>
    <w:rsid w:val="006C6A58"/>
    <w:rsid w:val="006D1378"/>
    <w:rsid w:val="006D2438"/>
    <w:rsid w:val="006D4253"/>
    <w:rsid w:val="006E447E"/>
    <w:rsid w:val="006E4B0B"/>
    <w:rsid w:val="006E60F8"/>
    <w:rsid w:val="006F1ABF"/>
    <w:rsid w:val="006F3EEF"/>
    <w:rsid w:val="006F6FC0"/>
    <w:rsid w:val="007005D1"/>
    <w:rsid w:val="00711250"/>
    <w:rsid w:val="00716D32"/>
    <w:rsid w:val="007178CB"/>
    <w:rsid w:val="0072216E"/>
    <w:rsid w:val="007227C6"/>
    <w:rsid w:val="00727953"/>
    <w:rsid w:val="00727E0F"/>
    <w:rsid w:val="007305BF"/>
    <w:rsid w:val="00731B0A"/>
    <w:rsid w:val="0073236E"/>
    <w:rsid w:val="00734B71"/>
    <w:rsid w:val="007369E7"/>
    <w:rsid w:val="00737284"/>
    <w:rsid w:val="007374CA"/>
    <w:rsid w:val="007378AC"/>
    <w:rsid w:val="00743305"/>
    <w:rsid w:val="00750C21"/>
    <w:rsid w:val="007516CA"/>
    <w:rsid w:val="00753EA0"/>
    <w:rsid w:val="00754C1C"/>
    <w:rsid w:val="007614B3"/>
    <w:rsid w:val="007614BD"/>
    <w:rsid w:val="007634B3"/>
    <w:rsid w:val="00763D8D"/>
    <w:rsid w:val="00764931"/>
    <w:rsid w:val="00764D8A"/>
    <w:rsid w:val="00767BD9"/>
    <w:rsid w:val="0077287E"/>
    <w:rsid w:val="00772C9D"/>
    <w:rsid w:val="0077621D"/>
    <w:rsid w:val="00780FCB"/>
    <w:rsid w:val="007810C9"/>
    <w:rsid w:val="0078139A"/>
    <w:rsid w:val="00785914"/>
    <w:rsid w:val="0078696E"/>
    <w:rsid w:val="00786B77"/>
    <w:rsid w:val="00786EA4"/>
    <w:rsid w:val="00787285"/>
    <w:rsid w:val="00787557"/>
    <w:rsid w:val="0078766D"/>
    <w:rsid w:val="007920F5"/>
    <w:rsid w:val="00795BC0"/>
    <w:rsid w:val="007A0CA0"/>
    <w:rsid w:val="007A2181"/>
    <w:rsid w:val="007A23FE"/>
    <w:rsid w:val="007A2768"/>
    <w:rsid w:val="007A3482"/>
    <w:rsid w:val="007A439F"/>
    <w:rsid w:val="007A5C34"/>
    <w:rsid w:val="007A60AF"/>
    <w:rsid w:val="007A7611"/>
    <w:rsid w:val="007B158E"/>
    <w:rsid w:val="007B2226"/>
    <w:rsid w:val="007B6413"/>
    <w:rsid w:val="007C0D47"/>
    <w:rsid w:val="007C0F7F"/>
    <w:rsid w:val="007D1E24"/>
    <w:rsid w:val="007D35F5"/>
    <w:rsid w:val="007D595A"/>
    <w:rsid w:val="007D65D5"/>
    <w:rsid w:val="007D7191"/>
    <w:rsid w:val="007E0227"/>
    <w:rsid w:val="007E6894"/>
    <w:rsid w:val="007F0CF3"/>
    <w:rsid w:val="007F1091"/>
    <w:rsid w:val="007F33B8"/>
    <w:rsid w:val="007F45A4"/>
    <w:rsid w:val="007F5F40"/>
    <w:rsid w:val="007F6EA8"/>
    <w:rsid w:val="007F7389"/>
    <w:rsid w:val="007F77E1"/>
    <w:rsid w:val="0080226F"/>
    <w:rsid w:val="008024BE"/>
    <w:rsid w:val="00805BF2"/>
    <w:rsid w:val="00805D75"/>
    <w:rsid w:val="008113DE"/>
    <w:rsid w:val="0081204C"/>
    <w:rsid w:val="0082249B"/>
    <w:rsid w:val="00824FCD"/>
    <w:rsid w:val="00825940"/>
    <w:rsid w:val="008333DB"/>
    <w:rsid w:val="0083353F"/>
    <w:rsid w:val="00834652"/>
    <w:rsid w:val="00836109"/>
    <w:rsid w:val="00841EC6"/>
    <w:rsid w:val="00842344"/>
    <w:rsid w:val="008455BD"/>
    <w:rsid w:val="008519A7"/>
    <w:rsid w:val="00852422"/>
    <w:rsid w:val="00854461"/>
    <w:rsid w:val="00857E56"/>
    <w:rsid w:val="00860481"/>
    <w:rsid w:val="008606F3"/>
    <w:rsid w:val="008606FE"/>
    <w:rsid w:val="0086512A"/>
    <w:rsid w:val="008717E2"/>
    <w:rsid w:val="0087379C"/>
    <w:rsid w:val="0087560D"/>
    <w:rsid w:val="00877737"/>
    <w:rsid w:val="00883779"/>
    <w:rsid w:val="00887A90"/>
    <w:rsid w:val="0089013B"/>
    <w:rsid w:val="008901FB"/>
    <w:rsid w:val="00890B59"/>
    <w:rsid w:val="00891B7E"/>
    <w:rsid w:val="00892990"/>
    <w:rsid w:val="00895507"/>
    <w:rsid w:val="008977F7"/>
    <w:rsid w:val="008A04C6"/>
    <w:rsid w:val="008A1E87"/>
    <w:rsid w:val="008A2A30"/>
    <w:rsid w:val="008A35BF"/>
    <w:rsid w:val="008A5223"/>
    <w:rsid w:val="008B00EC"/>
    <w:rsid w:val="008B22B4"/>
    <w:rsid w:val="008B354D"/>
    <w:rsid w:val="008B3AE7"/>
    <w:rsid w:val="008B6795"/>
    <w:rsid w:val="008C0C3D"/>
    <w:rsid w:val="008C7095"/>
    <w:rsid w:val="008D0751"/>
    <w:rsid w:val="008D0F3B"/>
    <w:rsid w:val="008D4762"/>
    <w:rsid w:val="008E1F1D"/>
    <w:rsid w:val="008E6A21"/>
    <w:rsid w:val="008F25E8"/>
    <w:rsid w:val="00905BC5"/>
    <w:rsid w:val="00906CCB"/>
    <w:rsid w:val="00910C5F"/>
    <w:rsid w:val="009131E8"/>
    <w:rsid w:val="00913EA8"/>
    <w:rsid w:val="009156DB"/>
    <w:rsid w:val="009204A7"/>
    <w:rsid w:val="009232F4"/>
    <w:rsid w:val="009265F4"/>
    <w:rsid w:val="00926BD6"/>
    <w:rsid w:val="009272CC"/>
    <w:rsid w:val="00930874"/>
    <w:rsid w:val="00933FC7"/>
    <w:rsid w:val="00935F0A"/>
    <w:rsid w:val="00937E8F"/>
    <w:rsid w:val="00941919"/>
    <w:rsid w:val="00941DB3"/>
    <w:rsid w:val="00943178"/>
    <w:rsid w:val="0095285F"/>
    <w:rsid w:val="009601D8"/>
    <w:rsid w:val="00961F95"/>
    <w:rsid w:val="009623CD"/>
    <w:rsid w:val="009630BB"/>
    <w:rsid w:val="009656C3"/>
    <w:rsid w:val="009659EB"/>
    <w:rsid w:val="009660C6"/>
    <w:rsid w:val="00967148"/>
    <w:rsid w:val="00971284"/>
    <w:rsid w:val="00972A0D"/>
    <w:rsid w:val="009760B1"/>
    <w:rsid w:val="009812D9"/>
    <w:rsid w:val="009819DD"/>
    <w:rsid w:val="00987239"/>
    <w:rsid w:val="00991801"/>
    <w:rsid w:val="00995FBC"/>
    <w:rsid w:val="009A0C5B"/>
    <w:rsid w:val="009A109D"/>
    <w:rsid w:val="009A31BF"/>
    <w:rsid w:val="009A3274"/>
    <w:rsid w:val="009A4A29"/>
    <w:rsid w:val="009A5270"/>
    <w:rsid w:val="009A5BEA"/>
    <w:rsid w:val="009A6A38"/>
    <w:rsid w:val="009B1130"/>
    <w:rsid w:val="009B4CAC"/>
    <w:rsid w:val="009B6A49"/>
    <w:rsid w:val="009B70B9"/>
    <w:rsid w:val="009B78CA"/>
    <w:rsid w:val="009C06B3"/>
    <w:rsid w:val="009C12D4"/>
    <w:rsid w:val="009C44F1"/>
    <w:rsid w:val="009D1554"/>
    <w:rsid w:val="009D1A34"/>
    <w:rsid w:val="009D1D3E"/>
    <w:rsid w:val="009D2682"/>
    <w:rsid w:val="009D6E11"/>
    <w:rsid w:val="009E0D89"/>
    <w:rsid w:val="009E186B"/>
    <w:rsid w:val="009E3176"/>
    <w:rsid w:val="009F0EDC"/>
    <w:rsid w:val="009F2891"/>
    <w:rsid w:val="009F2DDE"/>
    <w:rsid w:val="009F4256"/>
    <w:rsid w:val="009F57C0"/>
    <w:rsid w:val="009F73F9"/>
    <w:rsid w:val="00A00E78"/>
    <w:rsid w:val="00A00F30"/>
    <w:rsid w:val="00A0552C"/>
    <w:rsid w:val="00A1024A"/>
    <w:rsid w:val="00A1067E"/>
    <w:rsid w:val="00A14B3A"/>
    <w:rsid w:val="00A16EF2"/>
    <w:rsid w:val="00A20BE3"/>
    <w:rsid w:val="00A21A65"/>
    <w:rsid w:val="00A23170"/>
    <w:rsid w:val="00A265A5"/>
    <w:rsid w:val="00A36121"/>
    <w:rsid w:val="00A368CF"/>
    <w:rsid w:val="00A42D40"/>
    <w:rsid w:val="00A45215"/>
    <w:rsid w:val="00A45A58"/>
    <w:rsid w:val="00A47636"/>
    <w:rsid w:val="00A47B46"/>
    <w:rsid w:val="00A50FFE"/>
    <w:rsid w:val="00A5241D"/>
    <w:rsid w:val="00A56BA1"/>
    <w:rsid w:val="00A56F15"/>
    <w:rsid w:val="00A60868"/>
    <w:rsid w:val="00A61335"/>
    <w:rsid w:val="00A617F6"/>
    <w:rsid w:val="00A63150"/>
    <w:rsid w:val="00A65509"/>
    <w:rsid w:val="00A671AC"/>
    <w:rsid w:val="00A6726A"/>
    <w:rsid w:val="00A708B2"/>
    <w:rsid w:val="00A72152"/>
    <w:rsid w:val="00A7561F"/>
    <w:rsid w:val="00A75C27"/>
    <w:rsid w:val="00A76E47"/>
    <w:rsid w:val="00A77BB5"/>
    <w:rsid w:val="00A8084F"/>
    <w:rsid w:val="00A81AEA"/>
    <w:rsid w:val="00A82032"/>
    <w:rsid w:val="00A83AAD"/>
    <w:rsid w:val="00A84DC9"/>
    <w:rsid w:val="00A85B5C"/>
    <w:rsid w:val="00A872F7"/>
    <w:rsid w:val="00A9230D"/>
    <w:rsid w:val="00A97ED1"/>
    <w:rsid w:val="00AA1C8A"/>
    <w:rsid w:val="00AA20F8"/>
    <w:rsid w:val="00AA2926"/>
    <w:rsid w:val="00AA2C26"/>
    <w:rsid w:val="00AA4973"/>
    <w:rsid w:val="00AA501A"/>
    <w:rsid w:val="00AB2E5A"/>
    <w:rsid w:val="00AB64AE"/>
    <w:rsid w:val="00AB6C2D"/>
    <w:rsid w:val="00AB70A6"/>
    <w:rsid w:val="00AB7391"/>
    <w:rsid w:val="00AB7922"/>
    <w:rsid w:val="00AC4495"/>
    <w:rsid w:val="00AC7CD7"/>
    <w:rsid w:val="00AD2D0F"/>
    <w:rsid w:val="00AD4F5C"/>
    <w:rsid w:val="00AD6BFE"/>
    <w:rsid w:val="00AD7551"/>
    <w:rsid w:val="00AE5D07"/>
    <w:rsid w:val="00AF0FEC"/>
    <w:rsid w:val="00AF12B3"/>
    <w:rsid w:val="00AF13D2"/>
    <w:rsid w:val="00AF42AE"/>
    <w:rsid w:val="00AF65A5"/>
    <w:rsid w:val="00AF6D6D"/>
    <w:rsid w:val="00B001CD"/>
    <w:rsid w:val="00B01E8B"/>
    <w:rsid w:val="00B0290D"/>
    <w:rsid w:val="00B02B7C"/>
    <w:rsid w:val="00B053F0"/>
    <w:rsid w:val="00B068CD"/>
    <w:rsid w:val="00B17A4B"/>
    <w:rsid w:val="00B2203C"/>
    <w:rsid w:val="00B240FA"/>
    <w:rsid w:val="00B266BC"/>
    <w:rsid w:val="00B26BB8"/>
    <w:rsid w:val="00B27B6D"/>
    <w:rsid w:val="00B315DA"/>
    <w:rsid w:val="00B3678C"/>
    <w:rsid w:val="00B41EC9"/>
    <w:rsid w:val="00B46908"/>
    <w:rsid w:val="00B47BC6"/>
    <w:rsid w:val="00B50A2E"/>
    <w:rsid w:val="00B51B08"/>
    <w:rsid w:val="00B5458F"/>
    <w:rsid w:val="00B56A29"/>
    <w:rsid w:val="00B621BF"/>
    <w:rsid w:val="00B638D2"/>
    <w:rsid w:val="00B65250"/>
    <w:rsid w:val="00B654D1"/>
    <w:rsid w:val="00B70620"/>
    <w:rsid w:val="00B71405"/>
    <w:rsid w:val="00B7145B"/>
    <w:rsid w:val="00B71898"/>
    <w:rsid w:val="00B7200F"/>
    <w:rsid w:val="00B7359D"/>
    <w:rsid w:val="00B751B2"/>
    <w:rsid w:val="00B76248"/>
    <w:rsid w:val="00B76AA7"/>
    <w:rsid w:val="00B80B5A"/>
    <w:rsid w:val="00B80C84"/>
    <w:rsid w:val="00B810B8"/>
    <w:rsid w:val="00B83595"/>
    <w:rsid w:val="00B849C1"/>
    <w:rsid w:val="00B85176"/>
    <w:rsid w:val="00B85C3C"/>
    <w:rsid w:val="00B86BDC"/>
    <w:rsid w:val="00B877E2"/>
    <w:rsid w:val="00B91D43"/>
    <w:rsid w:val="00B93E0D"/>
    <w:rsid w:val="00B9404E"/>
    <w:rsid w:val="00B94610"/>
    <w:rsid w:val="00B974C0"/>
    <w:rsid w:val="00B97C96"/>
    <w:rsid w:val="00B97CCD"/>
    <w:rsid w:val="00BA025E"/>
    <w:rsid w:val="00BA249A"/>
    <w:rsid w:val="00BA36DA"/>
    <w:rsid w:val="00BA5462"/>
    <w:rsid w:val="00BA6678"/>
    <w:rsid w:val="00BB5A0E"/>
    <w:rsid w:val="00BB5D4B"/>
    <w:rsid w:val="00BC2F22"/>
    <w:rsid w:val="00BC5076"/>
    <w:rsid w:val="00BC7686"/>
    <w:rsid w:val="00BC7F69"/>
    <w:rsid w:val="00BD0A9B"/>
    <w:rsid w:val="00BD1EBA"/>
    <w:rsid w:val="00BD71CC"/>
    <w:rsid w:val="00BE59EB"/>
    <w:rsid w:val="00BE6832"/>
    <w:rsid w:val="00BF1363"/>
    <w:rsid w:val="00BF2F61"/>
    <w:rsid w:val="00BF352B"/>
    <w:rsid w:val="00BF62BF"/>
    <w:rsid w:val="00C01710"/>
    <w:rsid w:val="00C0232C"/>
    <w:rsid w:val="00C049FB"/>
    <w:rsid w:val="00C06E55"/>
    <w:rsid w:val="00C07205"/>
    <w:rsid w:val="00C07572"/>
    <w:rsid w:val="00C105C4"/>
    <w:rsid w:val="00C109F4"/>
    <w:rsid w:val="00C11A46"/>
    <w:rsid w:val="00C132B8"/>
    <w:rsid w:val="00C16338"/>
    <w:rsid w:val="00C16E80"/>
    <w:rsid w:val="00C17789"/>
    <w:rsid w:val="00C202B0"/>
    <w:rsid w:val="00C22A12"/>
    <w:rsid w:val="00C2513F"/>
    <w:rsid w:val="00C30C01"/>
    <w:rsid w:val="00C31FC4"/>
    <w:rsid w:val="00C334F3"/>
    <w:rsid w:val="00C4170D"/>
    <w:rsid w:val="00C43606"/>
    <w:rsid w:val="00C445C2"/>
    <w:rsid w:val="00C4477A"/>
    <w:rsid w:val="00C4568D"/>
    <w:rsid w:val="00C45F68"/>
    <w:rsid w:val="00C52393"/>
    <w:rsid w:val="00C55E79"/>
    <w:rsid w:val="00C6120E"/>
    <w:rsid w:val="00C626B3"/>
    <w:rsid w:val="00C674C2"/>
    <w:rsid w:val="00C70414"/>
    <w:rsid w:val="00C7052F"/>
    <w:rsid w:val="00C71945"/>
    <w:rsid w:val="00C82D56"/>
    <w:rsid w:val="00C838F7"/>
    <w:rsid w:val="00C85D83"/>
    <w:rsid w:val="00C85FC2"/>
    <w:rsid w:val="00C86046"/>
    <w:rsid w:val="00C86099"/>
    <w:rsid w:val="00C873A7"/>
    <w:rsid w:val="00C9059C"/>
    <w:rsid w:val="00C94933"/>
    <w:rsid w:val="00C94B6A"/>
    <w:rsid w:val="00C957FE"/>
    <w:rsid w:val="00C96455"/>
    <w:rsid w:val="00C96A61"/>
    <w:rsid w:val="00CA1FF4"/>
    <w:rsid w:val="00CA3267"/>
    <w:rsid w:val="00CA45B8"/>
    <w:rsid w:val="00CA796C"/>
    <w:rsid w:val="00CA7B71"/>
    <w:rsid w:val="00CB022C"/>
    <w:rsid w:val="00CB0B04"/>
    <w:rsid w:val="00CB0BA3"/>
    <w:rsid w:val="00CB23AE"/>
    <w:rsid w:val="00CB3120"/>
    <w:rsid w:val="00CB3E04"/>
    <w:rsid w:val="00CB41F6"/>
    <w:rsid w:val="00CB6869"/>
    <w:rsid w:val="00CC0969"/>
    <w:rsid w:val="00CD3F11"/>
    <w:rsid w:val="00CD7448"/>
    <w:rsid w:val="00CD74D1"/>
    <w:rsid w:val="00CE3B9E"/>
    <w:rsid w:val="00CF0549"/>
    <w:rsid w:val="00CF1884"/>
    <w:rsid w:val="00CF1F7D"/>
    <w:rsid w:val="00CF390C"/>
    <w:rsid w:val="00CF4847"/>
    <w:rsid w:val="00CF5D34"/>
    <w:rsid w:val="00CF6624"/>
    <w:rsid w:val="00CF73F7"/>
    <w:rsid w:val="00D013F7"/>
    <w:rsid w:val="00D030EC"/>
    <w:rsid w:val="00D04304"/>
    <w:rsid w:val="00D043FB"/>
    <w:rsid w:val="00D04D19"/>
    <w:rsid w:val="00D05786"/>
    <w:rsid w:val="00D067D0"/>
    <w:rsid w:val="00D06978"/>
    <w:rsid w:val="00D10569"/>
    <w:rsid w:val="00D13B61"/>
    <w:rsid w:val="00D1585D"/>
    <w:rsid w:val="00D17441"/>
    <w:rsid w:val="00D224A2"/>
    <w:rsid w:val="00D23D3B"/>
    <w:rsid w:val="00D26456"/>
    <w:rsid w:val="00D264F4"/>
    <w:rsid w:val="00D26D7E"/>
    <w:rsid w:val="00D33780"/>
    <w:rsid w:val="00D342BB"/>
    <w:rsid w:val="00D43361"/>
    <w:rsid w:val="00D446DB"/>
    <w:rsid w:val="00D4723A"/>
    <w:rsid w:val="00D528E4"/>
    <w:rsid w:val="00D53157"/>
    <w:rsid w:val="00D546AD"/>
    <w:rsid w:val="00D56488"/>
    <w:rsid w:val="00D57717"/>
    <w:rsid w:val="00D57EF3"/>
    <w:rsid w:val="00D57FE6"/>
    <w:rsid w:val="00D61B65"/>
    <w:rsid w:val="00D63389"/>
    <w:rsid w:val="00D66762"/>
    <w:rsid w:val="00D66B77"/>
    <w:rsid w:val="00D7092B"/>
    <w:rsid w:val="00D73CC9"/>
    <w:rsid w:val="00D778B5"/>
    <w:rsid w:val="00D80E8D"/>
    <w:rsid w:val="00D81660"/>
    <w:rsid w:val="00D821EA"/>
    <w:rsid w:val="00D83010"/>
    <w:rsid w:val="00D8303A"/>
    <w:rsid w:val="00D85821"/>
    <w:rsid w:val="00D87967"/>
    <w:rsid w:val="00D9197F"/>
    <w:rsid w:val="00D91B7A"/>
    <w:rsid w:val="00D9578F"/>
    <w:rsid w:val="00D95DB6"/>
    <w:rsid w:val="00D9608D"/>
    <w:rsid w:val="00D9686F"/>
    <w:rsid w:val="00D97DD6"/>
    <w:rsid w:val="00DA3A37"/>
    <w:rsid w:val="00DA472E"/>
    <w:rsid w:val="00DA4DC7"/>
    <w:rsid w:val="00DA51CA"/>
    <w:rsid w:val="00DA78BE"/>
    <w:rsid w:val="00DA7CC9"/>
    <w:rsid w:val="00DB0654"/>
    <w:rsid w:val="00DB0A6A"/>
    <w:rsid w:val="00DB2F32"/>
    <w:rsid w:val="00DB3CF7"/>
    <w:rsid w:val="00DB483A"/>
    <w:rsid w:val="00DC03CF"/>
    <w:rsid w:val="00DC7580"/>
    <w:rsid w:val="00DD63D7"/>
    <w:rsid w:val="00DE2976"/>
    <w:rsid w:val="00DF010E"/>
    <w:rsid w:val="00DF2F35"/>
    <w:rsid w:val="00DF43CD"/>
    <w:rsid w:val="00DF44F3"/>
    <w:rsid w:val="00DF7C44"/>
    <w:rsid w:val="00E031B8"/>
    <w:rsid w:val="00E04A06"/>
    <w:rsid w:val="00E058F7"/>
    <w:rsid w:val="00E118AA"/>
    <w:rsid w:val="00E12EBC"/>
    <w:rsid w:val="00E1581D"/>
    <w:rsid w:val="00E217A8"/>
    <w:rsid w:val="00E217D0"/>
    <w:rsid w:val="00E22A9B"/>
    <w:rsid w:val="00E247F6"/>
    <w:rsid w:val="00E2520C"/>
    <w:rsid w:val="00E2562A"/>
    <w:rsid w:val="00E2659B"/>
    <w:rsid w:val="00E369DB"/>
    <w:rsid w:val="00E40148"/>
    <w:rsid w:val="00E40820"/>
    <w:rsid w:val="00E43A38"/>
    <w:rsid w:val="00E44A3B"/>
    <w:rsid w:val="00E454AD"/>
    <w:rsid w:val="00E455F1"/>
    <w:rsid w:val="00E46955"/>
    <w:rsid w:val="00E5123C"/>
    <w:rsid w:val="00E63A35"/>
    <w:rsid w:val="00E70D49"/>
    <w:rsid w:val="00E710C1"/>
    <w:rsid w:val="00E7295F"/>
    <w:rsid w:val="00E73ED3"/>
    <w:rsid w:val="00E7794A"/>
    <w:rsid w:val="00E81F2B"/>
    <w:rsid w:val="00E82061"/>
    <w:rsid w:val="00E83BE5"/>
    <w:rsid w:val="00E8533E"/>
    <w:rsid w:val="00E86577"/>
    <w:rsid w:val="00E86996"/>
    <w:rsid w:val="00E870BB"/>
    <w:rsid w:val="00E92334"/>
    <w:rsid w:val="00E927C4"/>
    <w:rsid w:val="00EA3846"/>
    <w:rsid w:val="00EA5FF7"/>
    <w:rsid w:val="00EA7852"/>
    <w:rsid w:val="00EB0F81"/>
    <w:rsid w:val="00EB2818"/>
    <w:rsid w:val="00EB2C48"/>
    <w:rsid w:val="00EB52B0"/>
    <w:rsid w:val="00EB6CCE"/>
    <w:rsid w:val="00EB6D30"/>
    <w:rsid w:val="00EB7C60"/>
    <w:rsid w:val="00EB7FE2"/>
    <w:rsid w:val="00EC07E9"/>
    <w:rsid w:val="00EC26EF"/>
    <w:rsid w:val="00EC397C"/>
    <w:rsid w:val="00EC3DED"/>
    <w:rsid w:val="00EC4181"/>
    <w:rsid w:val="00EC626A"/>
    <w:rsid w:val="00ED2489"/>
    <w:rsid w:val="00ED4C9C"/>
    <w:rsid w:val="00ED52EC"/>
    <w:rsid w:val="00ED7B6C"/>
    <w:rsid w:val="00EE023C"/>
    <w:rsid w:val="00EE204C"/>
    <w:rsid w:val="00EE4CFA"/>
    <w:rsid w:val="00EE703B"/>
    <w:rsid w:val="00EF0C2D"/>
    <w:rsid w:val="00EF13BB"/>
    <w:rsid w:val="00EF1C46"/>
    <w:rsid w:val="00EF2D71"/>
    <w:rsid w:val="00EF42F1"/>
    <w:rsid w:val="00EF59E0"/>
    <w:rsid w:val="00EF67E8"/>
    <w:rsid w:val="00EF6ADA"/>
    <w:rsid w:val="00EF7F8D"/>
    <w:rsid w:val="00F02257"/>
    <w:rsid w:val="00F02DD2"/>
    <w:rsid w:val="00F02E84"/>
    <w:rsid w:val="00F03447"/>
    <w:rsid w:val="00F044D4"/>
    <w:rsid w:val="00F0668E"/>
    <w:rsid w:val="00F10C3F"/>
    <w:rsid w:val="00F134FB"/>
    <w:rsid w:val="00F13BB8"/>
    <w:rsid w:val="00F1534B"/>
    <w:rsid w:val="00F1544D"/>
    <w:rsid w:val="00F15C0E"/>
    <w:rsid w:val="00F2185A"/>
    <w:rsid w:val="00F22ECB"/>
    <w:rsid w:val="00F2347D"/>
    <w:rsid w:val="00F24F3B"/>
    <w:rsid w:val="00F27EE9"/>
    <w:rsid w:val="00F30452"/>
    <w:rsid w:val="00F30712"/>
    <w:rsid w:val="00F34649"/>
    <w:rsid w:val="00F34BF1"/>
    <w:rsid w:val="00F34F36"/>
    <w:rsid w:val="00F35147"/>
    <w:rsid w:val="00F4134F"/>
    <w:rsid w:val="00F41AA6"/>
    <w:rsid w:val="00F44438"/>
    <w:rsid w:val="00F445D4"/>
    <w:rsid w:val="00F44710"/>
    <w:rsid w:val="00F44F84"/>
    <w:rsid w:val="00F4548C"/>
    <w:rsid w:val="00F518F7"/>
    <w:rsid w:val="00F51ED8"/>
    <w:rsid w:val="00F520DC"/>
    <w:rsid w:val="00F52549"/>
    <w:rsid w:val="00F52934"/>
    <w:rsid w:val="00F53C32"/>
    <w:rsid w:val="00F53DC0"/>
    <w:rsid w:val="00F5435A"/>
    <w:rsid w:val="00F55C3F"/>
    <w:rsid w:val="00F56C84"/>
    <w:rsid w:val="00F57986"/>
    <w:rsid w:val="00F60963"/>
    <w:rsid w:val="00F61563"/>
    <w:rsid w:val="00F64A87"/>
    <w:rsid w:val="00F65CE9"/>
    <w:rsid w:val="00F66F26"/>
    <w:rsid w:val="00F70E4D"/>
    <w:rsid w:val="00F75BBB"/>
    <w:rsid w:val="00F7653E"/>
    <w:rsid w:val="00F77960"/>
    <w:rsid w:val="00F8080B"/>
    <w:rsid w:val="00F85131"/>
    <w:rsid w:val="00F85345"/>
    <w:rsid w:val="00F86D57"/>
    <w:rsid w:val="00F8730F"/>
    <w:rsid w:val="00F90D6D"/>
    <w:rsid w:val="00F91E8C"/>
    <w:rsid w:val="00F96DF8"/>
    <w:rsid w:val="00FA0875"/>
    <w:rsid w:val="00FA0CDD"/>
    <w:rsid w:val="00FA4195"/>
    <w:rsid w:val="00FA7406"/>
    <w:rsid w:val="00FA74B3"/>
    <w:rsid w:val="00FB1976"/>
    <w:rsid w:val="00FB1E87"/>
    <w:rsid w:val="00FB3C5E"/>
    <w:rsid w:val="00FB4DBA"/>
    <w:rsid w:val="00FC2E48"/>
    <w:rsid w:val="00FC3D6C"/>
    <w:rsid w:val="00FC497D"/>
    <w:rsid w:val="00FC68A9"/>
    <w:rsid w:val="00FD43C5"/>
    <w:rsid w:val="00FD4909"/>
    <w:rsid w:val="00FD64AA"/>
    <w:rsid w:val="00FE20F7"/>
    <w:rsid w:val="00FE253A"/>
    <w:rsid w:val="00FE28F8"/>
    <w:rsid w:val="00FE30BD"/>
    <w:rsid w:val="00FE357D"/>
    <w:rsid w:val="00FF1C76"/>
    <w:rsid w:val="00FF21D6"/>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F9E50"/>
  <w15:docId w15:val="{578378B8-4D4D-4380-B20E-44A999E38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FootnoteText"/>
    <w:qFormat/>
    <w:rsid w:val="0058387D"/>
    <w:pPr>
      <w:spacing w:after="0" w:line="240" w:lineRule="auto"/>
    </w:pPr>
    <w:rPr>
      <w:rFonts w:ascii="Times New Roman" w:eastAsia="Calibri" w:hAnsi="Times New Roman" w:cs="Times New Roman"/>
      <w:sz w:val="24"/>
      <w:szCs w:val="20"/>
    </w:rPr>
  </w:style>
  <w:style w:type="paragraph" w:styleId="Heading1">
    <w:name w:val="heading 1"/>
    <w:basedOn w:val="Normal"/>
    <w:next w:val="Normal"/>
    <w:link w:val="Heading1Char"/>
    <w:uiPriority w:val="9"/>
    <w:qFormat/>
    <w:rsid w:val="0058387D"/>
    <w:pPr>
      <w:keepNext/>
      <w:spacing w:before="240" w:after="60"/>
      <w:outlineLvl w:val="0"/>
    </w:pPr>
    <w:rPr>
      <w:rFonts w:eastAsia="Times New Roman"/>
      <w:b/>
      <w:bCs/>
      <w:color w:val="0070C0"/>
      <w:kern w:val="32"/>
      <w:szCs w:val="32"/>
    </w:rPr>
  </w:style>
  <w:style w:type="paragraph" w:styleId="Heading2">
    <w:name w:val="heading 2"/>
    <w:basedOn w:val="Normal"/>
    <w:next w:val="Normal"/>
    <w:link w:val="Heading2Char"/>
    <w:uiPriority w:val="9"/>
    <w:unhideWhenUsed/>
    <w:qFormat/>
    <w:rsid w:val="0058387D"/>
    <w:pPr>
      <w:keepNext/>
      <w:spacing w:before="240" w:after="60"/>
      <w:outlineLvl w:val="1"/>
    </w:pPr>
    <w:rPr>
      <w:rFonts w:eastAsia="Times New Roman"/>
      <w:b/>
      <w:bCs/>
      <w:iCs/>
      <w:color w:val="00B050"/>
      <w:szCs w:val="28"/>
    </w:rPr>
  </w:style>
  <w:style w:type="paragraph" w:styleId="Heading3">
    <w:name w:val="heading 3"/>
    <w:basedOn w:val="Normal"/>
    <w:next w:val="Normal"/>
    <w:link w:val="Heading3Char"/>
    <w:uiPriority w:val="9"/>
    <w:unhideWhenUsed/>
    <w:qFormat/>
    <w:rsid w:val="007D65D5"/>
    <w:pPr>
      <w:keepNext/>
      <w:keepLines/>
      <w:spacing w:before="40"/>
      <w:outlineLvl w:val="2"/>
    </w:pPr>
    <w:rPr>
      <w:rFonts w:eastAsiaTheme="majorEastAsia" w:cstheme="majorBidi"/>
      <w:b/>
      <w:color w:val="FF33CC"/>
      <w:szCs w:val="24"/>
    </w:rPr>
  </w:style>
  <w:style w:type="paragraph" w:styleId="Heading4">
    <w:name w:val="heading 4"/>
    <w:basedOn w:val="Normal"/>
    <w:next w:val="Normal"/>
    <w:link w:val="Heading4Char"/>
    <w:uiPriority w:val="9"/>
    <w:unhideWhenUsed/>
    <w:qFormat/>
    <w:rsid w:val="007D65D5"/>
    <w:pPr>
      <w:keepNext/>
      <w:keepLines/>
      <w:spacing w:before="40"/>
      <w:outlineLvl w:val="3"/>
    </w:pPr>
    <w:rPr>
      <w:rFonts w:eastAsiaTheme="majorEastAsia" w:cstheme="majorBidi"/>
      <w:b/>
      <w:iCs/>
      <w:color w:val="FFC000"/>
    </w:rPr>
  </w:style>
  <w:style w:type="paragraph" w:styleId="Heading5">
    <w:name w:val="heading 5"/>
    <w:basedOn w:val="Normal"/>
    <w:next w:val="Normal"/>
    <w:link w:val="Heading5Char"/>
    <w:uiPriority w:val="9"/>
    <w:semiHidden/>
    <w:unhideWhenUsed/>
    <w:qFormat/>
    <w:rsid w:val="0086512A"/>
    <w:pPr>
      <w:keepNext/>
      <w:keepLines/>
      <w:spacing w:before="40"/>
      <w:outlineLvl w:val="4"/>
    </w:pPr>
    <w:rPr>
      <w:rFonts w:eastAsiaTheme="majorEastAsia" w:cstheme="majorBidi"/>
      <w:b/>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761C"/>
    <w:pPr>
      <w:spacing w:after="0" w:line="240" w:lineRule="auto"/>
    </w:pPr>
  </w:style>
  <w:style w:type="character" w:customStyle="1" w:styleId="Heading1Char">
    <w:name w:val="Heading 1 Char"/>
    <w:basedOn w:val="DefaultParagraphFont"/>
    <w:link w:val="Heading1"/>
    <w:uiPriority w:val="9"/>
    <w:rsid w:val="0058387D"/>
    <w:rPr>
      <w:rFonts w:ascii="Times New Roman" w:eastAsia="Times New Roman" w:hAnsi="Times New Roman" w:cs="Times New Roman"/>
      <w:b/>
      <w:bCs/>
      <w:color w:val="0070C0"/>
      <w:kern w:val="32"/>
      <w:sz w:val="24"/>
      <w:szCs w:val="32"/>
    </w:rPr>
  </w:style>
  <w:style w:type="character" w:customStyle="1" w:styleId="Heading2Char">
    <w:name w:val="Heading 2 Char"/>
    <w:basedOn w:val="DefaultParagraphFont"/>
    <w:link w:val="Heading2"/>
    <w:uiPriority w:val="9"/>
    <w:rsid w:val="0058387D"/>
    <w:rPr>
      <w:rFonts w:ascii="Times New Roman" w:eastAsia="Times New Roman" w:hAnsi="Times New Roman" w:cs="Times New Roman"/>
      <w:b/>
      <w:bCs/>
      <w:iCs/>
      <w:color w:val="00B050"/>
      <w:sz w:val="24"/>
      <w:szCs w:val="28"/>
    </w:rPr>
  </w:style>
  <w:style w:type="paragraph" w:styleId="FootnoteText">
    <w:name w:val="footnote text"/>
    <w:basedOn w:val="Normal"/>
    <w:link w:val="FootnoteTextChar"/>
    <w:uiPriority w:val="99"/>
    <w:unhideWhenUsed/>
    <w:rsid w:val="0058387D"/>
  </w:style>
  <w:style w:type="character" w:customStyle="1" w:styleId="FootnoteTextChar">
    <w:name w:val="Footnote Text Char"/>
    <w:basedOn w:val="DefaultParagraphFont"/>
    <w:link w:val="FootnoteText"/>
    <w:uiPriority w:val="99"/>
    <w:rsid w:val="0058387D"/>
    <w:rPr>
      <w:rFonts w:ascii="Times New Roman" w:eastAsia="Calibri" w:hAnsi="Times New Roman" w:cs="Times New Roman"/>
      <w:sz w:val="24"/>
      <w:szCs w:val="20"/>
    </w:rPr>
  </w:style>
  <w:style w:type="character" w:styleId="Hyperlink">
    <w:name w:val="Hyperlink"/>
    <w:uiPriority w:val="99"/>
    <w:unhideWhenUsed/>
    <w:rsid w:val="0058387D"/>
    <w:rPr>
      <w:color w:val="0000FF"/>
      <w:u w:val="single"/>
    </w:rPr>
  </w:style>
  <w:style w:type="paragraph" w:styleId="ListParagraph">
    <w:name w:val="List Paragraph"/>
    <w:basedOn w:val="Normal"/>
    <w:uiPriority w:val="34"/>
    <w:qFormat/>
    <w:rsid w:val="0058387D"/>
    <w:pPr>
      <w:ind w:left="720"/>
      <w:contextualSpacing/>
    </w:pPr>
  </w:style>
  <w:style w:type="paragraph" w:styleId="EndnoteText">
    <w:name w:val="endnote text"/>
    <w:basedOn w:val="Normal"/>
    <w:link w:val="EndnoteTextChar"/>
    <w:uiPriority w:val="99"/>
    <w:semiHidden/>
    <w:unhideWhenUsed/>
    <w:rsid w:val="0058387D"/>
    <w:rPr>
      <w:sz w:val="20"/>
    </w:rPr>
  </w:style>
  <w:style w:type="character" w:customStyle="1" w:styleId="EndnoteTextChar">
    <w:name w:val="Endnote Text Char"/>
    <w:basedOn w:val="DefaultParagraphFont"/>
    <w:link w:val="EndnoteText"/>
    <w:uiPriority w:val="99"/>
    <w:semiHidden/>
    <w:rsid w:val="0058387D"/>
    <w:rPr>
      <w:rFonts w:ascii="Times New Roman" w:eastAsia="Calibri" w:hAnsi="Times New Roman" w:cs="Times New Roman"/>
      <w:sz w:val="20"/>
      <w:szCs w:val="20"/>
    </w:rPr>
  </w:style>
  <w:style w:type="character" w:styleId="EndnoteReference">
    <w:name w:val="endnote reference"/>
    <w:basedOn w:val="DefaultParagraphFont"/>
    <w:uiPriority w:val="99"/>
    <w:semiHidden/>
    <w:unhideWhenUsed/>
    <w:rsid w:val="0058387D"/>
    <w:rPr>
      <w:vertAlign w:val="superscript"/>
    </w:rPr>
  </w:style>
  <w:style w:type="character" w:customStyle="1" w:styleId="Mention1">
    <w:name w:val="Mention1"/>
    <w:basedOn w:val="DefaultParagraphFont"/>
    <w:uiPriority w:val="99"/>
    <w:semiHidden/>
    <w:unhideWhenUsed/>
    <w:rsid w:val="00B315DA"/>
    <w:rPr>
      <w:color w:val="2B579A"/>
      <w:shd w:val="clear" w:color="auto" w:fill="E6E6E6"/>
    </w:rPr>
  </w:style>
  <w:style w:type="paragraph" w:customStyle="1" w:styleId="xmsonormal">
    <w:name w:val="x_msonormal"/>
    <w:basedOn w:val="Normal"/>
    <w:rsid w:val="00FA0CDD"/>
    <w:pPr>
      <w:spacing w:before="100" w:beforeAutospacing="1" w:after="100" w:afterAutospacing="1"/>
    </w:pPr>
    <w:rPr>
      <w:rFonts w:eastAsia="Times New Roman"/>
      <w:szCs w:val="24"/>
      <w:lang w:eastAsia="en-CA"/>
    </w:rPr>
  </w:style>
  <w:style w:type="paragraph" w:styleId="NormalWeb">
    <w:name w:val="Normal (Web)"/>
    <w:basedOn w:val="Normal"/>
    <w:uiPriority w:val="99"/>
    <w:semiHidden/>
    <w:unhideWhenUsed/>
    <w:rsid w:val="001C7DBE"/>
    <w:pPr>
      <w:spacing w:before="100" w:beforeAutospacing="1" w:after="100" w:afterAutospacing="1"/>
    </w:pPr>
    <w:rPr>
      <w:rFonts w:eastAsia="Times New Roman"/>
      <w:szCs w:val="24"/>
      <w:lang w:eastAsia="en-CA"/>
    </w:rPr>
  </w:style>
  <w:style w:type="character" w:customStyle="1" w:styleId="UnresolvedMention1">
    <w:name w:val="Unresolved Mention1"/>
    <w:basedOn w:val="DefaultParagraphFont"/>
    <w:uiPriority w:val="99"/>
    <w:semiHidden/>
    <w:unhideWhenUsed/>
    <w:rsid w:val="00F86D57"/>
    <w:rPr>
      <w:color w:val="808080"/>
      <w:shd w:val="clear" w:color="auto" w:fill="E6E6E6"/>
    </w:rPr>
  </w:style>
  <w:style w:type="character" w:styleId="UnresolvedMention">
    <w:name w:val="Unresolved Mention"/>
    <w:basedOn w:val="DefaultParagraphFont"/>
    <w:uiPriority w:val="99"/>
    <w:semiHidden/>
    <w:unhideWhenUsed/>
    <w:rsid w:val="00E44A3B"/>
    <w:rPr>
      <w:color w:val="808080"/>
      <w:shd w:val="clear" w:color="auto" w:fill="E6E6E6"/>
    </w:rPr>
  </w:style>
  <w:style w:type="character" w:styleId="FollowedHyperlink">
    <w:name w:val="FollowedHyperlink"/>
    <w:basedOn w:val="DefaultParagraphFont"/>
    <w:uiPriority w:val="99"/>
    <w:semiHidden/>
    <w:unhideWhenUsed/>
    <w:rsid w:val="00E44A3B"/>
    <w:rPr>
      <w:color w:val="954F72" w:themeColor="followedHyperlink"/>
      <w:u w:val="single"/>
    </w:rPr>
  </w:style>
  <w:style w:type="paragraph" w:styleId="Header">
    <w:name w:val="header"/>
    <w:basedOn w:val="Normal"/>
    <w:link w:val="HeaderChar"/>
    <w:uiPriority w:val="99"/>
    <w:unhideWhenUsed/>
    <w:rsid w:val="00EA7852"/>
    <w:pPr>
      <w:tabs>
        <w:tab w:val="center" w:pos="4680"/>
        <w:tab w:val="right" w:pos="9360"/>
      </w:tabs>
    </w:pPr>
  </w:style>
  <w:style w:type="character" w:customStyle="1" w:styleId="HeaderChar">
    <w:name w:val="Header Char"/>
    <w:basedOn w:val="DefaultParagraphFont"/>
    <w:link w:val="Header"/>
    <w:uiPriority w:val="99"/>
    <w:rsid w:val="00EA7852"/>
    <w:rPr>
      <w:rFonts w:ascii="Times New Roman" w:eastAsia="Calibri" w:hAnsi="Times New Roman" w:cs="Times New Roman"/>
      <w:sz w:val="24"/>
      <w:szCs w:val="20"/>
    </w:rPr>
  </w:style>
  <w:style w:type="paragraph" w:styleId="Footer">
    <w:name w:val="footer"/>
    <w:basedOn w:val="Normal"/>
    <w:link w:val="FooterChar"/>
    <w:uiPriority w:val="99"/>
    <w:unhideWhenUsed/>
    <w:rsid w:val="00EA7852"/>
    <w:pPr>
      <w:tabs>
        <w:tab w:val="center" w:pos="4680"/>
        <w:tab w:val="right" w:pos="9360"/>
      </w:tabs>
    </w:pPr>
  </w:style>
  <w:style w:type="character" w:customStyle="1" w:styleId="FooterChar">
    <w:name w:val="Footer Char"/>
    <w:basedOn w:val="DefaultParagraphFont"/>
    <w:link w:val="Footer"/>
    <w:uiPriority w:val="99"/>
    <w:rsid w:val="00EA7852"/>
    <w:rPr>
      <w:rFonts w:ascii="Times New Roman" w:eastAsia="Calibri" w:hAnsi="Times New Roman" w:cs="Times New Roman"/>
      <w:sz w:val="24"/>
      <w:szCs w:val="20"/>
    </w:rPr>
  </w:style>
  <w:style w:type="paragraph" w:styleId="BalloonText">
    <w:name w:val="Balloon Text"/>
    <w:basedOn w:val="Normal"/>
    <w:link w:val="BalloonTextChar"/>
    <w:uiPriority w:val="99"/>
    <w:semiHidden/>
    <w:unhideWhenUsed/>
    <w:rsid w:val="008A35B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35BF"/>
    <w:rPr>
      <w:rFonts w:ascii="Segoe UI" w:eastAsia="Calibri" w:hAnsi="Segoe UI" w:cs="Segoe UI"/>
      <w:sz w:val="18"/>
      <w:szCs w:val="18"/>
    </w:rPr>
  </w:style>
  <w:style w:type="character" w:customStyle="1" w:styleId="Heading3Char">
    <w:name w:val="Heading 3 Char"/>
    <w:basedOn w:val="DefaultParagraphFont"/>
    <w:link w:val="Heading3"/>
    <w:uiPriority w:val="9"/>
    <w:rsid w:val="007D65D5"/>
    <w:rPr>
      <w:rFonts w:ascii="Times New Roman" w:eastAsiaTheme="majorEastAsia" w:hAnsi="Times New Roman" w:cstheme="majorBidi"/>
      <w:b/>
      <w:color w:val="FF33CC"/>
      <w:sz w:val="24"/>
      <w:szCs w:val="24"/>
    </w:rPr>
  </w:style>
  <w:style w:type="character" w:customStyle="1" w:styleId="Heading4Char">
    <w:name w:val="Heading 4 Char"/>
    <w:basedOn w:val="DefaultParagraphFont"/>
    <w:link w:val="Heading4"/>
    <w:uiPriority w:val="9"/>
    <w:rsid w:val="007D65D5"/>
    <w:rPr>
      <w:rFonts w:ascii="Times New Roman" w:eastAsiaTheme="majorEastAsia" w:hAnsi="Times New Roman" w:cstheme="majorBidi"/>
      <w:b/>
      <w:iCs/>
      <w:color w:val="FFC000"/>
      <w:sz w:val="24"/>
      <w:szCs w:val="20"/>
    </w:rPr>
  </w:style>
  <w:style w:type="character" w:customStyle="1" w:styleId="Heading5Char">
    <w:name w:val="Heading 5 Char"/>
    <w:basedOn w:val="DefaultParagraphFont"/>
    <w:link w:val="Heading5"/>
    <w:uiPriority w:val="9"/>
    <w:semiHidden/>
    <w:rsid w:val="0086512A"/>
    <w:rPr>
      <w:rFonts w:ascii="Times New Roman" w:eastAsiaTheme="majorEastAsia" w:hAnsi="Times New Roman" w:cstheme="majorBidi"/>
      <w:b/>
      <w:color w:val="2F5496" w:themeColor="accent1" w:themeShade="B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025400">
      <w:bodyDiv w:val="1"/>
      <w:marLeft w:val="0"/>
      <w:marRight w:val="0"/>
      <w:marTop w:val="0"/>
      <w:marBottom w:val="0"/>
      <w:divBdr>
        <w:top w:val="none" w:sz="0" w:space="0" w:color="auto"/>
        <w:left w:val="none" w:sz="0" w:space="0" w:color="auto"/>
        <w:bottom w:val="none" w:sz="0" w:space="0" w:color="auto"/>
        <w:right w:val="none" w:sz="0" w:space="0" w:color="auto"/>
      </w:divBdr>
    </w:div>
    <w:div w:id="575014961">
      <w:bodyDiv w:val="1"/>
      <w:marLeft w:val="0"/>
      <w:marRight w:val="0"/>
      <w:marTop w:val="0"/>
      <w:marBottom w:val="0"/>
      <w:divBdr>
        <w:top w:val="none" w:sz="0" w:space="0" w:color="auto"/>
        <w:left w:val="none" w:sz="0" w:space="0" w:color="auto"/>
        <w:bottom w:val="none" w:sz="0" w:space="0" w:color="auto"/>
        <w:right w:val="none" w:sz="0" w:space="0" w:color="auto"/>
      </w:divBdr>
    </w:div>
    <w:div w:id="1298488809">
      <w:bodyDiv w:val="1"/>
      <w:marLeft w:val="0"/>
      <w:marRight w:val="0"/>
      <w:marTop w:val="0"/>
      <w:marBottom w:val="0"/>
      <w:divBdr>
        <w:top w:val="none" w:sz="0" w:space="0" w:color="auto"/>
        <w:left w:val="none" w:sz="0" w:space="0" w:color="auto"/>
        <w:bottom w:val="none" w:sz="0" w:space="0" w:color="auto"/>
        <w:right w:val="none" w:sz="0" w:space="0" w:color="auto"/>
      </w:divBdr>
    </w:div>
    <w:div w:id="1975210898">
      <w:bodyDiv w:val="1"/>
      <w:marLeft w:val="0"/>
      <w:marRight w:val="0"/>
      <w:marTop w:val="0"/>
      <w:marBottom w:val="0"/>
      <w:divBdr>
        <w:top w:val="none" w:sz="0" w:space="0" w:color="auto"/>
        <w:left w:val="none" w:sz="0" w:space="0" w:color="auto"/>
        <w:bottom w:val="none" w:sz="0" w:space="0" w:color="auto"/>
        <w:right w:val="none" w:sz="0" w:space="0" w:color="auto"/>
      </w:divBdr>
      <w:divsChild>
        <w:div w:id="1464880530">
          <w:marLeft w:val="0"/>
          <w:marRight w:val="0"/>
          <w:marTop w:val="0"/>
          <w:marBottom w:val="0"/>
          <w:divBdr>
            <w:top w:val="none" w:sz="0" w:space="0" w:color="auto"/>
            <w:left w:val="none" w:sz="0" w:space="0" w:color="auto"/>
            <w:bottom w:val="none" w:sz="0" w:space="0" w:color="auto"/>
            <w:right w:val="none" w:sz="0" w:space="0" w:color="auto"/>
          </w:divBdr>
          <w:divsChild>
            <w:div w:id="110132932">
              <w:marLeft w:val="0"/>
              <w:marRight w:val="0"/>
              <w:marTop w:val="0"/>
              <w:marBottom w:val="0"/>
              <w:divBdr>
                <w:top w:val="none" w:sz="0" w:space="0" w:color="auto"/>
                <w:left w:val="none" w:sz="0" w:space="0" w:color="auto"/>
                <w:bottom w:val="none" w:sz="0" w:space="0" w:color="auto"/>
                <w:right w:val="none" w:sz="0" w:space="0" w:color="auto"/>
              </w:divBdr>
            </w:div>
            <w:div w:id="1258250126">
              <w:marLeft w:val="0"/>
              <w:marRight w:val="0"/>
              <w:marTop w:val="0"/>
              <w:marBottom w:val="0"/>
              <w:divBdr>
                <w:top w:val="none" w:sz="0" w:space="0" w:color="auto"/>
                <w:left w:val="none" w:sz="0" w:space="0" w:color="auto"/>
                <w:bottom w:val="none" w:sz="0" w:space="0" w:color="auto"/>
                <w:right w:val="none" w:sz="0" w:space="0" w:color="auto"/>
              </w:divBdr>
            </w:div>
            <w:div w:id="1562061838">
              <w:marLeft w:val="0"/>
              <w:marRight w:val="0"/>
              <w:marTop w:val="0"/>
              <w:marBottom w:val="0"/>
              <w:divBdr>
                <w:top w:val="none" w:sz="0" w:space="0" w:color="auto"/>
                <w:left w:val="none" w:sz="0" w:space="0" w:color="auto"/>
                <w:bottom w:val="none" w:sz="0" w:space="0" w:color="auto"/>
                <w:right w:val="none" w:sz="0" w:space="0" w:color="auto"/>
              </w:divBdr>
            </w:div>
            <w:div w:id="552353176">
              <w:marLeft w:val="0"/>
              <w:marRight w:val="0"/>
              <w:marTop w:val="0"/>
              <w:marBottom w:val="0"/>
              <w:divBdr>
                <w:top w:val="none" w:sz="0" w:space="0" w:color="auto"/>
                <w:left w:val="none" w:sz="0" w:space="0" w:color="auto"/>
                <w:bottom w:val="none" w:sz="0" w:space="0" w:color="auto"/>
                <w:right w:val="none" w:sz="0" w:space="0" w:color="auto"/>
              </w:divBdr>
            </w:div>
            <w:div w:id="206852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ilar\OneDrive\Backups\Custom%20Office%20Templates\HEC%20standa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4EF483-9CE3-424D-B2B3-702166906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HEC standard</Template>
  <TotalTime>1</TotalTime>
  <Pages>8</Pages>
  <Words>2358</Words>
  <Characters>13447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York University</Company>
  <LinksUpToDate>false</LinksUpToDate>
  <CharactersWithSpaces>15774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Hilary Evans Cameron</dc:creator>
  <cp:lastModifiedBy>Hilary Evans Cameron</cp:lastModifiedBy>
  <cp:revision>3</cp:revision>
  <cp:lastPrinted>2018-05-23T02:24:00Z</cp:lastPrinted>
  <dcterms:created xsi:type="dcterms:W3CDTF">2024-02-13T21:52:00Z</dcterms:created>
  <dcterms:modified xsi:type="dcterms:W3CDTF">2024-02-13T21:53:00Z</dcterms:modified>
</cp:coreProperties>
</file>